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تقرير استراتيجي: ثورة AEGIS في الذكاء الاصطناعي المتجسد (Embodied AI)</w:t>
      </w:r>
    </w:p>
    <w:p>
      <w:pPr>
        <w:pStyle w:val="Heading2"/>
        <w:pStyle w:val="MdHeading2"/>
      </w:pPr>
      <w:r>
        <w:t xml:space="preserve">مقدمة</w:t>
      </w:r>
    </w:p>
    <w:p>
      <w:pPr>
        <w:pStyle w:val="MdParagraph"/>
      </w:pPr>
      <w:r>
        <w:t xml:space="preserve">بناءً على تحليل ملف </w:t>
      </w:r>
      <w:r>
        <w:rPr>
          <w:rStyle w:val="MdStrong"/>
          <w:b/>
          <w:bCs/>
        </w:rPr>
        <w:t xml:space="preserve">AEGIS-v2.2</w:t>
      </w:r>
      <w:r>
        <w:t xml:space="preserve"> والملاحظات التقنية المقدمة، نجد أن النظام يمتلك بنية تحتية قوية جداً في مجال </w:t>
      </w:r>
      <w:r>
        <w:rPr>
          <w:rStyle w:val="MdStrong"/>
          <w:b/>
          <w:bCs/>
        </w:rPr>
        <w:t xml:space="preserve">معايرة النماذج (Model Calibration)</w:t>
      </w:r>
      <w:r>
        <w:t xml:space="preserve"> و</w:t>
      </w:r>
      <w:r>
        <w:rPr>
          <w:rStyle w:val="MdStrong"/>
          <w:b/>
          <w:bCs/>
        </w:rPr>
        <w:t xml:space="preserve">تقدير اليقين (Uncertainty Estimation)</w:t>
      </w:r>
      <w:r>
        <w:t xml:space="preserve">. تكمن الفرصة الثورية في نقل هذه التقنيات من مجرد "أدوات تدقيق" (Audit Tools) إلى "محركات اتخاذ قرار لحظية" (Real-time Decision Engines) داخل الأنظمة الفيزيائية والروبوتية.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المقترحات الثورية لعمل نقلة نوعية</w:t>
      </w:r>
    </w:p>
    <w:p>
      <w:pPr>
        <w:pStyle w:val="MdParagraph"/>
      </w:pPr>
      <w:r>
        <w:t xml:space="preserve">تستهدف هذه المقترحات سد الفجوة بين الإدراك الحاسوبي والأداء الفيزيائي، مما يضمن سلامة الروبوتات وكفاءتها في البيئات غير المهيأة.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المقترح الثوري</w:t>
            </w:r>
          </w:p>
        </w:tc>
        <w:tc>
          <w:tcPr>
            <w:tcMar>
              <w:top w:type="dxa" w:w="100"/>
              <w:left w:type="dxa" w:w="120"/>
              <w:bottom w:type="dxa" w:w="100"/>
              <w:right w:type="dxa" w:w="120"/>
            </w:tcMar>
            <w:vAlign w:val="center"/>
          </w:tcPr>
          <w:p>
            <w:pPr>
              <w:pStyle w:val="MdTableHeader"/>
              <w:jc w:val="left"/>
            </w:pPr>
            <w:r>
              <w:t xml:space="preserve">الوصف التقني</w:t>
            </w:r>
          </w:p>
        </w:tc>
        <w:tc>
          <w:tcPr>
            <w:tcBorders>
              <w:right w:val="none"/>
            </w:tcBorders>
            <w:tcMar>
              <w:top w:type="dxa" w:w="100"/>
              <w:left w:type="dxa" w:w="120"/>
              <w:bottom w:type="dxa" w:w="100"/>
              <w:right w:type="dxa" w:w="120"/>
            </w:tcMar>
            <w:vAlign w:val="center"/>
          </w:tcPr>
          <w:p>
            <w:pPr>
              <w:pStyle w:val="MdTableHeader"/>
              <w:jc w:val="left"/>
            </w:pPr>
            <w:r>
              <w:t xml:space="preserve">القيمة المضافة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المعايرة اللحظية للحركة (Real-time Motion Calibration)</w:t>
            </w:r>
          </w:p>
        </w:tc>
        <w:tc>
          <w:tcPr>
            <w:tcMar>
              <w:top w:type="dxa" w:w="80"/>
              <w:left w:type="dxa" w:w="120"/>
              <w:bottom w:type="dxa" w:w="80"/>
              <w:right w:type="dxa" w:w="120"/>
            </w:tcMar>
            <w:vAlign w:val="center"/>
          </w:tcPr>
          <w:p>
            <w:pPr>
              <w:pStyle w:val="MdTableCell"/>
              <w:jc w:val="left"/>
            </w:pPr>
            <w:r>
              <w:t xml:space="preserve">دمج محرك </w:t>
            </w:r>
            <w:r>
              <w:rPr>
                <w:rStyle w:val="MdStrong"/>
                <w:b/>
                <w:bCs/>
              </w:rPr>
              <w:t xml:space="preserve">Beta Scaling</w:t>
            </w:r>
            <w:r>
              <w:t xml:space="preserve"> و </w:t>
            </w:r>
            <w:r>
              <w:rPr>
                <w:rStyle w:val="MdStrong"/>
                <w:b/>
                <w:bCs/>
              </w:rPr>
              <w:t xml:space="preserve">Temperature Scaling</w:t>
            </w:r>
            <w:r>
              <w:t xml:space="preserve"> من AEGIS مباشرة في حلقة التحكم (Control Loop) للروبوت.</w:t>
            </w:r>
          </w:p>
        </w:tc>
        <w:tc>
          <w:tcPr>
            <w:tcBorders>
              <w:right w:val="none"/>
            </w:tcBorders>
            <w:tcMar>
              <w:top w:type="dxa" w:w="80"/>
              <w:left w:type="dxa" w:w="120"/>
              <w:bottom w:type="dxa" w:w="80"/>
              <w:right w:type="dxa" w:w="120"/>
            </w:tcMar>
            <w:vAlign w:val="center"/>
          </w:tcPr>
          <w:p>
            <w:pPr>
              <w:pStyle w:val="MdTableCell"/>
              <w:jc w:val="left"/>
            </w:pPr>
            <w:r>
              <w:t xml:space="preserve">تقليل الحركات العشوائية الناتجة عن "الثقة المفرطة" للنماذج البصرية في البيئات المظلمة أو المزدحمة.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التفاعل الآمن المبني على اليقين (Uncertainty-Aware Interaction)</w:t>
            </w:r>
          </w:p>
        </w:tc>
        <w:tc>
          <w:tcPr>
            <w:tcMar>
              <w:top w:type="dxa" w:w="80"/>
              <w:left w:type="dxa" w:w="120"/>
              <w:bottom w:type="dxa" w:w="80"/>
              <w:right w:type="dxa" w:w="120"/>
            </w:tcMar>
            <w:vAlign w:val="center"/>
          </w:tcPr>
          <w:p>
            <w:pPr>
              <w:pStyle w:val="MdTableCell"/>
              <w:jc w:val="left"/>
            </w:pPr>
            <w:r>
              <w:t xml:space="preserve">استخدام مقاييس </w:t>
            </w:r>
            <w:r>
              <w:rPr>
                <w:rStyle w:val="MdStrong"/>
                <w:b/>
                <w:bCs/>
              </w:rPr>
              <w:t xml:space="preserve">ECE</w:t>
            </w:r>
            <w:r>
              <w:t xml:space="preserve"> و </w:t>
            </w:r>
            <w:r>
              <w:rPr>
                <w:rStyle w:val="MdStrong"/>
                <w:b/>
                <w:bCs/>
              </w:rPr>
              <w:t xml:space="preserve">MCE</w:t>
            </w:r>
            <w:r>
              <w:t xml:space="preserve"> لتحديد "عتبة الأمان". إذا قل يقين النموذج عن حد معين، ينتقل الروبوت تلقائياً لحالة "الاستكشاف الحذر".</w:t>
            </w:r>
          </w:p>
        </w:tc>
        <w:tc>
          <w:tcPr>
            <w:tcBorders>
              <w:right w:val="none"/>
            </w:tcBorders>
            <w:tcMar>
              <w:top w:type="dxa" w:w="80"/>
              <w:left w:type="dxa" w:w="120"/>
              <w:bottom w:type="dxa" w:w="80"/>
              <w:right w:type="dxa" w:w="120"/>
            </w:tcMar>
            <w:vAlign w:val="center"/>
          </w:tcPr>
          <w:p>
            <w:pPr>
              <w:pStyle w:val="MdTableCell"/>
              <w:jc w:val="left"/>
            </w:pPr>
            <w:r>
              <w:t xml:space="preserve">ضمان سلامة القطع الفيزيائية والبشر المحيطين بالروبوت من خلال التنبؤ بالفشل قبل وقوعه.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التجميع الزمني المعاير (Calibrated Temporal Aggregation)</w:t>
            </w:r>
          </w:p>
        </w:tc>
        <w:tc>
          <w:tcPr>
            <w:tcMar>
              <w:top w:type="dxa" w:w="80"/>
              <w:left w:type="dxa" w:w="120"/>
              <w:bottom w:type="dxa" w:w="80"/>
              <w:right w:type="dxa" w:w="120"/>
            </w:tcMar>
            <w:vAlign w:val="center"/>
          </w:tcPr>
          <w:p>
            <w:pPr>
              <w:pStyle w:val="MdTableCell"/>
              <w:jc w:val="left"/>
            </w:pPr>
            <w:r>
              <w:t xml:space="preserve">بدلاً من الاعتماد على آخر إطار بصري، يتم تجميع التوقعات عبر الزمن باستخدام أوزان تعتمد على </w:t>
            </w:r>
            <w:r>
              <w:rPr>
                <w:rStyle w:val="MdStrong"/>
                <w:b/>
                <w:bCs/>
              </w:rPr>
              <w:t xml:space="preserve">موثوقية النموذج (Reliability Score)</w:t>
            </w:r>
            <w:r>
              <w:t xml:space="preserve"> المستخرجة من AEGIS.</w:t>
            </w:r>
          </w:p>
        </w:tc>
        <w:tc>
          <w:tcPr>
            <w:tcBorders>
              <w:right w:val="none"/>
            </w:tcBorders>
            <w:tcMar>
              <w:top w:type="dxa" w:w="80"/>
              <w:left w:type="dxa" w:w="120"/>
              <w:bottom w:type="dxa" w:w="80"/>
              <w:right w:type="dxa" w:w="120"/>
            </w:tcMar>
            <w:vAlign w:val="center"/>
          </w:tcPr>
          <w:p>
            <w:pPr>
              <w:pStyle w:val="MdTableCell"/>
              <w:jc w:val="left"/>
            </w:pPr>
            <w:r>
              <w:t xml:space="preserve">القضاء على مشكلة "الومضات" (Flickering) في التعرف على الأشياء، مما يجعل الملاحة أكثر استقراراً.</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التدقيق التلقائي للبيئات (Autonomous Environment Audit)</w:t>
            </w:r>
          </w:p>
        </w:tc>
        <w:tc>
          <w:tcPr>
            <w:tcBorders>
              <w:bottom w:val="single" w:color="E1E4E8" w:sz="4"/>
            </w:tcBorders>
            <w:tcMar>
              <w:top w:type="dxa" w:w="80"/>
              <w:left w:type="dxa" w:w="120"/>
              <w:bottom w:type="dxa" w:w="80"/>
              <w:right w:type="dxa" w:w="120"/>
            </w:tcMar>
            <w:vAlign w:val="center"/>
          </w:tcPr>
          <w:p>
            <w:pPr>
              <w:pStyle w:val="MdTableCell"/>
              <w:jc w:val="left"/>
            </w:pPr>
            <w:r>
              <w:t xml:space="preserve">استخدام نظام </w:t>
            </w:r>
            <w:r>
              <w:rPr>
                <w:rStyle w:val="MdStrong"/>
                <w:b/>
                <w:bCs/>
              </w:rPr>
              <w:t xml:space="preserve">Production Monitor</w:t>
            </w:r>
            <w:r>
              <w:t xml:space="preserve"> لمراقبة "الانزياح البيئي" (Environmental Drift). إذا تغيرت ظروف الإضاءة أو التضاريس، يقوم النظام بإعادة معايرة نفسه ذاتياً.</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تمكين الروبوتات من العمل في بيئات متغيرة (مثل الانتقال من داخل المبنى إلى خارجه) دون تدخل بشري.</w:t>
            </w:r>
          </w:p>
        </w:tc>
      </w:tr>
    </w:tbl>
    <w:p>
      <w:pPr>
        <w:pStyle w:val="MdHr"/>
        <w:pBdr>
          <w:bottom w:val="single" w:color="auto" w:sz="6" w:space="1"/>
        </w:pBdr>
      </w:pPr>
    </w:p>
    <w:p>
      <w:pPr>
        <w:pStyle w:val="MdSpace"/>
        <w:spacing w:before="0" w:after="60"/>
      </w:pPr>
    </w:p>
    <w:p>
      <w:pPr>
        <w:pStyle w:val="Heading2"/>
        <w:pStyle w:val="MdHeading2"/>
      </w:pPr>
      <w:r>
        <w:t xml:space="preserve">خارطة الطريق التقنية (Roadmap)</w:t>
      </w:r>
    </w:p>
    <w:p>
      <w:pPr>
        <w:pStyle w:val="MdParagraph"/>
      </w:pPr>
      <w:r>
        <w:t xml:space="preserve">لتحقيق هذه الثورة، نقترح الانتقال من الهيكلة الحالية إلى هيكلة "AEGIS-Live" وفق الخطوات التالية:</w:t>
      </w:r>
    </w:p>
    <w:p>
      <w:pPr>
        <w:pStyle w:val="MdSpace"/>
        <w:spacing w:before="0" w:after="60"/>
      </w:pPr>
    </w:p>
    <w:p>
      <w:pPr>
        <w:pStyle w:val="Heading3"/>
        <w:pStyle w:val="MdHeading3"/>
      </w:pPr>
      <w:r>
        <w:t xml:space="preserve">المرحلة الأولى: تحويل AEGIS إلى مكتبة برمجية (Modularization)</w:t>
      </w:r>
    </w:p>
    <w:p>
      <w:pPr>
        <w:pStyle w:val="MdParagraph"/>
      </w:pPr>
      <w:r>
        <w:t xml:space="preserve">يجب تحويل الأكواد الموجودة في </w:t>
      </w:r>
      <w:r>
        <w:rPr>
          <w:rStyle w:val="MdCode"/>
          <w:u w:val="single"/>
        </w:rPr>
        <w:t xml:space="preserve">aegis-v22.ipynb</w:t>
      </w:r>
      <w:r>
        <w:t xml:space="preserve"> إلى مكتبة Python مستقلة (مثلاً </w:t>
      </w:r>
      <w:r>
        <w:rPr>
          <w:rStyle w:val="MdCode"/>
          <w:u w:val="single"/>
        </w:rPr>
        <w:t xml:space="preserve">aegis_core</w:t>
      </w:r>
      <w:r>
        <w:t xml:space="preserve">) يمكن استدعاؤها داخل أنظمة تشغيل الروبوتات مثل </w:t>
      </w:r>
      <w:r>
        <w:rPr>
          <w:rStyle w:val="MdStrong"/>
          <w:b/>
          <w:bCs/>
        </w:rPr>
        <w:t xml:space="preserve">ROS2</w:t>
      </w:r>
      <w:r>
        <w:t xml:space="preserve">. هذا سيتيح دمج وظائف مثل </w:t>
      </w:r>
      <w:r>
        <w:rPr>
          <w:rStyle w:val="MdCode"/>
          <w:u w:val="single"/>
        </w:rPr>
        <w:t xml:space="preserve">TruthGuard.predict()</w:t>
      </w:r>
      <w:r>
        <w:t xml:space="preserve"> مباشرة في معالجة بيانات المستشعرات.</w:t>
      </w:r>
    </w:p>
    <w:p>
      <w:pPr>
        <w:pStyle w:val="MdSpace"/>
        <w:spacing w:before="0" w:after="60"/>
      </w:pPr>
    </w:p>
    <w:p>
      <w:pPr>
        <w:pStyle w:val="Heading3"/>
        <w:pStyle w:val="MdHeading3"/>
      </w:pPr>
      <w:r>
        <w:t xml:space="preserve">المرحلة الثانية: دمج نماذج الرؤية واللغة (VLM Integration)</w:t>
      </w:r>
    </w:p>
    <w:p>
      <w:pPr>
        <w:pStyle w:val="MdParagraph"/>
      </w:pPr>
      <w:r>
        <w:t xml:space="preserve">ربط مخرجات نماذج مثل </w:t>
      </w:r>
      <w:r>
        <w:rPr>
          <w:rStyle w:val="MdStrong"/>
          <w:b/>
          <w:bCs/>
        </w:rPr>
        <w:t xml:space="preserve">CLIP</w:t>
      </w:r>
      <w:r>
        <w:t xml:space="preserve"> أو </w:t>
      </w:r>
      <w:r>
        <w:rPr>
          <w:rStyle w:val="MdStrong"/>
          <w:b/>
          <w:bCs/>
        </w:rPr>
        <w:t xml:space="preserve">Gemini Nano</w:t>
      </w:r>
      <w:r>
        <w:t xml:space="preserve"> بمحرك المعايرة في AEGIS. بدلاً من قبول تصنيف النموذج للأشياء بشكل أعمى، سيقوم AEGIS بتدقيق "درجة الثقة" وتصحيحها بناءً على البيانات التاريخية، مما يجعل أوامر مثل "التقط الكوب الأحمر" أكثر دقة بمراحل.</w:t>
      </w:r>
    </w:p>
    <w:p>
      <w:pPr>
        <w:pStyle w:val="MdSpace"/>
        <w:spacing w:before="0" w:after="60"/>
      </w:pPr>
    </w:p>
    <w:p>
      <w:pPr>
        <w:pStyle w:val="Heading3"/>
        <w:pStyle w:val="MdHeading3"/>
      </w:pPr>
      <w:r>
        <w:t xml:space="preserve">المرحلة الثالثة: التعلم بالتعزيز الموجه باليقين (Uncertainty-Guided RL)</w:t>
      </w:r>
    </w:p>
    <w:p>
      <w:pPr>
        <w:pStyle w:val="MdParagraph"/>
      </w:pPr>
      <w:r>
        <w:t xml:space="preserve">استخدام مقاييس المخاطر من AEGIS كجزء من "دالة المكافأة" (Reward Function) في خوارزميات </w:t>
      </w:r>
      <w:r>
        <w:rPr>
          <w:rStyle w:val="MdStrong"/>
          <w:b/>
          <w:bCs/>
        </w:rPr>
        <w:t xml:space="preserve">PPO</w:t>
      </w:r>
      <w:r>
        <w:t xml:space="preserve">. الروبوت الذي يتخذ قرارات "واثقة ومعايرة" يحصل على مكافأة أعلى، بينما الروبوت الذي يتخذ قرارات "مفرطة الثقة وخاطئة" يتم معاقبته بشدة، مما يسرع عملية التعلم الآمن.</w:t>
      </w:r>
    </w:p>
    <w:p>
      <w:pPr>
        <w:pStyle w:val="MdSpace"/>
        <w:spacing w:before="0" w:after="60"/>
      </w:pPr>
    </w:p>
    <w:p>
      <w:pPr>
        <w:pStyle w:val="MdHr"/>
        <w:pBdr>
          <w:bottom w:val="single" w:color="auto" w:sz="6" w:space="1"/>
        </w:pBdr>
      </w:pPr>
    </w:p>
    <w:p>
      <w:pPr>
        <w:pStyle w:val="MdSpace"/>
        <w:spacing w:before="0" w:after="60"/>
      </w:pPr>
    </w:p>
    <w:p>
      <w:pPr>
        <w:pStyle w:val="MdBlockquote"/>
      </w:pPr>
      <w:r>
        <w:rPr>
          <w:rStyle w:val="MdStrong"/>
          <w:b/>
          <w:bCs/>
        </w:rPr>
        <w:t xml:space="preserve">خلاصة الاستراتيجية:</w:t>
      </w:r>
      <w:r>
        <w:t xml:space="preserve">
"الثورة لا تكمن في بناء نموذج أذكى، بل في بناء نموذج </w:t>
      </w:r>
      <w:r>
        <w:rPr>
          <w:rStyle w:val="MdStrong"/>
          <w:b/>
          <w:bCs/>
        </w:rPr>
        <w:t xml:space="preserve">يعرف متى يكون مخطئاً</w:t>
      </w:r>
      <w:r>
        <w:t xml:space="preserve">. دمج AEGIS في قلب الأنظمة المتجسدة سيحول الروبوتات من آلات تنفذ الأوامر إلى وكلاء أذكياء يدركون حدود معرفتهم ويتصرفون بناءً عليها."</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2026-03-31T11:35:42.760Z</dcterms:created>
  <dcterms:modified xsi:type="dcterms:W3CDTF">2026-03-31T11:35:42.760Z</dcterms:modified>
</cp:coreProperties>
</file>

<file path=docProps/custom.xml><?xml version="1.0" encoding="utf-8"?>
<Properties xmlns="http://schemas.openxmlformats.org/officeDocument/2006/custom-properties" xmlns:vt="http://schemas.openxmlformats.org/officeDocument/2006/docPropsVTypes"/>
</file>