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2043"/>
          <w:sz w:val="48"/>
        </w:rPr>
        <w:t>Nasdaq Verafin: Solutions &amp; Use Cases Overview</w:t>
      </w:r>
    </w:p>
    <w:p>
      <w:pPr>
        <w:spacing w:after="400"/>
      </w:pPr>
      <w:r>
        <w:rPr>
          <w:rFonts w:ascii="Arial" w:hAnsi="Arial"/>
          <w:i/>
          <w:color w:val="646464"/>
          <w:sz w:val="24"/>
        </w:rPr>
        <w:t>Comprehensive Breakdown of Anti-Financial Crime (AFC) Solutions &amp; Operational Use Cases (European Market Scope)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F2043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0F2043"/>
                <w:sz w:val="22"/>
              </w:rPr>
              <w:t>Executive Summary</w:t>
              <w:br/>
            </w:r>
            <w:r>
              <w:rPr>
                <w:sz w:val="20"/>
              </w:rPr>
              <w:t>Nasdaq Verafin provides purpose-built, Consortium-driven and Agentic AI-powered Anti-Financial Crime (AFC) solutions designed to help financial institutions prevent payments fraud, comply with Anti-Money Laundering and Counter-Financing of Terrorism (AML/CFT) regulations, perform targeted risk management, and adhere to strict European data privacy standards (Privacy by Design &amp; GDPR).</w:t>
            </w:r>
          </w:p>
        </w:tc>
      </w:tr>
    </w:tbl>
    <w:p>
      <w:pPr>
        <w:spacing w:before="240"/>
      </w:pPr>
    </w:p>
    <w:p>
      <w:pPr>
        <w:keepNext/>
        <w:spacing w:before="360" w:after="160"/>
        <w:pBdr>
          <w:bottom w:val="single" w:sz="12" w:space="4" w:color="00A88F"/>
        </w:pBdr>
      </w:pPr>
      <w:r>
        <w:rPr>
          <w:rFonts w:ascii="Arial" w:hAnsi="Arial"/>
          <w:b/>
          <w:color w:val="0F2043"/>
          <w:sz w:val="36"/>
        </w:rPr>
        <w:t>1. Key Platform Capabilities &amp; Architecture</w:t>
      </w:r>
    </w:p>
    <w:p>
      <w:pPr>
        <w:spacing w:after="120"/>
      </w:pPr>
      <w:r>
        <w:t>Nasdaq Verafin differentiates its enterprise offerings in the European market through three core pillars:</w:t>
      </w:r>
    </w:p>
    <w:p>
      <w:pPr>
        <w:pStyle w:val="ListBullet"/>
        <w:spacing w:after="80"/>
      </w:pPr>
      <w:r>
        <w:rPr>
          <w:b/>
          <w:color w:val="0F2043"/>
        </w:rPr>
        <w:t xml:space="preserve">Consortium-Powered Intelligence: </w:t>
      </w:r>
      <w:r>
        <w:t>Analyzes network insights across 2,800+ customer partners (representing &gt;$13 Trillion in assets and 850M+ counterparties) to detect cross-institutional typologies, achieve up to a 25% reduction in false positives, and deliver a 250% improvement in wire fraud detection by value.</w:t>
      </w:r>
    </w:p>
    <w:p>
      <w:pPr>
        <w:pStyle w:val="ListBullet"/>
        <w:spacing w:after="80"/>
      </w:pPr>
      <w:r>
        <w:rPr>
          <w:b/>
          <w:color w:val="0F2043"/>
        </w:rPr>
        <w:t xml:space="preserve">Agentic AI Workforce: </w:t>
      </w:r>
      <w:r>
        <w:t>Utilizes domain-specific Agentic AI and Generative AI to automate investigation workflows, risk scoring, case analysis, and regulatory narrative creation with low-code/no-code flexibility.</w:t>
      </w:r>
    </w:p>
    <w:p>
      <w:pPr>
        <w:pStyle w:val="ListBullet"/>
        <w:spacing w:after="80"/>
      </w:pPr>
      <w:r>
        <w:rPr>
          <w:b/>
          <w:color w:val="0F2043"/>
        </w:rPr>
        <w:t xml:space="preserve">Privacy by Design &amp; GDPR Compliance: </w:t>
      </w:r>
      <w:r>
        <w:t>Built specifically to uphold European General Data Protection Regulation principles, ensuring robust data minimization, encryption, anonymization, and institutional privacy safeguards.</w:t>
      </w:r>
    </w:p>
    <w:p>
      <w:pPr>
        <w:keepNext/>
        <w:spacing w:before="360" w:after="160"/>
        <w:pBdr>
          <w:bottom w:val="single" w:sz="12" w:space="4" w:color="00A88F"/>
        </w:pBdr>
      </w:pPr>
      <w:r>
        <w:rPr>
          <w:rFonts w:ascii="Arial" w:hAnsi="Arial"/>
          <w:b/>
          <w:color w:val="0F2043"/>
          <w:sz w:val="36"/>
        </w:rPr>
        <w:t>2. Solution Pillars &amp; Specific Use Cases</w:t>
      </w:r>
    </w:p>
    <w:p>
      <w:pPr>
        <w:keepNext/>
        <w:spacing w:before="280" w:after="120"/>
      </w:pPr>
      <w:r>
        <w:rPr>
          <w:rFonts w:ascii="Arial" w:hAnsi="Arial"/>
          <w:b/>
          <w:color w:val="00A88F"/>
          <w:sz w:val="28"/>
        </w:rPr>
        <w:t>2.1 Payments Fraud Detection &amp; Management</w:t>
      </w:r>
    </w:p>
    <w:p>
      <w:pPr>
        <w:spacing w:after="160"/>
      </w:pPr>
      <w:r>
        <w:t>Nasdaq Verafin provides flexible deployment options ranging from real-time API risk scores to complete end-to-end payment fraud, alert, and case management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Use Case / Module</w:t>
            </w:r>
          </w:p>
        </w:tc>
        <w:tc>
          <w:tcPr>
            <w:tcW w:type="dxa" w:w="4608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Functionality &amp; Features</w:t>
            </w:r>
          </w:p>
        </w:tc>
        <w:tc>
          <w:tcPr>
            <w:tcW w:type="dxa" w:w="2160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Target Impact / Value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Instant Payments Fraud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Real-time risk scoring via API and automated decisioning for instant payment schemes (e.g., SEPA Instant).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Prevents instant payment fraud loss without introducing latency.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Authorized Push Payment (APP) Fraud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Consortium-driven intelligence to detect scam typologies, account takeovers, and social engineering in response to UK &amp; EU reimbursement mandates.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Mitigates liability shift risks and reimbursable customer losses.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Wire &amp; ACH Fraud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Multi-layered monitoring of domestic and cross-border transfers using historical behavioral baselines.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Dramatic increase in fraud detection by value (&gt;250%).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Check &amp; Deposit Fraud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Image-based check analytics, counterfeit detection, and deposit channel anomaly monitoring.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Stops stolen and altered checks before funds release.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Online Account Takeover (ATO)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Detects unauthorized session hijacking, credential stuffing, and unusual device/location login behaviors.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Protects digital banking customer accounts.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Card &amp; Loan Fraud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Real-time card transaction risk evaluation and loan application fraud detection.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Reduces credit card chargebacks and default rates from fraud.</w:t>
            </w:r>
          </w:p>
        </w:tc>
      </w:tr>
    </w:tbl>
    <w:p>
      <w:pPr>
        <w:spacing w:before="160"/>
      </w:pPr>
    </w:p>
    <w:p>
      <w:pPr>
        <w:keepNext/>
        <w:spacing w:before="280" w:after="120"/>
      </w:pPr>
      <w:r>
        <w:rPr>
          <w:rFonts w:ascii="Arial" w:hAnsi="Arial"/>
          <w:b/>
          <w:color w:val="00A88F"/>
          <w:sz w:val="28"/>
        </w:rPr>
        <w:t>2.2 Anti-Money Laundering &amp; Counter-Terrorist Financing (AML/CFT)</w:t>
      </w:r>
    </w:p>
    <w:p>
      <w:pPr>
        <w:spacing w:after="160"/>
      </w:pPr>
      <w:r>
        <w:t>Comprehensive AML solution suite designed to detect sophisticated money laundering networks and operationalize targeted typology models.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Use Case / Module</w:t>
            </w:r>
          </w:p>
        </w:tc>
        <w:tc>
          <w:tcPr>
            <w:tcW w:type="dxa" w:w="4608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Functionality &amp; Features</w:t>
            </w:r>
          </w:p>
        </w:tc>
        <w:tc>
          <w:tcPr>
            <w:tcW w:type="dxa" w:w="2160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Target Impact / Value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Targeted Typology Analytics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Pre-built, specialized machine learning analytics targeting specific money laundering typologies.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Higher true-positive rate and precise threat identification.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Drug Trafficking &amp; Funnel Accounts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Monitors structured deposits, rapid movement of funds across multiple branches, and cash-intensive funnels.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Uncovers complex narcotics trafficking payment networks.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Human Trafficking &amp; Smuggling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Detects financial signatures indicative of human exploitation, forced labor, and illegal trafficking rings.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Enables proactive detection and social impact response.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Terrorist Financing (CFT)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Identifies suspicious funding sources, peer-to-peer wire networks, and high-risk jurisdiction corridors.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Ensures compliance with international counter-terrorism standards.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Cross-Institutional Analysis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Uses privacy-protected consortium insights to analyze money movements across multiple institutions.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Stops multi-bank laundering schemes invisible to single institutions.</w:t>
            </w:r>
          </w:p>
        </w:tc>
      </w:tr>
    </w:tbl>
    <w:p>
      <w:pPr>
        <w:spacing w:before="160"/>
      </w:pPr>
    </w:p>
    <w:p>
      <w:pPr>
        <w:keepNext/>
        <w:spacing w:before="280" w:after="120"/>
      </w:pPr>
      <w:r>
        <w:rPr>
          <w:rFonts w:ascii="Arial" w:hAnsi="Arial"/>
          <w:b/>
          <w:color w:val="00A88F"/>
          <w:sz w:val="28"/>
        </w:rPr>
        <w:t>2.3 High-Risk Customer Management &amp; Sanctions Screening</w:t>
      </w:r>
    </w:p>
    <w:p>
      <w:pPr>
        <w:spacing w:after="160"/>
      </w:pPr>
      <w:r>
        <w:t>Provides end-to-end visibility and ongoing surveillance across high-risk accounts, politically exposed persons (PEPs), and global sanctions watchlists.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Use Case / Module</w:t>
            </w:r>
          </w:p>
        </w:tc>
        <w:tc>
          <w:tcPr>
            <w:tcW w:type="dxa" w:w="4608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Functionality &amp; Features</w:t>
            </w:r>
          </w:p>
        </w:tc>
        <w:tc>
          <w:tcPr>
            <w:tcW w:type="dxa" w:w="2160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Target Impact / Value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High-Risk Customer Segmentation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Automated categorizations of high-risk entity types (PEPs, MSBs, crypto businesses, cash-intensive businesses).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Tailored monitoring policies per risk tier.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Dynamic Risk Stratification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Continuous calculation of customer risk scores based on changing transaction behaviors and KYC updates.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Replaces static periodic reviews with dynamic risk updates.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Enhanced Due Diligence (EDD)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Automated EDD workflows, risk profiling tools, and document collection tracking for elevated-risk entities.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Streamlines regulatory audit readiness and compliance.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Sanctions &amp; PEP Screening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Real-time screening of customer databases and payment messages against global sanctions lists, sanctions evasions, and PEP lists.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Prevents illegal transfers and regulatory non-compliance fines.</w:t>
            </w:r>
          </w:p>
        </w:tc>
      </w:tr>
    </w:tbl>
    <w:p>
      <w:pPr>
        <w:spacing w:before="160"/>
      </w:pPr>
    </w:p>
    <w:p>
      <w:pPr>
        <w:keepNext/>
        <w:spacing w:before="280" w:after="120"/>
      </w:pPr>
      <w:r>
        <w:rPr>
          <w:rFonts w:ascii="Arial" w:hAnsi="Arial"/>
          <w:b/>
          <w:color w:val="00A88F"/>
          <w:sz w:val="28"/>
        </w:rPr>
        <w:t>2.4 BSA/AML Compliance &amp; Process Automation</w:t>
      </w:r>
    </w:p>
    <w:p>
      <w:pPr>
        <w:spacing w:after="160"/>
      </w:pPr>
      <w:r>
        <w:t>Automates routine administrative compliance tasks and streamlines alert investigations across the entire enterprise.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Use Case / Module</w:t>
            </w:r>
          </w:p>
        </w:tc>
        <w:tc>
          <w:tcPr>
            <w:tcW w:type="dxa" w:w="4608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Functionality &amp; Features</w:t>
            </w:r>
          </w:p>
        </w:tc>
        <w:tc>
          <w:tcPr>
            <w:tcW w:type="dxa" w:w="2160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Target Impact / Value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Automated Case Management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Centralized investigator workspace consolidating alerts, entity profiles, and transaction histories into a single view.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Increases investigator efficiency and speeds up disposition times.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SAR &amp; CTR Automation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Automated drafting and regulatory submission of Suspicious Activity Reports and Currency Transaction Reports.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Reduces administrative burden and human error.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Agentic AI Narrative Creation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GenAI-powered generation of narrative descriptions for regulatory filings and internal escalations.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Cuts report creation time significantly while ensuring consistency.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Enterprise Reporting &amp; Dashboards</w:t>
            </w:r>
          </w:p>
        </w:tc>
        <w:tc>
          <w:tcPr>
            <w:tcW w:type="dxa" w:w="460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Executive dashboarding for operational metrics, SLA tracking, regulatory audit logs, and fraud trends.</w:t>
            </w:r>
          </w:p>
        </w:tc>
        <w:tc>
          <w:tcPr>
            <w:tcW w:type="dxa" w:w="216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Delivers complete transparency for C-level leadership and board audit committees.</w:t>
            </w:r>
          </w:p>
        </w:tc>
      </w:tr>
    </w:tbl>
    <w:p>
      <w:pPr>
        <w:spacing w:before="160"/>
      </w:pPr>
    </w:p>
    <w:p>
      <w:pPr>
        <w:keepNext/>
        <w:spacing w:before="360" w:after="160"/>
        <w:pBdr>
          <w:bottom w:val="single" w:sz="12" w:space="4" w:color="00A88F"/>
        </w:pBdr>
      </w:pPr>
      <w:r>
        <w:rPr>
          <w:rFonts w:ascii="Arial" w:hAnsi="Arial"/>
          <w:b/>
          <w:color w:val="0F2043"/>
          <w:sz w:val="36"/>
        </w:rPr>
        <w:t>3. Summary of Core Product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Product / Solution Pillar</w:t>
            </w:r>
          </w:p>
        </w:tc>
        <w:tc>
          <w:tcPr>
            <w:tcW w:type="dxa" w:w="3168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Primary Focus Area</w:t>
            </w:r>
          </w:p>
        </w:tc>
        <w:tc>
          <w:tcPr>
            <w:tcW w:type="dxa" w:w="3312"/>
            <w:shd w:val="clear" w:color="auto" w:fill="0F20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European &amp; Global Target Impact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Agentic AI Workforce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Investigation &amp; Filing Automation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Reduces investigative burden and accelerates regulatory reporting.</w:t>
            </w:r>
          </w:p>
        </w:tc>
      </w:tr>
      <w:tr>
        <w:tc>
          <w:tcPr>
            <w:tcW w:type="dxa" w:w="28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Fraud Detection &amp; Management</w:t>
            </w:r>
          </w:p>
        </w:tc>
        <w:tc>
          <w:tcPr>
            <w:tcW w:type="dxa" w:w="316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Payments Fraud (Instant, APP, Wire)</w:t>
            </w:r>
          </w:p>
        </w:tc>
        <w:tc>
          <w:tcPr>
            <w:tcW w:type="dxa" w:w="331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Real-time payment interdiction and reduced reimbursement loss.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AML/CFT Compliance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Typology Analytics &amp; Cross-Bank AML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 true-positive rates for trafficking, CFT, and funnel schemes.</w:t>
            </w:r>
          </w:p>
        </w:tc>
      </w:tr>
      <w:tr>
        <w:tc>
          <w:tcPr>
            <w:tcW w:type="dxa" w:w="28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High-Risk Customer Management</w:t>
            </w:r>
          </w:p>
        </w:tc>
        <w:tc>
          <w:tcPr>
            <w:tcW w:type="dxa" w:w="316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CDD, EDD &amp; Dynamic Risk Stratification</w:t>
            </w:r>
          </w:p>
        </w:tc>
        <w:tc>
          <w:tcPr>
            <w:tcW w:type="dxa" w:w="331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Automated surveillance and continuous customer risk profiling.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Sanctions Screening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Real-Time Watchlist &amp; PEP Interdiction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Zero-latency payment and customer screening against international sanctions.</w:t>
            </w:r>
          </w:p>
        </w:tc>
      </w:tr>
      <w:tr>
        <w:tc>
          <w:tcPr>
            <w:tcW w:type="dxa" w:w="28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Information Sharing / Consortium</w:t>
            </w:r>
          </w:p>
        </w:tc>
        <w:tc>
          <w:tcPr>
            <w:tcW w:type="dxa" w:w="3168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Cross-Institutional Fraud &amp; AML Data</w:t>
            </w:r>
          </w:p>
        </w:tc>
        <w:tc>
          <w:tcPr>
            <w:tcW w:type="dxa" w:w="3312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25% drop in false positives and massive uptick in crime detection.</w:t>
            </w:r>
          </w:p>
        </w:tc>
      </w:tr>
    </w:tbl>
    <w:p>
      <w:pPr>
        <w:spacing w:before="4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