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GitHub Copilot Iterative Promptbook</w:t>
      </w:r>
    </w:p>
    <w:p>
      <w:pPr>
        <w:jc w:val="center"/>
      </w:pPr>
      <w:r>
        <w:rPr>
          <w:b/>
        </w:rPr>
        <w:t>Agentic AI Risk Governance Prototype</w:t>
      </w:r>
    </w:p>
    <w:p>
      <w:pPr>
        <w:jc w:val="center"/>
      </w:pPr>
      <w:r>
        <w:t>React JS | Python FastAPI | PostgreSQL | Alembic | Four End-to-End Iterations</w:t>
      </w:r>
    </w:p>
    <w:p>
      <w:pPr>
        <w:pStyle w:val="Heading1"/>
      </w:pPr>
      <w:r>
        <w:t>1. How to use this promptbook</w:t>
      </w:r>
    </w:p>
    <w:p>
      <w:r>
        <w:t>Use the prompts sequentially in GitHub Copilot Chat from the repository root. Each prompt instructs Copilot to inspect the current repository before changing it, preserve working code, implement only the named scope, run verification, and stop at a defined checkpoint. Commit or create a branch checkpoint after each accepted prompt so later iterations remain additive and reversible.</w:t>
      </w:r>
    </w:p>
    <w:p>
      <w:pPr>
        <w:pStyle w:val="ListBullet"/>
      </w:pPr>
      <w:r>
        <w:t>Attach or place the two source workbooks under docs/source/ if they are not already available to Copilot.</w:t>
      </w:r>
    </w:p>
    <w:p>
      <w:pPr>
        <w:pStyle w:val="ListBullet"/>
      </w:pPr>
      <w:r>
        <w:t>Use one prompt at a time. Do not paste all prompts in a single request.</w:t>
      </w:r>
    </w:p>
    <w:p>
      <w:pPr>
        <w:pStyle w:val="ListBullet"/>
      </w:pPr>
      <w:r>
        <w:t>Review Copilot’s proposed file plan before allowing broad edits.</w:t>
      </w:r>
    </w:p>
    <w:p>
      <w:pPr>
        <w:pStyle w:val="ListBullet"/>
      </w:pPr>
      <w:r>
        <w:t>Require tests and migration validation before moving to the next prompt.</w:t>
      </w:r>
    </w:p>
    <w:p>
      <w:pPr>
        <w:pStyle w:val="ListBullet"/>
      </w:pPr>
      <w:r>
        <w:t>Never edit an Alembic migration that has already been executed. Create a new migration instead.</w:t>
      </w:r>
    </w:p>
    <w:p>
      <w:pPr>
        <w:pStyle w:val="ListBullet"/>
      </w:pPr>
      <w:r>
        <w:t>Do not accept legal or regulatory conclusions automatically. Preserve the human-review boundaries described in the source material.</w:t>
      </w:r>
    </w:p>
    <w:p>
      <w:pPr>
        <w:pStyle w:val="Heading1"/>
      </w:pPr>
      <w:r>
        <w:t>2. Source-aligned delivery scope</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tcPr>
          <w:p>
            <w:r>
              <w:t>Iteration</w:t>
            </w:r>
          </w:p>
        </w:tc>
        <w:tc>
          <w:tcPr>
            <w:tcW w:type="dxa" w:w="2541"/>
          </w:tcPr>
          <w:p>
            <w:r>
              <w:t>Business capability</w:t>
            </w:r>
          </w:p>
        </w:tc>
        <w:tc>
          <w:tcPr>
            <w:tcW w:type="dxa" w:w="2541"/>
          </w:tcPr>
          <w:p>
            <w:r>
              <w:t>Principal records</w:t>
            </w:r>
          </w:p>
        </w:tc>
        <w:tc>
          <w:tcPr>
            <w:tcW w:type="dxa" w:w="2541"/>
          </w:tcPr>
          <w:p>
            <w:r>
              <w:t>Human control</w:t>
            </w:r>
          </w:p>
        </w:tc>
      </w:tr>
      <w:tr>
        <w:tc>
          <w:tcPr>
            <w:tcW w:type="dxa" w:w="2541"/>
          </w:tcPr>
          <w:p>
            <w:r>
              <w:t>Iteration 1</w:t>
            </w:r>
          </w:p>
        </w:tc>
        <w:tc>
          <w:tcPr>
            <w:tcW w:type="dxa" w:w="2541"/>
          </w:tcPr>
          <w:p>
            <w:r>
              <w:t>Inventory and intake</w:t>
            </w:r>
          </w:p>
        </w:tc>
        <w:tc>
          <w:tcPr>
            <w:tcW w:type="dxa" w:w="2541"/>
          </w:tcPr>
          <w:p>
            <w:r>
              <w:t>AI systems, completeness, versions, agent run logs</w:t>
            </w:r>
          </w:p>
        </w:tc>
        <w:tc>
          <w:tcPr>
            <w:tcW w:type="dxa" w:w="2541"/>
          </w:tcPr>
          <w:p>
            <w:r>
              <w:t>Owner confirms data; governance approves records</w:t>
            </w:r>
          </w:p>
        </w:tc>
      </w:tr>
      <w:tr>
        <w:tc>
          <w:tcPr>
            <w:tcW w:type="dxa" w:w="2541"/>
          </w:tcPr>
          <w:p>
            <w:r>
              <w:t>Iteration 2</w:t>
            </w:r>
          </w:p>
        </w:tc>
        <w:tc>
          <w:tcPr>
            <w:tcW w:type="dxa" w:w="2541"/>
          </w:tcPr>
          <w:p>
            <w:r>
              <w:t>EU AI Act and internal risk tiering</w:t>
            </w:r>
          </w:p>
        </w:tc>
        <w:tc>
          <w:tcPr>
            <w:tcW w:type="dxa" w:w="2541"/>
          </w:tcPr>
          <w:p>
            <w:r>
              <w:t>Rules, classifications, confidence, reviews</w:t>
            </w:r>
          </w:p>
        </w:tc>
        <w:tc>
          <w:tcPr>
            <w:tcW w:type="dxa" w:w="2541"/>
          </w:tcPr>
          <w:p>
            <w:r>
              <w:t>Reviewer approves or overrides; T0/T1 enhanced review</w:t>
            </w:r>
          </w:p>
        </w:tc>
      </w:tr>
      <w:tr>
        <w:tc>
          <w:tcPr>
            <w:tcW w:type="dxa" w:w="2541"/>
          </w:tcPr>
          <w:p>
            <w:r>
              <w:t>Iteration 3</w:t>
            </w:r>
          </w:p>
        </w:tc>
        <w:tc>
          <w:tcPr>
            <w:tcW w:type="dxa" w:w="2541"/>
          </w:tcPr>
          <w:p>
            <w:r>
              <w:t>Framework crosswalk and gap assessment</w:t>
            </w:r>
          </w:p>
        </w:tc>
        <w:tc>
          <w:tcPr>
            <w:tcW w:type="dxa" w:w="2541"/>
          </w:tcPr>
          <w:p>
            <w:r>
              <w:t>Requirements, evidence, gaps, attestations</w:t>
            </w:r>
          </w:p>
        </w:tc>
        <w:tc>
          <w:tcPr>
            <w:tcW w:type="dxa" w:w="2541"/>
          </w:tcPr>
          <w:p>
            <w:r>
              <w:t>Control owner attests; second line challenges</w:t>
            </w:r>
          </w:p>
        </w:tc>
      </w:tr>
      <w:tr>
        <w:tc>
          <w:tcPr>
            <w:tcW w:type="dxa" w:w="2541"/>
          </w:tcPr>
          <w:p>
            <w:r>
              <w:t>Iteration 4</w:t>
            </w:r>
          </w:p>
        </w:tc>
        <w:tc>
          <w:tcPr>
            <w:tcW w:type="dxa" w:w="2541"/>
          </w:tcPr>
          <w:p>
            <w:r>
              <w:t>Remediation, monitoring, incidents and reporting</w:t>
            </w:r>
          </w:p>
        </w:tc>
        <w:tc>
          <w:tcPr>
            <w:tcW w:type="dxa" w:w="2541"/>
          </w:tcPr>
          <w:p>
            <w:r>
              <w:t>Actions, events, re-tier cases, reports</w:t>
            </w:r>
          </w:p>
        </w:tc>
        <w:tc>
          <w:tcPr>
            <w:tcW w:type="dxa" w:w="2541"/>
          </w:tcPr>
          <w:p>
            <w:r>
              <w:t>Owners accept plans; Legal decides notifications; governance approves reports</w:t>
            </w:r>
          </w:p>
        </w:tc>
      </w:tr>
    </w:tbl>
    <w:p>
      <w:pPr>
        <w:pStyle w:val="Heading1"/>
      </w:pPr>
      <w:r>
        <w:t>3. Reusable master prompt</w:t>
      </w:r>
    </w:p>
    <w:p>
      <w:pPr>
        <w:pStyle w:val="Heading2"/>
      </w:pPr>
      <w:r>
        <w:t>MP-00 — Repository-aware master instruction</w:t>
      </w:r>
    </w:p>
    <w:p>
      <w:r>
        <w:rPr>
          <w:b/>
        </w:rPr>
        <w:t xml:space="preserve">Purpose: </w:t>
      </w:r>
      <w:r>
        <w:t>Establish non-destructive implementation rules and the target architecture for every subsequent Copilot interaction.</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You are the principal full-stack engineer for an Agentic AI Risk Governance prototype. Work directly in the currently opened repository.</w:t>
              <w:br/>
              <w:br/>
              <w:t>Target stack:</w:t>
              <w:br/>
              <w:t>- React JS with Vite for the frontend.</w:t>
              <w:br/>
              <w:t>- Python 3.11+ with FastAPI, Pydantic and SQLAlchemy 2.x for the backend.</w:t>
              <w:br/>
              <w:t>- Local PostgreSQL database.</w:t>
              <w:br/>
              <w:t>- Alembic for append-only schema migrations.</w:t>
              <w:br/>
              <w:t>- Pytest for backend tests and a suitable React test framework for frontend tests.</w:t>
              <w:br/>
              <w:br/>
              <w:t>Authoritative functional sources:</w:t>
              <w:br/>
              <w:t>1. docs/source/Agentic AI Risk Tiering Prototype – MVP Blueprint &amp; Synthetic Data Pack Ver 1.0.xlsx</w:t>
              <w:br/>
              <w:t>2. docs/source/AI_Risk_Governance_Use_Cases_Ver.1.0.xlsx</w:t>
              <w:br/>
              <w:br/>
              <w:t>Mandatory engineering behavior:</w:t>
              <w:br/>
              <w:t>1. Inspect the repository tree, README, current migrations, package manifests, tests and Git status before proposing changes.</w:t>
              <w:br/>
              <w:t>2. Treat all existing code as valuable. Do not recreate, replace, rename or delete working modules merely to fit a preferred structure.</w:t>
              <w:br/>
              <w:t>3. Never overwrite an existing file wholesale when a focused edit is sufficient. Preserve public interfaces unless the current prompt explicitly requires a controlled versioned change.</w:t>
              <w:br/>
              <w:t>4. Never modify an Alembic migration that may already have run. Add a new migration linked to the current head.</w:t>
              <w:br/>
              <w:t>5. Before coding, return: current-state summary, assumptions, gaps, files to add, files to modify, database impact, tests to add and rollback approach.</w:t>
              <w:br/>
              <w:t>6. Implement only the current prompt’s scope. Do not pre-build later iterations.</w:t>
              <w:br/>
              <w:t>7. Keep regulatory rules configurable and traceable. Do not present prototype logic as legal advice.</w:t>
              <w:br/>
              <w:t>8. Preserve human accountability. Agents may collect, analyze, explain, recommend and route. They must not make final legal, risk-acceptance, incident-notification, audit or deployment decisions.</w:t>
              <w:br/>
              <w:t>9. Use the workbook’s synthetic records. Do not fabricate production data. Clearly label any additional test fixtures as synthetic.</w:t>
              <w:br/>
              <w:t>10. Apply secure defaults: input validation, parameterized persistence, bounded text fields, CORS configuration, secrets in environment variables, safe logging and no sensitive content in logs.</w:t>
              <w:br/>
              <w:t>11. End every implementation with commands run, test results, changed-file list, known limitations and the exact next safe prompt.</w:t>
              <w:br/>
              <w:br/>
              <w:t>For this message, do not change code. Inspect the repository and provide the implementation baseline and gap analysis only.</w:t>
            </w:r>
          </w:p>
        </w:tc>
      </w:tr>
    </w:tbl>
    <w:p>
      <w:r>
        <w:rPr>
          <w:b/>
        </w:rPr>
        <w:t xml:space="preserve">Expected completion evidence: </w:t>
      </w:r>
      <w:r>
        <w:t>A repository-specific baseline with no code changes, a dependency map and confirmation of the current migration head.</w:t>
      </w:r>
    </w:p>
    <w:p>
      <w:pPr>
        <w:pStyle w:val="Heading2"/>
      </w:pPr>
      <w:r>
        <w:t>MP-01 — Establish persistent Copilot repository instructions</w:t>
      </w:r>
    </w:p>
    <w:p>
      <w:r>
        <w:rPr>
          <w:b/>
        </w:rPr>
        <w:t xml:space="preserve">Purpose: </w:t>
      </w:r>
      <w:r>
        <w:t>Create durable instructions that make future Copilot edits consistent.</w:t>
      </w:r>
    </w:p>
    <w:p>
      <w:r>
        <w:rPr>
          <w:b/>
        </w:rPr>
        <w:t xml:space="preserve">Use after: </w:t>
      </w:r>
      <w:r>
        <w:t>MP-00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Using MP-00 as the governing instruction, inspect the repository and add or refine repository-level GitHub Copilot guidance without changing application behavior.</w:t>
              <w:br/>
              <w:br/>
              <w:t>Create .github/copilot-instructions.md if it does not exist. If it exists, merge the following rules without deleting valid existing guidance:</w:t>
              <w:br/>
              <w:t>- State the architecture, directory responsibilities and supported runtime versions.</w:t>
              <w:br/>
              <w:t>- Require repository inspection before editing.</w:t>
              <w:br/>
              <w:t>- Prohibit deletion, wholesale recreation and overwriting of existing working code.</w:t>
              <w:br/>
              <w:t>- Require additive Alembic migrations and an explicit migration-head check.</w:t>
              <w:br/>
              <w:t>- Require API schemas, service logic, persistence and UI concerns to remain separated according to the existing architecture.</w:t>
              <w:br/>
              <w:t>- Require tests for every behavior change.</w:t>
              <w:br/>
              <w:t>- Preserve deterministic tiering rules and human review boundaries.</w:t>
              <w:br/>
              <w:t>- Require synthetic-data labels and prohibit invented production data.</w:t>
              <w:br/>
              <w:t>- Require change summaries, commands executed and test evidence.</w:t>
              <w:br/>
              <w:br/>
              <w:t>Also create docs/development/working-agreement.md containing:</w:t>
              <w:br/>
              <w:t>- branch and commit checkpoint guidance;</w:t>
              <w:br/>
              <w:t>- definition of done;</w:t>
              <w:br/>
              <w:t>- migration policy;</w:t>
              <w:br/>
              <w:t>- API compatibility policy;</w:t>
              <w:br/>
              <w:t>- data-seeding policy;</w:t>
              <w:br/>
              <w:t>- testing gates;</w:t>
              <w:br/>
              <w:t>- rollback guidance.</w:t>
              <w:br/>
              <w:br/>
              <w:t>Do not modify runtime code. Show the exact files created or changed and explain how subsequent prompts should rely on these instructions.</w:t>
            </w:r>
          </w:p>
        </w:tc>
      </w:tr>
    </w:tbl>
    <w:p>
      <w:r>
        <w:rPr>
          <w:b/>
        </w:rPr>
        <w:t xml:space="preserve">Expected completion evidence: </w:t>
      </w:r>
      <w:r>
        <w:t>Copilot instructions and a working agreement committed without application behavior changes.</w:t>
      </w:r>
    </w:p>
    <w:p>
      <w:pPr>
        <w:pStyle w:val="Heading2"/>
      </w:pPr>
      <w:r>
        <w:t>MP-02 — Baseline verification and repair only</w:t>
      </w:r>
    </w:p>
    <w:p>
      <w:r>
        <w:rPr>
          <w:b/>
        </w:rPr>
        <w:t xml:space="preserve">Purpose: </w:t>
      </w:r>
      <w:r>
        <w:t>Make the existing starter package reproducibly runnable before feature work.</w:t>
      </w:r>
    </w:p>
    <w:p>
      <w:r>
        <w:rPr>
          <w:b/>
        </w:rPr>
        <w:t xml:space="preserve">Use after: </w:t>
      </w:r>
      <w:r>
        <w:t>MP-01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Inspect the existing application and verify the current baseline. Do not add new business capabilities.</w:t>
              <w:br/>
              <w:br/>
              <w:t>Tasks:</w:t>
              <w:br/>
              <w:t>1. Check backend imports, configuration loading, SQLAlchemy models, FastAPI startup and Alembic configuration.</w:t>
              <w:br/>
              <w:t>2. Check frontend package configuration, Vite entry point, React rendering and API URL configuration.</w:t>
              <w:br/>
              <w:t>3. Check the local PostgreSQL creation scripts for idempotency and non-destructive behavior.</w:t>
              <w:br/>
              <w:t>4. Add only missing setup artifacts needed for reliable local execution, such as version files, environment documentation or ignored local files.</w:t>
              <w:br/>
              <w:t>5. Run Python compilation and pytest.</w:t>
              <w:br/>
              <w:t>6. Install frontend dependencies only when the environment allows it, then run the production build. If dependencies cannot be installed, perform static inspection and record the limitation without claiming the build passed.</w:t>
              <w:br/>
              <w:t>7. Fix only confirmed defects. Preserve architecture and behavior.</w:t>
              <w:br/>
              <w:t>8. Update README setup steps only where validation proves a correction is required.</w:t>
              <w:br/>
              <w:br/>
              <w:t>Acceptance conditions:</w:t>
              <w:br/>
              <w:t>- Backend imports successfully.</w:t>
              <w:br/>
              <w:t>- Alembic reports a single migration head.</w:t>
              <w:br/>
              <w:t>- Existing tests pass.</w:t>
              <w:br/>
              <w:t>- Frontend build passes, or the precise environmental blocker is documented.</w:t>
              <w:br/>
              <w:t>- No existing feature is removed.</w:t>
            </w:r>
          </w:p>
        </w:tc>
      </w:tr>
    </w:tbl>
    <w:p>
      <w:r>
        <w:rPr>
          <w:b/>
        </w:rPr>
        <w:t xml:space="preserve">Expected completion evidence: </w:t>
      </w:r>
      <w:r>
        <w:t>A clean baseline validation report and only focused defect fixes.</w:t>
      </w:r>
    </w:p>
    <w:p>
      <w:pPr>
        <w:pStyle w:val="Heading1"/>
      </w:pPr>
      <w:r>
        <w:t>4. Iteration 1 — Inventory and Intake</w:t>
      </w:r>
    </w:p>
    <w:p>
      <w:pPr>
        <w:pStyle w:val="Heading2"/>
      </w:pPr>
      <w:r>
        <w:t>I1-P01 — Confirm canonical inventory schema</w:t>
      </w:r>
    </w:p>
    <w:p>
      <w:r>
        <w:rPr>
          <w:b/>
        </w:rPr>
        <w:t xml:space="preserve">Purpose: </w:t>
      </w:r>
      <w:r>
        <w:t>Align the data model with the supplied 27-field inventory without destructive refactoring.</w:t>
      </w:r>
    </w:p>
    <w:p>
      <w:r>
        <w:rPr>
          <w:b/>
        </w:rPr>
        <w:t xml:space="preserve">Use after: </w:t>
      </w:r>
      <w:r>
        <w:t>MP-02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only Iteration 1 schema alignment.</w:t>
              <w:br/>
              <w:br/>
              <w:t>Inspect the workbook sheet Syn_AI_Inventory and compare all canonical fields with the existing AISystem model, API schemas and migration history. Produce a field-mapping table first.</w:t>
              <w:br/>
              <w:br/>
              <w:t>Requirements:</w:t>
              <w:br/>
              <w:t>- Preserve existing columns and API fields.</w:t>
              <w:br/>
              <w:t>- Add missing canonical fields through a new Alembic migration only.</w:t>
              <w:br/>
              <w:t>- Include system identity, purpose/description, business unit, owner, organization role, sourcing, model type, lifecycle stage, EU nexus, Art.5 flag, Annex I flag, Annex III domain, profiling, Art.6(3) derogation, interaction, synthetic content, emotion/biometric indicator, GPAI provider, training compute, impact, data sensitivity, scale, autonomy, human oversight, discovery source and completeness.</w:t>
              <w:br/>
              <w:t>- Use constrained enums or validated strings consistent with the existing design.</w:t>
              <w:br/>
              <w:t>- Add created_at, updated_at and optimistic version number if absent.</w:t>
              <w:br/>
              <w:t>- Do not drop or rename existing columns.</w:t>
              <w:br/>
              <w:t>- Update Pydantic create/update/read schemas with backward-compatible defaults.</w:t>
              <w:br/>
              <w:t>- Add model and migration tests.</w:t>
              <w:br/>
              <w:br/>
              <w:t>After implementation, run alembic upgrade head on a disposable local database, verify one migration head, run tests and report the mapping and any deliberately deferred fields.</w:t>
            </w:r>
          </w:p>
        </w:tc>
      </w:tr>
    </w:tbl>
    <w:p>
      <w:r>
        <w:rPr>
          <w:b/>
        </w:rPr>
        <w:t xml:space="preserve">Expected completion evidence: </w:t>
      </w:r>
      <w:r>
        <w:t>New migration, canonical schema mapping and passing migration/model tests.</w:t>
      </w:r>
    </w:p>
    <w:p>
      <w:pPr>
        <w:pStyle w:val="Heading2"/>
      </w:pPr>
      <w:r>
        <w:t>I1-P02 — Inventory CRUD and immutable change history</w:t>
      </w:r>
    </w:p>
    <w:p>
      <w:r>
        <w:rPr>
          <w:b/>
        </w:rPr>
        <w:t xml:space="preserve">Purpose: </w:t>
      </w:r>
      <w:r>
        <w:t>Complete the backend workflow for creating and maintaining inventory records.</w:t>
      </w:r>
    </w:p>
    <w:p>
      <w:r>
        <w:rPr>
          <w:b/>
        </w:rPr>
        <w:t xml:space="preserve">Use after: </w:t>
      </w:r>
      <w:r>
        <w:t>I1-P01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Iteration 1 inventory CRUD using the existing patterns.</w:t>
              <w:br/>
              <w:br/>
              <w:t>Backend behavior:</w:t>
              <w:br/>
              <w:t>- List systems with pagination, search and filters for business unit, lifecycle stage, owner, sourcing and completeness range.</w:t>
              <w:br/>
              <w:t>- Get one system with its latest details and version history.</w:t>
              <w:br/>
              <w:t>- Create a system with server-side validation and a unique system_id.</w:t>
              <w:br/>
              <w:t>- Update a system using patch semantics so omitted fields remain unchanged.</w:t>
              <w:br/>
              <w:t>- Do not provide hard delete. Add an archived status only if the current schema already supports lifecycle state extension.</w:t>
              <w:br/>
              <w:t>- For every create or update, write an append-only audit record containing entity, entity id, action, actor placeholder, timestamp, changed fields and before/after snapshots.</w:t>
              <w:br/>
              <w:t>- Prevent silent overwrites with a version field or updated_at precondition.</w:t>
              <w:br/>
              <w:t>- Return useful 400, 404 and 409 errors.</w:t>
              <w:br/>
              <w:br/>
              <w:t>Tests:</w:t>
              <w:br/>
              <w:t>- create, retrieve, filter, update and conflict behavior;</w:t>
              <w:br/>
              <w:t>- audit record creation;</w:t>
              <w:br/>
              <w:t>- no audit mutation;</w:t>
              <w:br/>
              <w:t>- validation failures;</w:t>
              <w:br/>
              <w:t>- existing API compatibility.</w:t>
              <w:br/>
              <w:br/>
              <w:t>Do not implement tiering, gaps or remediation in this prompt.</w:t>
            </w:r>
          </w:p>
        </w:tc>
      </w:tr>
    </w:tbl>
    <w:p>
      <w:r>
        <w:rPr>
          <w:b/>
        </w:rPr>
        <w:t xml:space="preserve">Expected completion evidence: </w:t>
      </w:r>
      <w:r>
        <w:t>Working inventory API with traceable version history and tests.</w:t>
      </w:r>
    </w:p>
    <w:p>
      <w:pPr>
        <w:pStyle w:val="Heading2"/>
      </w:pPr>
      <w:r>
        <w:t>I1-P03 — Completeness scoring and open-question service</w:t>
      </w:r>
    </w:p>
    <w:p>
      <w:r>
        <w:rPr>
          <w:b/>
        </w:rPr>
        <w:t xml:space="preserve">Purpose: </w:t>
      </w:r>
      <w:r>
        <w:t>Make intake quality measurable and actionable.</w:t>
      </w:r>
    </w:p>
    <w:p>
      <w:r>
        <w:rPr>
          <w:b/>
        </w:rPr>
        <w:t xml:space="preserve">Use after: </w:t>
      </w:r>
      <w:r>
        <w:t>I1-P02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the Iteration 1 completeness service.</w:t>
              <w:br/>
              <w:br/>
              <w:t>Use a configurable list of mandatory intake fields. Calculate completeness as completed mandatory fields divided by mandatory fields, with a 0–1 stored value and percentage returned by the API.</w:t>
              <w:br/>
              <w:br/>
              <w:t>Requirements:</w:t>
              <w:br/>
              <w:t>- Explain which fields are complete, missing or invalid.</w:t>
              <w:br/>
              <w:t>- Recompute completeness on create and update.</w:t>
              <w:br/>
              <w:t>- Expose an endpoint returning completeness, missing fields and prioritized questions.</w:t>
              <w:br/>
              <w:t>- Prioritize questions required for scope and Art.5 screening ahead of lower-risk metadata.</w:t>
              <w:br/>
              <w:t>- Do not invoke an LLM. Use deterministic templates for questions.</w:t>
              <w:br/>
              <w:t>- Add a configurable 95% target and a record-level status: Incomplete, Review Ready or Complete.</w:t>
              <w:br/>
              <w:t>- Maintain the workbook’s synthetic completeness values only for seed comparison; recomputed application values must derive from current records.</w:t>
              <w:br/>
              <w:t>- Add tests for empty, partial and complete records and edge values.</w:t>
              <w:br/>
              <w:br/>
              <w:t>Update backend documentation and API examples. Do not change the tiering engine.</w:t>
            </w:r>
          </w:p>
        </w:tc>
      </w:tr>
    </w:tbl>
    <w:p>
      <w:r>
        <w:rPr>
          <w:b/>
        </w:rPr>
        <w:t xml:space="preserve">Expected completion evidence: </w:t>
      </w:r>
      <w:r>
        <w:t>Deterministic completeness scoring, missing-field explanations and tests.</w:t>
      </w:r>
    </w:p>
    <w:p>
      <w:pPr>
        <w:pStyle w:val="Heading2"/>
      </w:pPr>
      <w:r>
        <w:t>I1-P04 — Inventory and intake user interface</w:t>
      </w:r>
    </w:p>
    <w:p>
      <w:r>
        <w:rPr>
          <w:b/>
        </w:rPr>
        <w:t xml:space="preserve">Purpose: </w:t>
      </w:r>
      <w:r>
        <w:t>Deliver an end-to-end React experience for Iteration 1.</w:t>
      </w:r>
    </w:p>
    <w:p>
      <w:r>
        <w:rPr>
          <w:b/>
        </w:rPr>
        <w:t xml:space="preserve">Use after: </w:t>
      </w:r>
      <w:r>
        <w:t>I1-P03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only the React user experience for Iteration 1 using the existing visual style.</w:t>
              <w:br/>
              <w:br/>
              <w:t>Pages/components:</w:t>
              <w:br/>
              <w:t>- Inventory dashboard with total systems, average completeness, lifecycle distribution and low-completeness queue.</w:t>
              <w:br/>
              <w:t>- Searchable and filterable inventory list.</w:t>
              <w:br/>
              <w:t>- Create/edit intake form grouped into Purpose &amp; Ownership, Regulatory Indicators, Model &amp; Data, Risk Factors and Oversight.</w:t>
              <w:br/>
              <w:t>- Record detail view with completeness, missing-field questions and version history.</w:t>
              <w:br/>
              <w:t>- Client-side validation matching backend constraints, while treating backend validation as authoritative.</w:t>
              <w:br/>
              <w:t>- Clear synthetic-data label.</w:t>
              <w:br/>
              <w:br/>
              <w:t>Behavior:</w:t>
              <w:br/>
              <w:t>- Use the existing API client convention.</w:t>
              <w:br/>
              <w:t>- Provide loading, empty, validation and API-error states.</w:t>
              <w:br/>
              <w:t>- Do not hardcode workbook records into React components.</w:t>
              <w:br/>
              <w:t>- Do not implement a conversational chatbot in this iteration; present guided questions as a structured form.</w:t>
              <w:br/>
              <w:t>- Make forms keyboard accessible and label all controls.</w:t>
              <w:br/>
              <w:br/>
              <w:t>Add component tests for rendering, validation and a successful create/update flow with mocked APIs. Run frontend tests and production build.</w:t>
            </w:r>
          </w:p>
        </w:tc>
      </w:tr>
    </w:tbl>
    <w:p>
      <w:r>
        <w:rPr>
          <w:b/>
        </w:rPr>
        <w:t xml:space="preserve">Expected completion evidence: </w:t>
      </w:r>
      <w:r>
        <w:t>A fully usable Inventory and Intake UI connected to the backend.</w:t>
      </w:r>
    </w:p>
    <w:p>
      <w:pPr>
        <w:pStyle w:val="Heading2"/>
      </w:pPr>
      <w:r>
        <w:t>I1-P05 — Workbook import and idempotent seed validation</w:t>
      </w:r>
    </w:p>
    <w:p>
      <w:r>
        <w:rPr>
          <w:b/>
        </w:rPr>
        <w:t xml:space="preserve">Purpose: </w:t>
      </w:r>
      <w:r>
        <w:t>Load supplied synthetic records safely and reconcile them with the application schema.</w:t>
      </w:r>
    </w:p>
    <w:p>
      <w:r>
        <w:rPr>
          <w:b/>
        </w:rPr>
        <w:t xml:space="preserve">Use after: </w:t>
      </w:r>
      <w:r>
        <w:t>I1-P04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an idempotent workbook import path for Iteration 1.</w:t>
              <w:br/>
              <w:br/>
              <w:t>Requirements:</w:t>
              <w:br/>
              <w:t>- Read Syn_AI_Inventory from the supplied workbook using an offline import command or script.</w:t>
              <w:br/>
              <w:t>- Map workbook headers through an explicit mapping dictionary.</w:t>
              <w:br/>
              <w:t>- Validate every row before persistence.</w:t>
              <w:br/>
              <w:t>- Support dry-run mode that reports inserts, updates, skips and errors without writing.</w:t>
              <w:br/>
              <w:t>- Default behavior must never overwrite an existing record. Updates require an explicit --allow-update flag and must create audit history.</w:t>
              <w:br/>
              <w:t>- Store import run metadata and row-level error messages without logging sensitive content.</w:t>
              <w:br/>
              <w:t>- Preserve system IDs AI-001 through AI-030 from the provided synthetic data.</w:t>
              <w:br/>
              <w:t>- Add tests using a small generated workbook fixture.</w:t>
              <w:br/>
              <w:t>- Document exact commands for dry run and import.</w:t>
              <w:br/>
              <w:br/>
              <w:t>Do not import tiering, gaps, remediation or monitoring sheets yet.</w:t>
            </w:r>
          </w:p>
        </w:tc>
      </w:tr>
    </w:tbl>
    <w:p>
      <w:r>
        <w:rPr>
          <w:b/>
        </w:rPr>
        <w:t xml:space="preserve">Expected completion evidence: </w:t>
      </w:r>
      <w:r>
        <w:t>Repeatable non-destructive seed/import process with reconciliation report.</w:t>
      </w:r>
    </w:p>
    <w:p>
      <w:pPr>
        <w:pStyle w:val="Heading2"/>
      </w:pPr>
      <w:r>
        <w:t>I1-P06 — Iteration 1 hardening and exit gate</w:t>
      </w:r>
    </w:p>
    <w:p>
      <w:r>
        <w:rPr>
          <w:b/>
        </w:rPr>
        <w:t xml:space="preserve">Purpose: </w:t>
      </w:r>
      <w:r>
        <w:t>Confirm Iteration 1 is independently deployable and demonstrable.</w:t>
      </w:r>
    </w:p>
    <w:p>
      <w:r>
        <w:rPr>
          <w:b/>
        </w:rPr>
        <w:t xml:space="preserve">Use after: </w:t>
      </w:r>
      <w:r>
        <w:t>I1-P05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Perform the Iteration 1 exit review. Do not implement Iteration 2.</w:t>
              <w:br/>
              <w:br/>
              <w:t>Verify against these capabilities: inventory CRUD, canonical schema, completeness scoring, guided intake questions, audit history, workbook import and React views.</w:t>
              <w:br/>
              <w:br/>
              <w:t>Tasks:</w:t>
              <w:br/>
              <w:t>- Add missing integration tests covering React -&gt; API -&gt; PostgreSQL behavior where feasible.</w:t>
              <w:br/>
              <w:t>- Add health/readiness checks that verify database connectivity.</w:t>
              <w:br/>
              <w:t>- Validate CORS and environment configuration.</w:t>
              <w:br/>
              <w:t>- Validate pagination and reasonable input limits.</w:t>
              <w:br/>
              <w:t>- Run migration from an empty database and from the previous migration revision.</w:t>
              <w:br/>
              <w:t>- Run backend tests, frontend tests and frontend production build.</w:t>
              <w:br/>
              <w:t>- Create docs/iterations/iteration-1-acceptance.md with requirements, evidence, commands, results, known gaps and demo script.</w:t>
              <w:br/>
              <w:t>- Do not mark an item complete without test or inspection evidence.</w:t>
              <w:br/>
              <w:br/>
              <w:t>Stop after the exit report. Recommend proceeding to Iteration 2 only if all Must capabilities pass.</w:t>
            </w:r>
          </w:p>
        </w:tc>
      </w:tr>
    </w:tbl>
    <w:p>
      <w:r>
        <w:rPr>
          <w:b/>
        </w:rPr>
        <w:t xml:space="preserve">Expected completion evidence: </w:t>
      </w:r>
      <w:r>
        <w:t>Iteration 1 acceptance record and reproducible demonstration path.</w:t>
      </w:r>
    </w:p>
    <w:p>
      <w:pPr>
        <w:pStyle w:val="Heading1"/>
      </w:pPr>
      <w:r>
        <w:t>5. Iteration 2 — EU AI Act Risk Tiering</w:t>
      </w:r>
    </w:p>
    <w:p>
      <w:pPr>
        <w:pStyle w:val="Heading2"/>
      </w:pPr>
      <w:r>
        <w:t>I2-P01 — Versioned deterministic tiering rules</w:t>
      </w:r>
    </w:p>
    <w:p>
      <w:r>
        <w:rPr>
          <w:b/>
        </w:rPr>
        <w:t xml:space="preserve">Purpose: </w:t>
      </w:r>
      <w:r>
        <w:t>Implement R1–R12 as an auditable rules service.</w:t>
      </w:r>
    </w:p>
    <w:p>
      <w:r>
        <w:rPr>
          <w:b/>
        </w:rPr>
        <w:t xml:space="preserve">Use after: </w:t>
      </w:r>
      <w:r>
        <w:t>Iteration 1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the deterministic tiering foundation from Tiering_Rules and Config.</w:t>
              <w:br/>
              <w:br/>
              <w:t>Requirements:</w:t>
              <w:br/>
              <w:t>- Represent rules R1–R12 as versioned configuration or database records, not scattered UI logic.</w:t>
              <w:br/>
              <w:t>- Evaluate in order: EU scope, prohibited practice, Annex I, Annex III, profiling, derogation, GPAI, systemic-risk threshold, transparency, default minimal risk, contextual score and final internal tier.</w:t>
              <w:br/>
              <w:t>- Contextual score weights: impact 0.4, data sensitivity 0.3, scale 0.2 and autonomy 0.1; configure, do not hardcode duplicates.</w:t>
              <w:br/>
              <w:t>- Proposed thresholds: score &gt;=4 gives T1 and score &gt;=3 gives T2; the more severe EU-derived and score-derived tier wins; prohibited is always T0.</w:t>
              <w:br/>
              <w:t>- Return decision path, matched rules, field evidence, rationale, configuration version and timestamp.</w:t>
              <w:br/>
              <w:t>- Do not claim legal determination. Label results Proposed until human review.</w:t>
              <w:br/>
              <w:t>- Add golden unit tests for prohibited, Annex I, Annex III, derogation, GPAI, limited, minimal and out-of-scope cases, including AI-028 hidden emotion indicator as a review-escalation scenario.</w:t>
              <w:br/>
              <w:t>- Add a new migration for rule versions and decisions if needed; do not revise earlier migrations.</w:t>
            </w:r>
          </w:p>
        </w:tc>
      </w:tr>
    </w:tbl>
    <w:p>
      <w:r>
        <w:rPr>
          <w:b/>
        </w:rPr>
        <w:t xml:space="preserve">Expected completion evidence: </w:t>
      </w:r>
      <w:r>
        <w:t>Versioned rules engine with decision-path tests and no legal auto-approval.</w:t>
      </w:r>
    </w:p>
    <w:p>
      <w:pPr>
        <w:pStyle w:val="Heading2"/>
      </w:pPr>
      <w:r>
        <w:t>I2-P02 — Description indicator screening and challenge output</w:t>
      </w:r>
    </w:p>
    <w:p>
      <w:r>
        <w:rPr>
          <w:b/>
        </w:rPr>
        <w:t xml:space="preserve">Purpose: </w:t>
      </w:r>
      <w:r>
        <w:t>Add controlled free-text signal detection without requiring an external model.</w:t>
      </w:r>
    </w:p>
    <w:p>
      <w:r>
        <w:rPr>
          <w:b/>
        </w:rPr>
        <w:t xml:space="preserve">Use after: </w:t>
      </w:r>
      <w:r>
        <w:t>I2-P01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Add a deterministic description-screening service that complements, but does not override, structured flags.</w:t>
              <w:br/>
              <w:br/>
              <w:t>Implement configurable keyword/pattern indicators for likely Art.5 and Annex III signals, including workplace/education emotion inference, biometric categorization, social scoring, manipulation, vulnerability, recruitment, creditworthiness, life/health insurance and other workbook examples.</w:t>
              <w:br/>
              <w:br/>
              <w:t>Requirements:</w:t>
              <w:br/>
              <w:t>- Return detected indicator, matched text span, suggested rule, confidence band and review question.</w:t>
              <w:br/>
              <w:t>- Never automatically downgrade a rules-engine result.</w:t>
              <w:br/>
              <w:t>- Any possible prohibited indicator creates a mandatory Legal review signal.</w:t>
              <w:br/>
              <w:t>- Keep patterns in versioned configuration with tests.</w:t>
              <w:br/>
              <w:t>- Store findings with the tiering decision.</w:t>
              <w:br/>
              <w:t>- Clearly distinguish deterministic pattern confidence from statistical model probability.</w:t>
              <w:br/>
              <w:t>- Add tests for false-positive-prone examples such as fraud detection and verification-only biometrics.</w:t>
              <w:br/>
              <w:br/>
              <w:t>Do not add external LLM or RAG calls in this local prototype prompt.</w:t>
            </w:r>
          </w:p>
        </w:tc>
      </w:tr>
    </w:tbl>
    <w:p>
      <w:r>
        <w:rPr>
          <w:b/>
        </w:rPr>
        <w:t xml:space="preserve">Expected completion evidence: </w:t>
      </w:r>
      <w:r>
        <w:t>Explainable text indicators and challenge questions integrated into decisions.</w:t>
      </w:r>
    </w:p>
    <w:p>
      <w:pPr>
        <w:pStyle w:val="Heading2"/>
      </w:pPr>
      <w:r>
        <w:t>I2-P03 — Review routing and human decision workbench API</w:t>
      </w:r>
    </w:p>
    <w:p>
      <w:r>
        <w:rPr>
          <w:b/>
        </w:rPr>
        <w:t xml:space="preserve">Purpose: </w:t>
      </w:r>
      <w:r>
        <w:t>Enforce fast-track and enhanced-review controls.</w:t>
      </w:r>
    </w:p>
    <w:p>
      <w:r>
        <w:rPr>
          <w:b/>
        </w:rPr>
        <w:t xml:space="preserve">Use after: </w:t>
      </w:r>
      <w:r>
        <w:t>I2-P02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the tier review workflow.</w:t>
              <w:br/>
              <w:br/>
              <w:t>Routing rules:</w:t>
              <w:br/>
              <w:t>- Fast-track only when rules and description screening agree, confidence is at or above configurable 0.85 and final internal tier is not T0/T1.</w:t>
              <w:br/>
              <w:t>- T0 requires Legal involvement and a hard-stop state.</w:t>
              <w:br/>
              <w:t>- T1 requires two-reviewer workflow.</w:t>
              <w:br/>
              <w:t>- Any disagreement, weak derogation, missing evidence or low confidence requires full review.</w:t>
              <w:br/>
              <w:br/>
              <w:t>API behavior:</w:t>
              <w:br/>
              <w:t>- Queue decisions by route and status.</w:t>
              <w:br/>
              <w:t>- Allow approve or override with mandatory reason.</w:t>
              <w:br/>
              <w:t>- Record reviewer identity placeholder, timestamp, prior proposal and final decision.</w:t>
              <w:br/>
              <w:t>- Prevent the same reviewer from satisfying both T1 approvals.</w:t>
              <w:br/>
              <w:t>- Preserve every decision version; never update audit history in place.</w:t>
              <w:br/>
              <w:t>- Create a blocker record for T0 without automatically changing external systems.</w:t>
              <w:br/>
              <w:t>- Expose decision history and pending approvals.</w:t>
              <w:br/>
              <w:br/>
              <w:t>Add authorization placeholders through explicit service-layer checks, tests for all transitions and invalid-state rejection.</w:t>
            </w:r>
          </w:p>
        </w:tc>
      </w:tr>
    </w:tbl>
    <w:p>
      <w:r>
        <w:rPr>
          <w:b/>
        </w:rPr>
        <w:t xml:space="preserve">Expected completion evidence: </w:t>
      </w:r>
      <w:r>
        <w:t>Controlled review workflow and immutable human decision history.</w:t>
      </w:r>
    </w:p>
    <w:p>
      <w:pPr>
        <w:pStyle w:val="Heading2"/>
      </w:pPr>
      <w:r>
        <w:t>I2-P04 — Tiering and review React experience</w:t>
      </w:r>
    </w:p>
    <w:p>
      <w:r>
        <w:rPr>
          <w:b/>
        </w:rPr>
        <w:t xml:space="preserve">Purpose: </w:t>
      </w:r>
      <w:r>
        <w:t>Make proposed classifications understandable and reviewable.</w:t>
      </w:r>
    </w:p>
    <w:p>
      <w:r>
        <w:rPr>
          <w:b/>
        </w:rPr>
        <w:t xml:space="preserve">Use after: </w:t>
      </w:r>
      <w:r>
        <w:t>I2-P03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the Iteration 2 frontend while preserving Iteration 1.</w:t>
              <w:br/>
              <w:br/>
              <w:t>Views:</w:t>
              <w:br/>
              <w:t>- Tiering queue with EU tier, internal tier, contextual score, confidence, review route and status.</w:t>
              <w:br/>
              <w:t>- System classification detail with ordered decision path, matched indicators and explicit source fields.</w:t>
              <w:br/>
              <w:t>- Side-by-side Proposed versus Final decision.</w:t>
              <w:br/>
              <w:t>- Review modal supporting approve or override, mandatory reason and second-reviewer state.</w:t>
              <w:br/>
              <w:t>- Prominent T0 stop banner and Legal-review requirement.</w:t>
              <w:br/>
              <w:t>- Rule/configuration version display.</w:t>
              <w:br/>
              <w:br/>
              <w:t>Usability:</w:t>
              <w:br/>
              <w:t>- Use accessible tier badges with text, not color alone.</w:t>
              <w:br/>
              <w:t>- Show why fast-track is or is not available.</w:t>
              <w:br/>
              <w:t>- Prevent approval controls when prerequisites are unmet.</w:t>
              <w:br/>
              <w:t>- Preserve all existing Inventory routes and behavior.</w:t>
              <w:br/>
              <w:br/>
              <w:t>Add component and API-integration tests. Run the production build.</w:t>
            </w:r>
          </w:p>
        </w:tc>
      </w:tr>
    </w:tbl>
    <w:p>
      <w:r>
        <w:rPr>
          <w:b/>
        </w:rPr>
        <w:t xml:space="preserve">Expected completion evidence: </w:t>
      </w:r>
      <w:r>
        <w:t>Reviewer workbench with end-to-end propose, review and override flow.</w:t>
      </w:r>
    </w:p>
    <w:p>
      <w:pPr>
        <w:pStyle w:val="Heading2"/>
      </w:pPr>
      <w:r>
        <w:t>I2-P05 — Golden dataset evaluation harness</w:t>
      </w:r>
    </w:p>
    <w:p>
      <w:r>
        <w:rPr>
          <w:b/>
        </w:rPr>
        <w:t xml:space="preserve">Purpose: </w:t>
      </w:r>
      <w:r>
        <w:t>Measure whether rule changes remain safe.</w:t>
      </w:r>
    </w:p>
    <w:p>
      <w:r>
        <w:rPr>
          <w:b/>
        </w:rPr>
        <w:t xml:space="preserve">Use after: </w:t>
      </w:r>
      <w:r>
        <w:t>I2-P04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Create a regression evaluation harness using Syn_Tiering and additional explicitly synthetic edge cases.</w:t>
              <w:br/>
              <w:br/>
              <w:t>Requirements:</w:t>
              <w:br/>
              <w:t>- Import labelled cases without overwriting operational decisions.</w:t>
              <w:br/>
              <w:t>- Calculate rules-versus-SME agreement, prohibited recall, under-classification count, over-classification count and confusion matrix by EU tier.</w:t>
              <w:br/>
              <w:t>- Treat 100% prohibited recall as the mandatory release gate.</w:t>
              <w:br/>
              <w:t>- Report disagreements with system ID, expected tier, actual tier and decision path.</w:t>
              <w:br/>
              <w:t>- Separate seed/evaluation data from transactional tables.</w:t>
              <w:br/>
              <w:t>- Add a CLI command and machine-readable JSON report.</w:t>
              <w:br/>
              <w:t>- Add CI-friendly non-zero exit behavior when mandatory gates fail.</w:t>
              <w:br/>
              <w:t>- Do not invent a result; compute from the executed harness.</w:t>
              <w:br/>
              <w:br/>
              <w:t>Document how a rule/configuration change requires rerunning the harness.</w:t>
            </w:r>
          </w:p>
        </w:tc>
      </w:tr>
    </w:tbl>
    <w:p>
      <w:r>
        <w:rPr>
          <w:b/>
        </w:rPr>
        <w:t xml:space="preserve">Expected completion evidence: </w:t>
      </w:r>
      <w:r>
        <w:t>Reproducible tiering metrics and a release gate for prohibited recall.</w:t>
      </w:r>
    </w:p>
    <w:p>
      <w:pPr>
        <w:pStyle w:val="Heading2"/>
      </w:pPr>
      <w:r>
        <w:t>I2-P06 — Iteration 2 exit gate</w:t>
      </w:r>
    </w:p>
    <w:p>
      <w:r>
        <w:rPr>
          <w:b/>
        </w:rPr>
        <w:t xml:space="preserve">Purpose: </w:t>
      </w:r>
      <w:r>
        <w:t>Verify tiering, explainability and review workflow without weakening controls.</w:t>
      </w:r>
    </w:p>
    <w:p>
      <w:r>
        <w:rPr>
          <w:b/>
        </w:rPr>
        <w:t xml:space="preserve">Use after: </w:t>
      </w:r>
      <w:r>
        <w:t>I2-P05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Conduct the Iteration 2 exit review without implementing framework gaps.</w:t>
              <w:br/>
              <w:br/>
              <w:t>Verify deterministic rules, text indicators, contextual scoring, routing, review controls, hard stop, immutable history and golden-set evaluation.</w:t>
              <w:br/>
              <w:br/>
              <w:t>Run:</w:t>
              <w:br/>
              <w:t>- empty and upgrade database migrations;</w:t>
              <w:br/>
              <w:t>- backend unit and integration tests;</w:t>
              <w:br/>
              <w:t>- golden-set evaluation;</w:t>
              <w:br/>
              <w:t>- frontend tests and production build;</w:t>
              <w:br/>
              <w:t>- API smoke tests for classify, review, override and history.</w:t>
              <w:br/>
              <w:br/>
              <w:t>Create docs/iterations/iteration-2-acceptance.md with evidence and a demonstration using AI-028. Explicitly distinguish computed prototype behavior from Legal confirmation.</w:t>
            </w:r>
          </w:p>
        </w:tc>
      </w:tr>
    </w:tbl>
    <w:p>
      <w:r>
        <w:rPr>
          <w:b/>
        </w:rPr>
        <w:t xml:space="preserve">Expected completion evidence: </w:t>
      </w:r>
      <w:r>
        <w:t>Iteration 2 acceptance evidence and regression metrics.</w:t>
      </w:r>
    </w:p>
    <w:p>
      <w:pPr>
        <w:pStyle w:val="Heading1"/>
      </w:pPr>
      <w:r>
        <w:t>6. Iteration 3 — Crosswalk and Gap Assessment</w:t>
      </w:r>
    </w:p>
    <w:p>
      <w:pPr>
        <w:pStyle w:val="Heading2"/>
      </w:pPr>
      <w:r>
        <w:t>I3-P01 — Versioned framework requirement library</w:t>
      </w:r>
    </w:p>
    <w:p>
      <w:r>
        <w:rPr>
          <w:b/>
        </w:rPr>
        <w:t xml:space="preserve">Purpose: </w:t>
      </w:r>
      <w:r>
        <w:t>Persist the supplied 24-requirement crosswalk.</w:t>
      </w:r>
    </w:p>
    <w:p>
      <w:r>
        <w:rPr>
          <w:b/>
        </w:rPr>
        <w:t xml:space="preserve">Use after: </w:t>
      </w:r>
      <w:r>
        <w:t>Iteration 2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the versioned Framework_Map requirement library.</w:t>
              <w:br/>
              <w:br/>
              <w:t>Requirements:</w:t>
              <w:br/>
              <w:t>- Import R01–R24 with theme, requirement, EU reference, NIST AI RMF reference, ISO/IEC 42001 reference, applicability, expected evidence, automation potential and checking agent.</w:t>
              <w:br/>
              <w:t>- Store crosswalk version, source file, effective date placeholder, status and change history.</w:t>
              <w:br/>
              <w:t>- Never overwrite a published version. Create a draft successor version.</w:t>
              <w:br/>
              <w:t>- Add API endpoints to list versions, inspect requirements and compare two versions.</w:t>
              <w:br/>
              <w:t>- Label the mappings illustrative and subject to Legal/Compliance validation.</w:t>
              <w:br/>
              <w:t>- Add a non-destructive importer with dry run.</w:t>
              <w:br/>
              <w:t>- Add data validation and tests ensuring unique requirement IDs within a version.</w:t>
            </w:r>
          </w:p>
        </w:tc>
      </w:tr>
    </w:tbl>
    <w:p>
      <w:r>
        <w:rPr>
          <w:b/>
        </w:rPr>
        <w:t xml:space="preserve">Expected completion evidence: </w:t>
      </w:r>
      <w:r>
        <w:t>Auditable, versioned R01–R24 requirement library.</w:t>
      </w:r>
    </w:p>
    <w:p>
      <w:pPr>
        <w:pStyle w:val="Heading2"/>
      </w:pPr>
      <w:r>
        <w:t>I3-P02 — Tier-to-requirement applicability service</w:t>
      </w:r>
    </w:p>
    <w:p>
      <w:r>
        <w:rPr>
          <w:b/>
        </w:rPr>
        <w:t xml:space="preserve">Purpose: </w:t>
      </w:r>
      <w:r>
        <w:t>Generate each system’s required assessment scope.</w:t>
      </w:r>
    </w:p>
    <w:p>
      <w:r>
        <w:rPr>
          <w:b/>
        </w:rPr>
        <w:t xml:space="preserve">Use after: </w:t>
      </w:r>
      <w:r>
        <w:t>I3-P01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deterministic applicability from the final validated tier and system role.</w:t>
              <w:br/>
              <w:br/>
              <w:t>Requirements:</w:t>
              <w:br/>
              <w:t>- Generate an applicable requirement set for each system using Framework_Map Applies To and explicit mappings.</w:t>
              <w:br/>
              <w:t>- Record why each requirement is applicable or excluded.</w:t>
              <w:br/>
              <w:t>- Pin each generated assessment to a crosswalk version and a tiering-decision version.</w:t>
              <w:br/>
              <w:t>- Recompute only through an explicit regenerate action; never silently rewrite an active assessment.</w:t>
              <w:br/>
              <w:t>- Flag assessments stale when tier or crosswalk version changes.</w:t>
              <w:br/>
              <w:t>- Expose API endpoints to generate, retrieve and compare applicability sets.</w:t>
              <w:br/>
              <w:t>- Add tests for T0, T1, T2, T3, GPAI and deployer/provider variations.</w:t>
            </w:r>
          </w:p>
        </w:tc>
      </w:tr>
    </w:tbl>
    <w:p>
      <w:r>
        <w:rPr>
          <w:b/>
        </w:rPr>
        <w:t xml:space="preserve">Expected completion evidence: </w:t>
      </w:r>
      <w:r>
        <w:t>Traceable applicable-requirement sets and stale-assessment detection.</w:t>
      </w:r>
    </w:p>
    <w:p>
      <w:pPr>
        <w:pStyle w:val="Heading2"/>
      </w:pPr>
      <w:r>
        <w:t>I3-P03 — Evidence register and gap status workflow</w:t>
      </w:r>
    </w:p>
    <w:p>
      <w:r>
        <w:rPr>
          <w:b/>
        </w:rPr>
        <w:t xml:space="preserve">Purpose: </w:t>
      </w:r>
      <w:r>
        <w:t>Support evidence-linked control assessment with human attestation.</w:t>
      </w:r>
    </w:p>
    <w:p>
      <w:r>
        <w:rPr>
          <w:b/>
        </w:rPr>
        <w:t xml:space="preserve">Use after: </w:t>
      </w:r>
      <w:r>
        <w:t>I3-P02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the evidence and gap assessment workflow.</w:t>
              <w:br/>
              <w:br/>
              <w:t>Data model:</w:t>
              <w:br/>
              <w:t>- evidence reference, title, source type, source location, hash placeholder, collected timestamp, evidence owner, freshness date and status;</w:t>
              <w:br/>
              <w:t>- requirement assessment status: Implemented, Partially Implemented, Not Implemented, Not Assessed or Not Applicable;</w:t>
              <w:br/>
              <w:t>- rationale, confidence, assessor and attestation state.</w:t>
              <w:br/>
              <w:br/>
              <w:t>Controls:</w:t>
              <w:br/>
              <w:t>- No Implemented status without at least one evidence reference.</w:t>
              <w:br/>
              <w:t>- T1 Implemented requires human attestation.</w:t>
              <w:br/>
              <w:t>- Preserve assessment history and prior evidence links.</w:t>
              <w:br/>
              <w:t>- Do not ingest document contents for this prototype; store references and metadata.</w:t>
              <w:br/>
              <w:t>- Validate URLs/paths conservatively and avoid exposing local secrets.</w:t>
              <w:br/>
              <w:t>- Add CRUD APIs, transition rules and tests.</w:t>
            </w:r>
          </w:p>
        </w:tc>
      </w:tr>
    </w:tbl>
    <w:p>
      <w:r>
        <w:rPr>
          <w:b/>
        </w:rPr>
        <w:t xml:space="preserve">Expected completion evidence: </w:t>
      </w:r>
      <w:r>
        <w:t>Evidence-linked gap workflow with enforced attestation rules.</w:t>
      </w:r>
    </w:p>
    <w:p>
      <w:pPr>
        <w:pStyle w:val="Heading2"/>
      </w:pPr>
      <w:r>
        <w:t>I3-P04 — Compliance scoring and framework profiles</w:t>
      </w:r>
    </w:p>
    <w:p>
      <w:r>
        <w:rPr>
          <w:b/>
        </w:rPr>
        <w:t xml:space="preserve">Purpose: </w:t>
      </w:r>
      <w:r>
        <w:t>Compute transparent scores and generate draft profiles.</w:t>
      </w:r>
    </w:p>
    <w:p>
      <w:r>
        <w:rPr>
          <w:b/>
        </w:rPr>
        <w:t xml:space="preserve">Use after: </w:t>
      </w:r>
      <w:r>
        <w:t>I3-P03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compliance scoring and draft framework outputs.</w:t>
              <w:br/>
              <w:br/>
              <w:t>Scoring:</w:t>
              <w:br/>
              <w:t>- Implemented = 1.0; Partially Implemented = configurable 0.5; Not Implemented and Not Assessed = 0.</w:t>
              <w:br/>
              <w:t>- Exclude Not Applicable from the denominator.</w:t>
              <w:br/>
              <w:t>- Calculate per system, tier, theme and framework.</w:t>
              <w:br/>
              <w:t>- Return numerator, denominator and item detail so every score reconciles.</w:t>
              <w:br/>
              <w:br/>
              <w:t>Outputs:</w:t>
              <w:br/>
              <w:t>- Draft NIST AI RMF profile grouped by GOVERN, MAP, MEASURE and MANAGE.</w:t>
              <w:br/>
              <w:t>- Draft ISO Statement of Applicability view using the crosswalk.</w:t>
              <w:br/>
              <w:t>- GPAI checklist for applicable systems.</w:t>
              <w:br/>
              <w:t>- Mark every generated artefact Draft and AI-assisted; do not claim certification or compliance.</w:t>
              <w:br/>
              <w:br/>
              <w:t>Add API endpoints, exportable JSON/CSV where supported by existing libraries, and reconciliation tests.</w:t>
            </w:r>
          </w:p>
        </w:tc>
      </w:tr>
    </w:tbl>
    <w:p>
      <w:r>
        <w:rPr>
          <w:b/>
        </w:rPr>
        <w:t xml:space="preserve">Expected completion evidence: </w:t>
      </w:r>
      <w:r>
        <w:t>Reconciled compliance scores and clearly labelled draft profiles.</w:t>
      </w:r>
    </w:p>
    <w:p>
      <w:pPr>
        <w:pStyle w:val="Heading2"/>
      </w:pPr>
      <w:r>
        <w:t>I3-P05 — Gap assessment React workbench</w:t>
      </w:r>
    </w:p>
    <w:p>
      <w:r>
        <w:rPr>
          <w:b/>
        </w:rPr>
        <w:t xml:space="preserve">Purpose: </w:t>
      </w:r>
      <w:r>
        <w:t>Provide efficient evidence review and status challenge.</w:t>
      </w:r>
    </w:p>
    <w:p>
      <w:r>
        <w:rPr>
          <w:b/>
        </w:rPr>
        <w:t xml:space="preserve">Use after: </w:t>
      </w:r>
      <w:r>
        <w:t>I3-P04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the Iteration 3 frontend.</w:t>
              <w:br/>
              <w:br/>
              <w:t>Views:</w:t>
              <w:br/>
              <w:t>- System assessment summary with compliance score, status counts, themes and stale-state warning.</w:t>
              <w:br/>
              <w:t>- Applicable requirement list with framework references and rationale.</w:t>
              <w:br/>
              <w:t>- Evidence metadata form and evidence links.</w:t>
              <w:br/>
              <w:t>- Gap status editor with confidence, rationale and attestation controls.</w:t>
              <w:br/>
              <w:t>- Filters for framework, status, theme, missing evidence and pending attestation.</w:t>
              <w:br/>
              <w:t>- Draft NIST profile and ISO SoA views.</w:t>
              <w:br/>
              <w:br/>
              <w:t>Controls:</w:t>
              <w:br/>
              <w:t>- Disable Implemented when evidence is absent.</w:t>
              <w:br/>
              <w:t>- Require attestation for T1 Implemented.</w:t>
              <w:br/>
              <w:t>- Display crosswalk and tiering versions.</w:t>
              <w:br/>
              <w:t>- Preserve Inventory and Tiering navigation.</w:t>
              <w:br/>
              <w:br/>
              <w:t>Add tests for assessment editing, evidence requirement, attestation and score refresh.</w:t>
            </w:r>
          </w:p>
        </w:tc>
      </w:tr>
    </w:tbl>
    <w:p>
      <w:r>
        <w:rPr>
          <w:b/>
        </w:rPr>
        <w:t xml:space="preserve">Expected completion evidence: </w:t>
      </w:r>
      <w:r>
        <w:t>End-to-end gap assessment experience with transparent scoring.</w:t>
      </w:r>
    </w:p>
    <w:p>
      <w:pPr>
        <w:pStyle w:val="Heading2"/>
      </w:pPr>
      <w:r>
        <w:t>I3-P06 — Iteration 3 exit gate</w:t>
      </w:r>
    </w:p>
    <w:p>
      <w:r>
        <w:rPr>
          <w:b/>
        </w:rPr>
        <w:t xml:space="preserve">Purpose: </w:t>
      </w:r>
      <w:r>
        <w:t>Validate crosswalk traceability and score reconciliation.</w:t>
      </w:r>
    </w:p>
    <w:p>
      <w:r>
        <w:rPr>
          <w:b/>
        </w:rPr>
        <w:t xml:space="preserve">Use after: </w:t>
      </w:r>
      <w:r>
        <w:t>I3-P05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Conduct the Iteration 3 exit review without adding remediation automation.</w:t>
              <w:br/>
              <w:br/>
              <w:t>Verify crosswalk versioning, applicability generation, evidence metadata, gap statuses, T1 attestation, compliance scoring and draft framework profiles.</w:t>
              <w:br/>
              <w:br/>
              <w:t>Import the supplied Syn_Gap_Assessment through a non-destructive seed path. Reconcile record counts and calculated scores against imported records, and document any mapping differences instead of forcing a match.</w:t>
              <w:br/>
              <w:br/>
              <w:t>Run migration, backend, frontend, API and reconciliation tests. Create docs/iterations/iteration-3-acceptance.md including a walkthrough for Retail Credit Scoring Model.</w:t>
            </w:r>
          </w:p>
        </w:tc>
      </w:tr>
    </w:tbl>
    <w:p>
      <w:r>
        <w:rPr>
          <w:b/>
        </w:rPr>
        <w:t xml:space="preserve">Expected completion evidence: </w:t>
      </w:r>
      <w:r>
        <w:t>Iteration 3 acceptance evidence and reconciled scoring report.</w:t>
      </w:r>
    </w:p>
    <w:p>
      <w:pPr>
        <w:pStyle w:val="Heading1"/>
      </w:pPr>
      <w:r>
        <w:t>7. Iteration 4 — Remediation, Monitoring and Reporting</w:t>
      </w:r>
    </w:p>
    <w:p>
      <w:pPr>
        <w:pStyle w:val="Heading2"/>
      </w:pPr>
      <w:r>
        <w:t>I4-P01 — Remediation planning and SLA derivation</w:t>
      </w:r>
    </w:p>
    <w:p>
      <w:r>
        <w:rPr>
          <w:b/>
        </w:rPr>
        <w:t xml:space="preserve">Purpose: </w:t>
      </w:r>
      <w:r>
        <w:t>Turn validated gaps into controlled action plans.</w:t>
      </w:r>
    </w:p>
    <w:p>
      <w:r>
        <w:rPr>
          <w:b/>
        </w:rPr>
        <w:t xml:space="preserve">Use after: </w:t>
      </w:r>
      <w:r>
        <w:t>Iteration 3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remediation-plan generation from non-compliant gap records.</w:t>
              <w:br/>
              <w:br/>
              <w:t>Use tier-derived defaults from Tier_Obligations:</w:t>
              <w:br/>
              <w:t>- T0/P0: 7 days</w:t>
              <w:br/>
              <w:t>- T1/P1: 30 days</w:t>
              <w:br/>
              <w:t>- T2/P2: 60 days</w:t>
              <w:br/>
              <w:t>- T3/P3: 120 days</w:t>
              <w:br/>
              <w:br/>
              <w:t>Requirements:</w:t>
              <w:br/>
              <w:t>- Generate a draft action with gap, system, recommendation, owner role, priority, start date, due date, effort and status.</w:t>
              <w:br/>
              <w:t>- Use deterministic playbook templates by requirement theme; do not fabricate named owners.</w:t>
              <w:br/>
              <w:t>- Require an action owner to accept or edit before activation.</w:t>
              <w:br/>
              <w:t>- Statuses: Draft, Not Started, In Progress, Pending Validation, Closed and Risk Accepted.</w:t>
              <w:br/>
              <w:t>- Agent/service cannot close its own action. Closure requires independent validation metadata.</w:t>
              <w:br/>
              <w:t>- Preserve change history and calculate overdue dynamically from due date and status.</w:t>
              <w:br/>
              <w:t>- Add APIs and tests for SLA, transitions, validation and non-destructive regeneration.</w:t>
            </w:r>
          </w:p>
        </w:tc>
      </w:tr>
    </w:tbl>
    <w:p>
      <w:r>
        <w:rPr>
          <w:b/>
        </w:rPr>
        <w:t xml:space="preserve">Expected completion evidence: </w:t>
      </w:r>
      <w:r>
        <w:t>Controlled remediation lifecycle with reconciled SLAs.</w:t>
      </w:r>
    </w:p>
    <w:p>
      <w:pPr>
        <w:pStyle w:val="Heading2"/>
      </w:pPr>
      <w:r>
        <w:t>I4-P02 — Monitoring event ingestion and re-tier triggers</w:t>
      </w:r>
    </w:p>
    <w:p>
      <w:r>
        <w:rPr>
          <w:b/>
        </w:rPr>
        <w:t xml:space="preserve">Purpose: </w:t>
      </w:r>
      <w:r>
        <w:t>Link operational change signals to governance review.</w:t>
      </w:r>
    </w:p>
    <w:p>
      <w:r>
        <w:rPr>
          <w:b/>
        </w:rPr>
        <w:t xml:space="preserve">Use after: </w:t>
      </w:r>
      <w:r>
        <w:t>I4-P01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monitoring-event ingestion using the supplied Syn_Monitoring structure.</w:t>
              <w:br/>
              <w:br/>
              <w:t>Fields include event id/date, system, type, source, description, severity, detected by, re-tier trigger, serious-incident candidate, triage status and note.</w:t>
              <w:br/>
              <w:br/>
              <w:t>Rules:</w:t>
              <w:br/>
              <w:t>- Material model/vendor update, new use case, high/critical severity or configured change condition can trigger re-tier review.</w:t>
              <w:br/>
              <w:t>- Serious incident remains a candidate requiring Legal determination.</w:t>
              <w:br/>
              <w:t>- Deduplicate by source event id and system.</w:t>
              <w:br/>
              <w:t>- Preserve original event payload metadata and processing history.</w:t>
              <w:br/>
              <w:t>- Create a re-tier review request without automatically changing the validated tier.</w:t>
              <w:br/>
              <w:t>- Add manual ingestion API and batch JSON/CSV import with dry run.</w:t>
              <w:br/>
              <w:t>- Add tests for deduplication, triggers, low-severity non-trigger and cross-system isolation.</w:t>
            </w:r>
          </w:p>
        </w:tc>
      </w:tr>
    </w:tbl>
    <w:p>
      <w:r>
        <w:rPr>
          <w:b/>
        </w:rPr>
        <w:t xml:space="preserve">Expected completion evidence: </w:t>
      </w:r>
      <w:r>
        <w:t>Reliable event ingestion with explainable re-tier requests.</w:t>
      </w:r>
    </w:p>
    <w:p>
      <w:pPr>
        <w:pStyle w:val="Heading2"/>
      </w:pPr>
      <w:r>
        <w:t>I4-P03 — Incident triage and deadline calculator</w:t>
      </w:r>
    </w:p>
    <w:p>
      <w:r>
        <w:rPr>
          <w:b/>
        </w:rPr>
        <w:t xml:space="preserve">Purpose: </w:t>
      </w:r>
      <w:r>
        <w:t>Support human-led incident assessment without making legal decisions.</w:t>
      </w:r>
    </w:p>
    <w:p>
      <w:r>
        <w:rPr>
          <w:b/>
        </w:rPr>
        <w:t xml:space="preserve">Use after: </w:t>
      </w:r>
      <w:r>
        <w:t>I4-P02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incident triage for candidate events.</w:t>
              <w:br/>
              <w:br/>
              <w:t>Requirements:</w:t>
              <w:br/>
              <w:t>- Record event chronology, impact summary, affected system and tier, evidence references, candidate seriousness, jurisdiction placeholder, awareness date and review state.</w:t>
              <w:br/>
              <w:t>- Calculate candidate deadlines from configured rules, including 15-day, 10-day and 2-day paths described in the source workbook.</w:t>
              <w:br/>
              <w:t>- Show the rule and inputs used for the calculated date.</w:t>
              <w:br/>
              <w:t>- Label all outputs Preliminary and subject to Legal confirmation.</w:t>
              <w:br/>
              <w:t>- Do not submit notifications or send communications.</w:t>
              <w:br/>
              <w:t>- Require Legal review to confirm reportability and final deadline.</w:t>
              <w:br/>
              <w:t>- Add tests for date arithmetic, missing awareness date, timezone-neutral date handling and rule precedence.</w:t>
            </w:r>
          </w:p>
        </w:tc>
      </w:tr>
    </w:tbl>
    <w:p>
      <w:r>
        <w:rPr>
          <w:b/>
        </w:rPr>
        <w:t xml:space="preserve">Expected completion evidence: </w:t>
      </w:r>
      <w:r>
        <w:t>Transparent preliminary incident triage and deadline reasoning.</w:t>
      </w:r>
    </w:p>
    <w:p>
      <w:pPr>
        <w:pStyle w:val="Heading2"/>
      </w:pPr>
      <w:r>
        <w:t>I4-P04 — Governance dashboard and reporting APIs</w:t>
      </w:r>
    </w:p>
    <w:p>
      <w:r>
        <w:rPr>
          <w:b/>
        </w:rPr>
        <w:t xml:space="preserve">Purpose: </w:t>
      </w:r>
      <w:r>
        <w:t>Provide reconciled oversight metrics and traceable narratives.</w:t>
      </w:r>
    </w:p>
    <w:p>
      <w:r>
        <w:rPr>
          <w:b/>
        </w:rPr>
        <w:t xml:space="preserve">Use after: </w:t>
      </w:r>
      <w:r>
        <w:t>I4-P03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governance reporting from approved database records only.</w:t>
              <w:br/>
              <w:br/>
              <w:t>Metrics:</w:t>
              <w:br/>
              <w:t>- inventory count and completeness;</w:t>
              <w:br/>
              <w:t>- EU and internal tier distributions;</w:t>
              <w:br/>
              <w:t>- rules/agent-to-human agreement where data exists;</w:t>
              <w:br/>
              <w:t>- open and overdue remediation actions;</w:t>
              <w:br/>
              <w:t>- gap status and compliance scores;</w:t>
              <w:br/>
              <w:t>- re-tier triggers and serious-incident candidates;</w:t>
              <w:br/>
              <w:t>- agent/reviewer override metrics where captured.</w:t>
              <w:br/>
              <w:br/>
              <w:t>Requirements:</w:t>
              <w:br/>
              <w:t>- Every KPI endpoint must expose calculation metadata or drill-down identifiers.</w:t>
              <w:br/>
              <w:t>- Avoid unsupported narrative generation. Use deterministic narrative templates from computed values.</w:t>
              <w:br/>
              <w:t>- Add date filters and business-unit filters.</w:t>
              <w:br/>
              <w:t>- Ensure totals reconcile to drill-down rows.</w:t>
              <w:br/>
              <w:t>- Provide JSON and CSV exports using existing libraries.</w:t>
              <w:br/>
              <w:t>- Add reconciliation and filter tests.</w:t>
            </w:r>
          </w:p>
        </w:tc>
      </w:tr>
    </w:tbl>
    <w:p>
      <w:r>
        <w:rPr>
          <w:b/>
        </w:rPr>
        <w:t xml:space="preserve">Expected completion evidence: </w:t>
      </w:r>
      <w:r>
        <w:t>Auditable KPI endpoints with drill-down reconciliation.</w:t>
      </w:r>
    </w:p>
    <w:p>
      <w:pPr>
        <w:pStyle w:val="Heading2"/>
      </w:pPr>
      <w:r>
        <w:t>I4-P05 — Remediation, monitoring and governance UI</w:t>
      </w:r>
    </w:p>
    <w:p>
      <w:r>
        <w:rPr>
          <w:b/>
        </w:rPr>
        <w:t xml:space="preserve">Purpose: </w:t>
      </w:r>
      <w:r>
        <w:t>Complete the end-to-end fourth iteration.</w:t>
      </w:r>
    </w:p>
    <w:p>
      <w:r>
        <w:rPr>
          <w:b/>
        </w:rPr>
        <w:t xml:space="preserve">Use after: </w:t>
      </w:r>
      <w:r>
        <w:t>I4-P04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Implement the Iteration 4 React experience.</w:t>
              <w:br/>
              <w:br/>
              <w:t>Views:</w:t>
              <w:br/>
              <w:t>- Remediation board with priority, owner role, due date, status and overdue indicator.</w:t>
              <w:br/>
              <w:t>- Action detail with status history and validation controls.</w:t>
              <w:br/>
              <w:t>- Monitoring event list with filters, trigger explanation and linked system.</w:t>
              <w:br/>
              <w:t>- Re-tier review queue.</w:t>
              <w:br/>
              <w:t>- Incident triage view with preliminary deadline logic and Legal-confirmation state.</w:t>
              <w:br/>
              <w:t>- Governance dashboard with tier mix, gaps, actions, events and drill-down links.</w:t>
              <w:br/>
              <w:br/>
              <w:t>Controls:</w:t>
              <w:br/>
              <w:t>- Prevent agent-originated closure without independent validation.</w:t>
              <w:br/>
              <w:t>- Display preliminary/legal-review labels on incident outputs.</w:t>
              <w:br/>
              <w:t>- Use accessible tables and status text.</w:t>
              <w:br/>
              <w:t>- Preserve all prior iteration routes.</w:t>
              <w:br/>
              <w:br/>
              <w:t>Add component tests, mocked transition tests and production-build validation.</w:t>
            </w:r>
          </w:p>
        </w:tc>
      </w:tr>
    </w:tbl>
    <w:p>
      <w:r>
        <w:rPr>
          <w:b/>
        </w:rPr>
        <w:t xml:space="preserve">Expected completion evidence: </w:t>
      </w:r>
      <w:r>
        <w:t>Complete remediation-monitoring-reporting UI connected to APIs.</w:t>
      </w:r>
    </w:p>
    <w:p>
      <w:pPr>
        <w:pStyle w:val="Heading2"/>
      </w:pPr>
      <w:r>
        <w:t>I4-P06 — Full solution acceptance and release packaging</w:t>
      </w:r>
    </w:p>
    <w:p>
      <w:r>
        <w:rPr>
          <w:b/>
        </w:rPr>
        <w:t xml:space="preserve">Purpose: </w:t>
      </w:r>
      <w:r>
        <w:t>Validate all four iterations and create a safe release.</w:t>
      </w:r>
    </w:p>
    <w:p>
      <w:r>
        <w:rPr>
          <w:b/>
        </w:rPr>
        <w:t xml:space="preserve">Use after: </w:t>
      </w:r>
      <w:r>
        <w:t>I4-P05 accepted</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Perform a comprehensive release review across all four iterations. Do not introduce new functionality unless required to fix a confirmed defect.</w:t>
              <w:br/>
              <w:br/>
              <w:t>Validation:</w:t>
              <w:br/>
              <w:t>- Fresh PostgreSQL database creation and alembic upgrade head.</w:t>
              <w:br/>
              <w:t>- Upgrade from each prior migration checkpoint to head.</w:t>
              <w:br/>
              <w:t>- Seed/import of inventory, framework, gap, remediation and monitoring data.</w:t>
              <w:br/>
              <w:t>- Backend unit and integration tests.</w:t>
              <w:br/>
              <w:t>- Golden tiering evaluation and prohibited-recall gate.</w:t>
              <w:br/>
              <w:t>- Frontend tests and production build.</w:t>
              <w:br/>
              <w:t>- API smoke test for one end-to-end scenario: create intake -&gt; complete fields -&gt; classify -&gt; review -&gt; generate applicable requirements -&gt; assess gap -&gt; create remediation -&gt; ingest monitoring event -&gt; open re-tier request -&gt; view dashboard.</w:t>
              <w:br/>
              <w:t>- Security review for secrets, CORS, input constraints and log content.</w:t>
              <w:br/>
              <w:t>- Verify one Alembic head and no modified historical migrations.</w:t>
              <w:br/>
              <w:br/>
              <w:t>Documentation:</w:t>
              <w:br/>
              <w:t>- update README only with verified steps;</w:t>
              <w:br/>
              <w:t>- create docs/release/v1-acceptance.md;</w:t>
              <w:br/>
              <w:t>- create docs/release/v1-known-limitations.md;</w:t>
              <w:br/>
              <w:t>- update CHANGELOG.md;</w:t>
              <w:br/>
              <w:t>- produce a changed-file inventory and database migration map.</w:t>
              <w:br/>
              <w:br/>
              <w:t>Release rule: do not report success for any check that was not actually run. Record environmental blockers precisely.</w:t>
            </w:r>
          </w:p>
        </w:tc>
      </w:tr>
    </w:tbl>
    <w:p>
      <w:r>
        <w:rPr>
          <w:b/>
        </w:rPr>
        <w:t xml:space="preserve">Expected completion evidence: </w:t>
      </w:r>
      <w:r>
        <w:t>A tested, documented and non-destructive release candidate.</w:t>
      </w:r>
    </w:p>
    <w:p>
      <w:pPr>
        <w:pStyle w:val="Heading1"/>
      </w:pPr>
      <w:r>
        <w:t>8. Optional post-MVP prompts</w:t>
      </w:r>
    </w:p>
    <w:p>
      <w:pPr>
        <w:pStyle w:val="Heading2"/>
      </w:pPr>
      <w:r>
        <w:t>OPT-01 — Add authentication and role-based authorization</w:t>
      </w:r>
    </w:p>
    <w:p>
      <w:r>
        <w:rPr>
          <w:b/>
        </w:rPr>
        <w:t xml:space="preserve">Purpose: </w:t>
      </w:r>
      <w:r>
        <w:t>Introduce security without changing business behavior.</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Add authentication and role-based authorization as a new iteration. First inventory every endpoint and UI action. Define roles for System Owner, Governance Analyst, Reviewer, Legal, Control Owner, Validator and Read Only. Implement least privilege, server-side enforcement, audit of authorization failures and tests for allowed/denied transitions. Preserve local developer mode behind an explicit environment flag. Do not weaken existing human-review rules.</w:t>
            </w:r>
          </w:p>
        </w:tc>
      </w:tr>
    </w:tbl>
    <w:p>
      <w:r>
        <w:rPr>
          <w:b/>
        </w:rPr>
        <w:t xml:space="preserve">Expected completion evidence: </w:t>
      </w:r>
      <w:r>
        <w:t>Role matrix, enforced permissions and authorization tests.</w:t>
      </w:r>
    </w:p>
    <w:p>
      <w:pPr>
        <w:pStyle w:val="Heading2"/>
      </w:pPr>
      <w:r>
        <w:t>OPT-02 — Add approved RAG integration behind an interface</w:t>
      </w:r>
    </w:p>
    <w:p>
      <w:r>
        <w:rPr>
          <w:b/>
        </w:rPr>
        <w:t xml:space="preserve">Purpose: </w:t>
      </w:r>
      <w:r>
        <w:t>Enable grounded regulatory retrieval while keeping deterministic fallback.</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Design an optional regulatory knowledge adapter behind a service interface. Preserve current deterministic behavior when the adapter is disabled. Require an approved corpus, source metadata, passage-level citations, version/effective date, retrieval logging and a citation verifier. Never let retrieved text silently change the deterministic tier; it may provide evidence and challenge notes only. Add contract tests with a local fake adapter and do not require external credentials for the default test suite.</w:t>
            </w:r>
          </w:p>
        </w:tc>
      </w:tr>
    </w:tbl>
    <w:p>
      <w:r>
        <w:rPr>
          <w:b/>
        </w:rPr>
        <w:t xml:space="preserve">Expected completion evidence: </w:t>
      </w:r>
      <w:r>
        <w:t>Pluggable grounded retrieval with offline tests and no tiering override.</w:t>
      </w:r>
    </w:p>
    <w:p>
      <w:pPr>
        <w:pStyle w:val="Heading2"/>
      </w:pPr>
      <w:r>
        <w:t>OPT-03 — Add CI quality gates</w:t>
      </w:r>
    </w:p>
    <w:p>
      <w:r>
        <w:rPr>
          <w:b/>
        </w:rPr>
        <w:t xml:space="preserve">Purpose: </w:t>
      </w:r>
      <w:r>
        <w:t>Automate validation without modifying deployment behavior.</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Add a CI workflow that runs Python compilation, linting if already configured, pytest, migration-head validation, golden-set evaluation, frontend tests and production build. Cache dependencies safely. Fail on multiple Alembic heads, modified historical migrations where detectable, prohibited-recall gate failure, test failure or build failure. Do not add deployment credentials or environments.</w:t>
            </w:r>
          </w:p>
        </w:tc>
      </w:tr>
    </w:tbl>
    <w:p>
      <w:r>
        <w:rPr>
          <w:b/>
        </w:rPr>
        <w:t xml:space="preserve">Expected completion evidence: </w:t>
      </w:r>
      <w:r>
        <w:t>Repeatable CI pipeline matching local validation.</w:t>
      </w:r>
    </w:p>
    <w:p>
      <w:pPr>
        <w:pStyle w:val="Heading1"/>
      </w:pPr>
      <w:r>
        <w:t>9. Standard continuation prompt</w:t>
      </w:r>
    </w:p>
    <w:p>
      <w:pPr>
        <w:pStyle w:val="Heading2"/>
      </w:pPr>
      <w:r>
        <w:t>CP-01 — Continue safely after any completed prompt</w:t>
      </w:r>
    </w:p>
    <w:p>
      <w:r>
        <w:rPr>
          <w:b/>
        </w:rPr>
        <w:t xml:space="preserve">Purpose: </w:t>
      </w:r>
      <w:r>
        <w:t>Give Copilot a repeatable handoff instruction.</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Review the changes completed for the immediately preceding prompt against its acceptance conditions.</w:t>
              <w:br/>
              <w:br/>
              <w:t>1. Inspect Git diff and identify any unintended deletions, file rewrites, public-interface breaks or historical migration edits.</w:t>
              <w:br/>
              <w:t>2. Run the required tests and builds.</w:t>
              <w:br/>
              <w:t>3. Fix only defects introduced by the preceding prompt.</w:t>
              <w:br/>
              <w:t>4. Update the relevant acceptance document with actual evidence.</w:t>
              <w:br/>
              <w:t>5. Return: implemented scope, files changed, migration impact, API impact, tests executed and results, unresolved limitations and recommended next prompt ID.</w:t>
              <w:br/>
              <w:t>6. Do not start the next prompt automatically.</w:t>
            </w:r>
          </w:p>
        </w:tc>
      </w:tr>
    </w:tbl>
    <w:p>
      <w:r>
        <w:rPr>
          <w:b/>
        </w:rPr>
        <w:t xml:space="preserve">Expected completion evidence: </w:t>
      </w:r>
      <w:r>
        <w:t>A precise checkpoint before the next iteration.</w:t>
      </w:r>
    </w:p>
    <w:p>
      <w:pPr>
        <w:pStyle w:val="Heading1"/>
      </w:pPr>
      <w:r>
        <w:t>10. Recovery and correction prompts</w:t>
      </w:r>
    </w:p>
    <w:p>
      <w:pPr>
        <w:pStyle w:val="Heading2"/>
      </w:pPr>
      <w:r>
        <w:t>RC-01 — Recover when Copilot proposes recreating the repository</w:t>
      </w:r>
    </w:p>
    <w:p>
      <w:r>
        <w:rPr>
          <w:b/>
        </w:rPr>
        <w:t xml:space="preserve">Purpose: </w:t>
      </w:r>
      <w:r>
        <w:t>Redirect Copilot to minimal, repository-aware edits.</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Stop. Do not recreate the project, replace package manifests, rename top-level directories or regenerate working files.</w:t>
              <w:br/>
              <w:br/>
              <w:t>Re-inspect the current repository and Git diff. Identify the smallest set of focused edits needed for the requested capability. Preserve existing modules, interfaces, migrations, tests, styles and configuration. Revert any unintended wholesale replacements from the current uncommitted change set while retaining valid targeted changes. Return the corrected file plan before editing further.</w:t>
            </w:r>
          </w:p>
        </w:tc>
      </w:tr>
    </w:tbl>
    <w:p>
      <w:r>
        <w:rPr>
          <w:b/>
        </w:rPr>
        <w:t xml:space="preserve">Expected completion evidence: </w:t>
      </w:r>
      <w:r>
        <w:t>A minimal corrected plan with destructive changes removed.</w:t>
      </w:r>
    </w:p>
    <w:p>
      <w:pPr>
        <w:pStyle w:val="Heading2"/>
      </w:pPr>
      <w:r>
        <w:t>RC-02 — Resolve migration divergence</w:t>
      </w:r>
    </w:p>
    <w:p>
      <w:r>
        <w:rPr>
          <w:b/>
        </w:rPr>
        <w:t xml:space="preserve">Purpose: </w:t>
      </w:r>
      <w:r>
        <w:t>Repair Alembic history without rewriting applied revisions.</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Inspect alembic history, heads and current database revision. Do not edit or delete any existing migration. If multiple valid heads exist, create an additive merge migration. If the model differs from the database, create a new forward migration with explicit upgrade and downgrade logic. Validate upgrade from the current revision and from an empty database, then report the final single head.</w:t>
            </w:r>
          </w:p>
        </w:tc>
      </w:tr>
    </w:tbl>
    <w:p>
      <w:r>
        <w:rPr>
          <w:b/>
        </w:rPr>
        <w:t xml:space="preserve">Expected completion evidence: </w:t>
      </w:r>
      <w:r>
        <w:t>Single valid migration head using additive repair only.</w:t>
      </w:r>
    </w:p>
    <w:p>
      <w:pPr>
        <w:pStyle w:val="Heading2"/>
      </w:pPr>
      <w:r>
        <w:t>RC-03 — Fix failing tests before continuing</w:t>
      </w:r>
    </w:p>
    <w:p>
      <w:r>
        <w:rPr>
          <w:b/>
        </w:rPr>
        <w:t xml:space="preserve">Purpose: </w:t>
      </w:r>
      <w:r>
        <w:t>Constrain Copilot to root-cause correction.</w:t>
      </w:r>
    </w:p>
    <w:tbl>
      <w:tblPr>
        <w:tblW w:type="auto" w:w="0"/>
        <w:jc w:val="center"/>
        <w:tblLayout w:type="autofit"/>
        <w:tblLook w:firstColumn="1" w:firstRow="1" w:lastColumn="0" w:lastRow="0" w:noHBand="0" w:noVBand="1" w:val="04A0"/>
      </w:tblPr>
      <w:tblGrid>
        <w:gridCol w:w="10166"/>
      </w:tblGrid>
      <w:tr>
        <w:tc>
          <w:tcPr>
            <w:tcW w:type="dxa" w:w="10166"/>
            <w:shd w:fill="F3F6FA"/>
          </w:tcPr>
          <w:p>
            <w:pPr>
              <w:spacing w:after="60"/>
            </w:pPr>
            <w:r>
              <w:t>Do not add new features. Run the failing test in isolation, identify whether the failure is product code, test expectation, fixture, environment or migration related, and show the evidence. Fix the root cause with the smallest change. Do not weaken assertions merely to make tests pass. Then run the affected test group and full suite, and report results.</w:t>
            </w:r>
          </w:p>
        </w:tc>
      </w:tr>
    </w:tbl>
    <w:p>
      <w:r>
        <w:rPr>
          <w:b/>
        </w:rPr>
        <w:t xml:space="preserve">Expected completion evidence: </w:t>
      </w:r>
      <w:r>
        <w:t>Root-cause fix with preserved test rigor.</w:t>
      </w:r>
    </w:p>
    <w:p>
      <w:pPr>
        <w:pStyle w:val="Heading1"/>
      </w:pPr>
      <w:r>
        <w:t>11. Prompt execution checklist</w:t>
      </w:r>
    </w:p>
    <w:p>
      <w:pPr>
        <w:pStyle w:val="ListBullet"/>
      </w:pPr>
      <w:r>
        <w:t>Repository and Git diff inspected</w:t>
      </w:r>
    </w:p>
    <w:p>
      <w:pPr>
        <w:pStyle w:val="ListBullet"/>
      </w:pPr>
      <w:r>
        <w:t>Existing code preserved</w:t>
      </w:r>
    </w:p>
    <w:p>
      <w:pPr>
        <w:pStyle w:val="ListBullet"/>
      </w:pPr>
      <w:r>
        <w:t>Scope limited to current prompt</w:t>
      </w:r>
    </w:p>
    <w:p>
      <w:pPr>
        <w:pStyle w:val="ListBullet"/>
      </w:pPr>
      <w:r>
        <w:t>New migration used when schema changes</w:t>
      </w:r>
    </w:p>
    <w:p>
      <w:pPr>
        <w:pStyle w:val="ListBullet"/>
      </w:pPr>
      <w:r>
        <w:t>Human-decision boundaries retained</w:t>
      </w:r>
    </w:p>
    <w:p>
      <w:pPr>
        <w:pStyle w:val="ListBullet"/>
      </w:pPr>
      <w:r>
        <w:t>Synthetic data labelled</w:t>
      </w:r>
    </w:p>
    <w:p>
      <w:pPr>
        <w:pStyle w:val="ListBullet"/>
      </w:pPr>
      <w:r>
        <w:t>Tests added or updated</w:t>
      </w:r>
    </w:p>
    <w:p>
      <w:pPr>
        <w:pStyle w:val="ListBullet"/>
      </w:pPr>
      <w:r>
        <w:t>Tests and build actually executed</w:t>
      </w:r>
    </w:p>
    <w:p>
      <w:pPr>
        <w:pStyle w:val="ListBullet"/>
      </w:pPr>
      <w:r>
        <w:t>Acceptance evidence recorded</w:t>
      </w:r>
    </w:p>
    <w:p>
      <w:pPr>
        <w:pStyle w:val="ListBullet"/>
      </w:pPr>
      <w:r>
        <w:t>Next prompt not started automatically</w:t>
      </w:r>
    </w:p>
    <w:p>
      <w:pPr>
        <w:pStyle w:val="Heading1"/>
      </w:pPr>
      <w:r>
        <w:t>12. Source and design notes</w:t>
      </w:r>
    </w:p>
    <w:p>
      <w:r>
        <w:t>The four-iteration structure, acceptance themes, agent boundaries, tiering logic, configuration values, framework crosswalk, synthetic inventory, gap, remediation and monitoring concepts are derived from the two supplied workbooks. The GitHub Copilot usage pattern intentionally breaks the implementation into small, verifiable prompts, begins with repository context, uses explicit requirements and examples, and requires validation at each checkpoint.</w:t>
      </w:r>
    </w:p>
    <w:p>
      <w:r>
        <w:t>Regulatory mappings and dates in the source workbook are prototype inputs and must be validated by Legal/Compliance before production use. This promptbook does not convert them into legal advice or autonomous legal decisions.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48066fd-9395-4325-a4e7-856a23126b8d}" enabled="1" method="Privileged" siteId="{404b1967-6507-45ab-8a6d-7374a3f478b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AMEENUDEEN M</dc:creator>
  <keywords/>
  <dc:description>generated by python-docx</dc:description>
  <lastModifiedBy>AMEENUDEEN M</lastModifiedBy>
  <revision>1</revision>
  <dcterms:created xsi:type="dcterms:W3CDTF">2026-10-05T18:14:12.4447649Z</dcterms:created>
  <dcterms:modified xsi:type="dcterms:W3CDTF">2026-10-05T18:14:12.4447649Z</dcterms:modified>
  <category/>
</coreProperties>
</file>