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5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MEMO</w:t>
      </w:r>
    </w:p>
    <w:p>
      <w:pPr>
        <w:tabs>
          <w:tab w:val="left" w:pos="900"/>
        </w:tabs>
        <w:spacing w:after="2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To:	</w:t>
      </w:r>
      <w:r>
        <w:rPr>
          <w:rFonts w:ascii="Arial" w:cs="Arial" w:eastAsia="Arial" w:hAnsi="Arial"/>
          <w:sz w:val="20"/>
          <w:szCs w:val="20"/>
        </w:rPr>
        <w:t xml:space="preserve">VP of Population Health</w:t>
      </w:r>
    </w:p>
    <w:p>
      <w:pPr>
        <w:tabs>
          <w:tab w:val="left" w:pos="900"/>
        </w:tabs>
        <w:spacing w:after="2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From:	</w:t>
      </w:r>
      <w:r>
        <w:rPr>
          <w:rFonts w:ascii="Arial" w:cs="Arial" w:eastAsia="Arial" w:hAnsi="Arial"/>
          <w:sz w:val="20"/>
          <w:szCs w:val="20"/>
        </w:rPr>
        <w:t xml:space="preserve">Ameer Salameh, Analyst</w:t>
      </w:r>
    </w:p>
    <w:p>
      <w:pPr>
        <w:tabs>
          <w:tab w:val="left" w:pos="900"/>
        </w:tabs>
        <w:spacing w:after="2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	</w:t>
      </w:r>
      <w:r>
        <w:rPr>
          <w:rFonts w:ascii="Arial" w:cs="Arial" w:eastAsia="Arial" w:hAnsi="Arial"/>
          <w:sz w:val="20"/>
          <w:szCs w:val="20"/>
        </w:rPr>
        <w:t xml:space="preserve">October 2026</w:t>
      </w:r>
    </w:p>
    <w:p>
      <w:pPr>
        <w:pBdr>
          <w:bottom w:val="single" w:color="808080" w:sz="6" w:space="6"/>
        </w:pBdr>
        <w:tabs>
          <w:tab w:val="left" w:pos="900"/>
        </w:tabs>
        <w:spacing w:after="14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Re:	</w:t>
      </w:r>
      <w:r>
        <w:rPr>
          <w:rFonts w:ascii="Arial" w:cs="Arial" w:eastAsia="Arial" w:hAnsi="Arial"/>
          <w:sz w:val="20"/>
          <w:szCs w:val="20"/>
        </w:rPr>
        <w:t xml:space="preserve">Where to put next year's care management and pharmacy dollars</w:t>
      </w:r>
    </w:p>
    <w:p>
      <w:pPr>
        <w:keepNext/>
        <w:spacing w:after="50" w:before="120" w:line="25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Recommendation</w:t>
      </w:r>
    </w:p>
    <w:p>
      <w:pPr>
        <w:spacing w:after="80" w:before="0" w:line="252"/>
      </w:pPr>
      <w:r>
        <w:rPr>
          <w:rFonts w:ascii="Arial" w:cs="Arial" w:eastAsia="Arial" w:hAnsi="Arial"/>
          <w:sz w:val="20"/>
          <w:szCs w:val="20"/>
        </w:rPr>
        <w:t xml:space="preserve">Fund pharmacy outreach for the 270 members who are just under the adherence threshold. In the base case it saves about $53,000 a year, roughly $5 for every $1 spent. Do not fund generic care management for last year's highest spenders: the base case loses about $224,000. Send ESRD members to a kidney care approach instead, and pilot transitional care after discharge.</w:t>
      </w:r>
    </w:p>
    <w:p>
      <w:pPr>
        <w:keepNext/>
        <w:spacing w:after="50" w:before="120" w:line="25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the claims show (2022, 8,175 members)</w:t>
      </w:r>
    </w:p>
    <w:p>
      <w:pPr>
        <w:pStyle w:val="ListParagraph"/>
        <w:numPr>
          <w:ilvl w:val="0"/>
          <w:numId w:val="2"/>
        </w:numPr>
        <w:spacing w:after="4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Spend is rising and concentrated. </w:t>
      </w:r>
      <w:r>
        <w:rPr>
          <w:rFonts w:ascii="Arial" w:cs="Arial" w:eastAsia="Arial" w:hAnsi="Arial"/>
          <w:sz w:val="20"/>
          <w:szCs w:val="20"/>
        </w:rPr>
        <w:t xml:space="preserve">Medical spend is $1,665 per member per month, up 39% since 2015. The top 5% of members account for 47.5% of it.</w:t>
      </w:r>
    </w:p>
    <w:p>
      <w:pPr>
        <w:pStyle w:val="ListParagraph"/>
        <w:numPr>
          <w:ilvl w:val="0"/>
          <w:numId w:val="2"/>
        </w:numPr>
        <w:spacing w:after="4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ESRD is the cost that persists. </w:t>
      </w:r>
      <w:r>
        <w:rPr>
          <w:rFonts w:ascii="Arial" w:cs="Arial" w:eastAsia="Arial" w:hAnsi="Arial"/>
          <w:sz w:val="20"/>
          <w:szCs w:val="20"/>
        </w:rPr>
        <w:t xml:space="preserve">Members with end-stage renal disease are 10% of member months and 32% of spend ($5,447 PMPM). Outpatient dialysis is the fastest growing category.</w:t>
      </w:r>
    </w:p>
    <w:p>
      <w:pPr>
        <w:pStyle w:val="ListParagraph"/>
        <w:numPr>
          <w:ilvl w:val="0"/>
          <w:numId w:val="2"/>
        </w:numPr>
        <w:spacing w:after="4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Most other high spenders get cheaper on their own. </w:t>
      </w:r>
      <w:r>
        <w:rPr>
          <w:rFonts w:ascii="Arial" w:cs="Arial" w:eastAsia="Arial" w:hAnsi="Arial"/>
          <w:sz w:val="20"/>
          <w:szCs w:val="20"/>
        </w:rPr>
        <w:t xml:space="preserve">The 2021 top 5% who don't have ESRD cost 39% less in 2022 with no program. A before and after comparison would credit that drop to whatever program we ran.</w:t>
      </w:r>
    </w:p>
    <w:p>
      <w:pPr>
        <w:pStyle w:val="ListParagraph"/>
        <w:numPr>
          <w:ilvl w:val="0"/>
          <w:numId w:val="2"/>
        </w:numPr>
        <w:spacing w:after="4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Adherence gaps are large. </w:t>
      </w:r>
      <w:r>
        <w:rPr>
          <w:rFonts w:ascii="Arial" w:cs="Arial" w:eastAsia="Arial" w:hAnsi="Arial"/>
          <w:sz w:val="20"/>
          <w:szCs w:val="20"/>
        </w:rPr>
        <w:t xml:space="preserve">81.6% of statin users are adherent (PDC 80% or more), but only 20.5% on blood pressure (RAS) drugs and 14.3% on diabetes drugs. 270 members sit between 60% and 79%.</w:t>
      </w:r>
    </w:p>
    <w:p>
      <w:pPr>
        <w:pStyle w:val="ListParagraph"/>
        <w:numPr>
          <w:ilvl w:val="0"/>
          <w:numId w:val="2"/>
        </w:numPr>
        <w:spacing w:after="4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Readmissions are climbing. </w:t>
      </w:r>
      <w:r>
        <w:rPr>
          <w:rFonts w:ascii="Arial" w:cs="Arial" w:eastAsia="Arial" w:hAnsi="Arial"/>
          <w:sz w:val="20"/>
          <w:szCs w:val="20"/>
        </w:rPr>
        <w:t xml:space="preserve">10.5% in 2022, up from 2.8% in 2015. Still below the 16.9% national Medicare rate.</w:t>
      </w:r>
    </w:p>
    <w:p>
      <w:pPr>
        <w:keepNext/>
        <w:spacing w:after="50" w:before="120" w:line="25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two options, priced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1300"/>
        <w:gridCol w:w="2700"/>
        <w:gridCol w:w="14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People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Yearly cost (base)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 savings: low / base / high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Pharmacy outreach to adherence near misses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$13,500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-$16K / $53K / $261K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Care management for 2021 top 5%, non-ESRD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$328,656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-$541K / -$224K / $315K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Don't fund as designed</w:t>
            </w:r>
          </w:p>
        </w:tc>
      </w:tr>
    </w:tbl>
    <w:p>
      <w:pPr>
        <w:spacing w:after="60" w:before="80" w:line="252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Care management only breaks even if it cuts admissions 25%. The best of 15 programs in Medicare's care coordination trials cut them 17%, and none produced net savings (Peikes et al., JAMA 2009). Outreach savings use published estimates (Roebuck et al., Health Affairs 2011) at half value, since that study is observational.</w:t>
      </w:r>
    </w:p>
    <w:p>
      <w:pPr>
        <w:keepNext/>
        <w:spacing w:after="50" w:before="120" w:line="25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Next steps</w:t>
      </w:r>
    </w:p>
    <w:p>
      <w:pPr>
        <w:pStyle w:val="ListParagraph"/>
        <w:numPr>
          <w:ilvl w:val="0"/>
          <w:numId w:val="3"/>
        </w:numPr>
        <w:spacing w:after="40" w:before="0" w:line="252"/>
      </w:pPr>
      <w:r>
        <w:rPr>
          <w:rFonts w:ascii="Arial" w:cs="Arial" w:eastAsia="Arial" w:hAnsi="Arial"/>
          <w:sz w:val="20"/>
          <w:szCs w:val="20"/>
        </w:rPr>
        <w:t xml:space="preserve">Start outreach in Q1 using the worklist, closest to 80% first. Hold back a random 20% as a comparison group and track PDC monthly.</w:t>
      </w:r>
    </w:p>
    <w:p>
      <w:pPr>
        <w:pStyle w:val="ListParagraph"/>
        <w:numPr>
          <w:ilvl w:val="0"/>
          <w:numId w:val="3"/>
        </w:numPr>
        <w:spacing w:after="40" w:before="0" w:line="252"/>
      </w:pPr>
      <w:r>
        <w:rPr>
          <w:rFonts w:ascii="Arial" w:cs="Arial" w:eastAsia="Arial" w:hAnsi="Arial"/>
          <w:sz w:val="20"/>
          <w:szCs w:val="20"/>
        </w:rPr>
        <w:t xml:space="preserve">Work with dialysis providers and nephrology on the ESRD group. MSSP benchmarks ESRD separately, so track it separately too.</w:t>
      </w:r>
    </w:p>
    <w:p>
      <w:pPr>
        <w:pStyle w:val="ListParagraph"/>
        <w:numPr>
          <w:ilvl w:val="0"/>
          <w:numId w:val="3"/>
        </w:numPr>
        <w:spacing w:after="40" w:before="0" w:line="252"/>
      </w:pPr>
      <w:r>
        <w:rPr>
          <w:rFonts w:ascii="Arial" w:cs="Arial" w:eastAsia="Arial" w:hAnsi="Arial"/>
          <w:sz w:val="20"/>
          <w:szCs w:val="20"/>
        </w:rPr>
        <w:t xml:space="preserve">Pilot transitional care for discharges: a call within 48 hours and a visit within 7 days, measured against a comparison group.</w:t>
      </w:r>
    </w:p>
    <w:p>
      <w:pPr>
        <w:pStyle w:val="ListParagraph"/>
        <w:numPr>
          <w:ilvl w:val="0"/>
          <w:numId w:val="3"/>
        </w:numPr>
        <w:spacing w:after="40" w:before="0" w:line="252"/>
      </w:pPr>
      <w:r>
        <w:rPr>
          <w:rFonts w:ascii="Arial" w:cs="Arial" w:eastAsia="Arial" w:hAnsi="Arial"/>
          <w:sz w:val="20"/>
          <w:szCs w:val="20"/>
        </w:rPr>
        <w:t xml:space="preserve">Rerun this on our real claims before committing money. The build, QA checks, and ROI model are ready to point at new data.</w:t>
      </w:r>
    </w:p>
    <w:p>
      <w:pPr>
        <w:pBdr>
          <w:top w:val="single" w:color="BFBFBF" w:sz="4" w:space="6"/>
        </w:pBdr>
        <w:spacing w:after="0" w:before="120" w:line="252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Caveat: this analysis uses CMS synthetic Medicare data. The methods are real; the people are not. Full SQL, QA log, and assumptions are in the project repo.</w:t>
      </w:r>
    </w:p>
    <w:sectPr>
      <w:pgSz w:w="12240" w:h="15840" w:orient="portrait"/>
      <w:pgMar w:top="1000" w:right="1150" w:bottom="9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2026-10-05T00:12:04.263Z</dcterms:created>
  <dcterms:modified xsi:type="dcterms:W3CDTF">2026-10-05T00:12:04.264Z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