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eastAsia="Times New Roman"/>
          <w:b/>
          <w:i w:val="0"/>
          <w:color w:val="000000"/>
          <w:sz w:val="24"/>
        </w:rPr>
        <w:t>AHMADU BELLO UNIVERSITY, ZARIA</w:t>
      </w:r>
    </w:p>
    <w:p>
      <w:pPr>
        <w:spacing w:after="0" w:before="0" w:line="240" w:lineRule="auto"/>
        <w:jc w:val="center"/>
      </w:pPr>
      <w:r>
        <w:rPr>
          <w:rFonts w:ascii="Times New Roman" w:hAnsi="Times New Roman" w:eastAsia="Times New Roman"/>
          <w:b w:val="0"/>
          <w:i w:val="0"/>
          <w:color w:val="000000"/>
          <w:sz w:val="24"/>
        </w:rPr>
        <w:t>Department of Computer Science</w:t>
      </w:r>
    </w:p>
    <w:p>
      <w:pPr>
        <w:spacing w:after="160" w:before="0" w:line="240" w:lineRule="auto"/>
        <w:jc w:val="center"/>
      </w:pPr>
      <w:r>
        <w:rPr>
          <w:rFonts w:ascii="Times New Roman" w:hAnsi="Times New Roman" w:eastAsia="Times New Roman"/>
          <w:b w:val="0"/>
          <w:i w:val="0"/>
          <w:color w:val="000000"/>
          <w:sz w:val="24"/>
        </w:rPr>
        <w:t>Object-Oriented Programming (Java)</w:t>
      </w:r>
    </w:p>
    <w:p>
      <w:pPr>
        <w:spacing w:after="40" w:before="0" w:line="240" w:lineRule="auto"/>
        <w:jc w:val="center"/>
      </w:pPr>
      <w:r>
        <w:rPr>
          <w:rFonts w:ascii="Times New Roman" w:hAnsi="Times New Roman" w:eastAsia="Times New Roman"/>
          <w:b/>
          <w:i w:val="0"/>
          <w:color w:val="000000"/>
          <w:sz w:val="32"/>
        </w:rPr>
        <w:t>Group Project Management System</w:t>
      </w:r>
    </w:p>
    <w:p>
      <w:pPr>
        <w:spacing w:after="160" w:before="0" w:line="240" w:lineRule="auto"/>
        <w:jc w:val="center"/>
      </w:pPr>
      <w:r>
        <w:rPr>
          <w:rFonts w:ascii="Times New Roman" w:hAnsi="Times New Roman" w:eastAsia="Times New Roman"/>
          <w:b w:val="0"/>
          <w:i/>
          <w:color w:val="000000"/>
          <w:sz w:val="24"/>
        </w:rPr>
        <w:t>Short Design and Implementation Report</w:t>
      </w:r>
    </w:p>
    <w:p>
      <w:pPr>
        <w:spacing w:after="0" w:before="0" w:line="240" w:lineRule="auto"/>
        <w:jc w:val="center"/>
      </w:pPr>
      <w:r>
        <w:rPr>
          <w:rFonts w:ascii="Times New Roman" w:hAnsi="Times New Roman" w:eastAsia="Times New Roman"/>
          <w:b w:val="0"/>
          <w:i w:val="0"/>
          <w:color w:val="000000"/>
          <w:sz w:val="20"/>
        </w:rPr>
        <w:t>Group Members: IBRAHIM Amiruddeen  •  DANIEL OTU Courage Daniel  •  GO'AR Ritmunu Miracle</w:t>
      </w:r>
    </w:p>
    <w:p>
      <w:pPr>
        <w:spacing w:after="200" w:before="0" w:line="240" w:lineRule="auto"/>
        <w:jc w:val="center"/>
      </w:pPr>
      <w:r>
        <w:rPr>
          <w:rFonts w:ascii="Times New Roman" w:hAnsi="Times New Roman" w:eastAsia="Times New Roman"/>
          <w:b w:val="0"/>
          <w:i w:val="0"/>
          <w:color w:val="000000"/>
          <w:sz w:val="20"/>
        </w:rPr>
        <w:t>Instructor: Aliyu Garba (algarba@abu.edu.ng)</w:t>
      </w:r>
    </w:p>
    <w:p>
      <w:pPr>
        <w:spacing w:before="200" w:after="120"/>
        <w:jc w:val="left"/>
      </w:pPr>
      <w:r>
        <w:rPr>
          <w:rFonts w:ascii="Times New Roman" w:hAnsi="Times New Roman" w:eastAsia="Times New Roman"/>
          <w:b/>
          <w:i w:val="0"/>
          <w:color w:val="000000"/>
          <w:sz w:val="26"/>
        </w:rPr>
        <w:t>1. DESIGN EXPLANATION</w:t>
      </w:r>
    </w:p>
    <w:p>
      <w:pPr>
        <w:spacing w:after="120" w:before="0" w:line="240" w:lineRule="auto"/>
        <w:ind w:firstLine="567"/>
        <w:jc w:val="both"/>
      </w:pPr>
      <w:r>
        <w:rPr>
          <w:rFonts w:ascii="Times New Roman" w:hAnsi="Times New Roman" w:eastAsia="Times New Roman"/>
          <w:b w:val="0"/>
          <w:i w:val="0"/>
          <w:color w:val="000000"/>
          <w:sz w:val="24"/>
        </w:rPr>
        <w:t>The Group Project Management System is a desktop application built with Java Swing and AWT. It helps a course instructor keep student records, organise students into project groups, assign responsibilities, and generate progress reports. All application state is held in memory with standard Java collections (ArrayList and List); there is no external database.</w:t>
      </w:r>
    </w:p>
    <w:p>
      <w:pPr>
        <w:spacing w:after="80" w:before="0" w:line="240" w:lineRule="auto"/>
        <w:ind w:firstLine="567"/>
        <w:jc w:val="both"/>
      </w:pPr>
      <w:r>
        <w:rPr>
          <w:rFonts w:ascii="Times New Roman" w:hAnsi="Times New Roman" w:eastAsia="Times New Roman"/>
          <w:b w:val="0"/>
          <w:i w:val="0"/>
          <w:color w:val="000000"/>
          <w:sz w:val="24"/>
        </w:rPr>
        <w:t>The design follows the Model-View-Controller (MVC) pattern so that data, presentation, and application startup remain separated.</w:t>
      </w:r>
    </w:p>
    <w:p>
      <w:pPr>
        <w:spacing w:after="60" w:before="0"/>
        <w:ind w:left="425" w:hanging="227"/>
      </w:pPr>
      <w:r>
        <w:rPr>
          <w:rFonts w:ascii="Times New Roman" w:hAnsi="Times New Roman" w:eastAsia="Times New Roman"/>
          <w:b w:val="0"/>
          <w:i w:val="0"/>
          <w:color w:val="000000"/>
          <w:sz w:val="22"/>
        </w:rPr>
        <w:t>•  Model (model package): Student, Group, and Responsibility encapsulate domain data. DataStore is the single in-memory repository and also loads seed records for demonstration.</w:t>
      </w:r>
    </w:p>
    <w:p>
      <w:pPr>
        <w:spacing w:after="60" w:before="0"/>
        <w:ind w:left="425" w:hanging="227"/>
      </w:pPr>
      <w:r>
        <w:rPr>
          <w:rFonts w:ascii="Times New Roman" w:hAnsi="Times New Roman" w:eastAsia="Times New Roman"/>
          <w:b w:val="0"/>
          <w:i w:val="0"/>
          <w:color w:val="000000"/>
          <w:sz w:val="22"/>
        </w:rPr>
        <w:t>•  View (view package): MainFrame hosts a JTabbedPane with StudentsGroupsPanel, TasksPanel, and ReportsPanel. StudentDialog is a modal form for creating a student.</w:t>
      </w:r>
    </w:p>
    <w:p>
      <w:pPr>
        <w:spacing w:after="60" w:before="0"/>
        <w:ind w:left="425" w:hanging="227"/>
      </w:pPr>
      <w:r>
        <w:rPr>
          <w:rFonts w:ascii="Times New Roman" w:hAnsi="Times New Roman" w:eastAsia="Times New Roman"/>
          <w:b w:val="0"/>
          <w:i w:val="0"/>
          <w:color w:val="000000"/>
          <w:sz w:val="22"/>
        </w:rPr>
        <w:t>•  Controller (controller package): AppController starts the user interface on the Event Dispatch Thread through SwingUtilities.invokeLater. User actions are handled by listeners in the view classes, which update DataStore and then refresh the visible widgets.</w:t>
      </w:r>
    </w:p>
    <w:p>
      <w:pPr>
        <w:spacing w:after="120" w:before="0" w:line="240" w:lineRule="auto"/>
        <w:ind w:firstLine="567"/>
        <w:jc w:val="both"/>
      </w:pPr>
      <w:r>
        <w:rPr>
          <w:rFonts w:ascii="Times New Roman" w:hAnsi="Times New Roman" w:eastAsia="Times New Roman"/>
          <w:b w:val="0"/>
          <w:i w:val="0"/>
          <w:color w:val="000000"/>
          <w:sz w:val="24"/>
        </w:rPr>
        <w:t>MainFrame owns one DataStore instance and injects it into every panel. That shared store is what keeps the three tabs consistent. A tab-change listener calls refreshData() so that assigning a student to a group on the first tab immediately appears in the task combo boxes. Group.addMember() and removeMember() also write Student.groupId, enforcing the rule that a student belongs to only one group at a time.</w:t>
      </w:r>
    </w:p>
    <w:p>
      <w:pPr>
        <w:spacing w:after="0" w:before="80"/>
        <w:jc w:val="center"/>
      </w:pPr>
      <w:r>
        <w:drawing>
          <wp:inline xmlns:a="http://schemas.openxmlformats.org/drawingml/2006/main" xmlns:pic="http://schemas.openxmlformats.org/drawingml/2006/picture">
            <wp:extent cx="5943600" cy="2220412"/>
            <wp:docPr id="1" name="Picture 1"/>
            <wp:cNvGraphicFramePr>
              <a:graphicFrameLocks noChangeAspect="1"/>
            </wp:cNvGraphicFramePr>
            <a:graphic>
              <a:graphicData uri="http://schemas.openxmlformats.org/drawingml/2006/picture">
                <pic:pic>
                  <pic:nvPicPr>
                    <pic:cNvPr id="0" name="00-class-diagram-white.png"/>
                    <pic:cNvPicPr/>
                  </pic:nvPicPr>
                  <pic:blipFill>
                    <a:blip r:embed="rId9"/>
                    <a:stretch>
                      <a:fillRect/>
                    </a:stretch>
                  </pic:blipFill>
                  <pic:spPr>
                    <a:xfrm>
                      <a:off x="0" y="0"/>
                      <a:ext cx="5943600" cy="2220412"/>
                    </a:xfrm>
                    <a:prstGeom prst="rect"/>
                  </pic:spPr>
                </pic:pic>
              </a:graphicData>
            </a:graphic>
          </wp:inline>
        </w:drawing>
      </w:r>
    </w:p>
    <w:p>
      <w:pPr>
        <w:spacing w:before="40" w:after="160"/>
        <w:jc w:val="center"/>
      </w:pPr>
      <w:r>
        <w:rPr>
          <w:rFonts w:ascii="Times New Roman" w:hAnsi="Times New Roman" w:eastAsia="Times New Roman"/>
          <w:b w:val="0"/>
          <w:i/>
          <w:color w:val="000000"/>
          <w:sz w:val="20"/>
        </w:rPr>
        <w:t>Figure 1. MVC structure and class relationships.</w:t>
      </w:r>
    </w:p>
    <w:p>
      <w:pPr>
        <w:spacing w:before="200" w:after="120"/>
        <w:jc w:val="left"/>
      </w:pPr>
      <w:r>
        <w:rPr>
          <w:rFonts w:ascii="Times New Roman" w:hAnsi="Times New Roman" w:eastAsia="Times New Roman"/>
          <w:b/>
          <w:i w:val="0"/>
          <w:color w:val="000000"/>
          <w:sz w:val="26"/>
        </w:rPr>
        <w:t>2. GUI COMPONENTS USED</w:t>
      </w:r>
    </w:p>
    <w:p>
      <w:pPr>
        <w:spacing w:after="120" w:before="0" w:line="240" w:lineRule="auto"/>
        <w:ind w:firstLine="567"/>
        <w:jc w:val="both"/>
      </w:pPr>
      <w:r>
        <w:rPr>
          <w:rFonts w:ascii="Times New Roman" w:hAnsi="Times New Roman" w:eastAsia="Times New Roman"/>
          <w:b w:val="0"/>
          <w:i w:val="0"/>
          <w:color w:val="000000"/>
          <w:sz w:val="24"/>
        </w:rPr>
        <w:t>The interface uses 14 Swing/AWT components and four layout managers (BorderLayout, GridLayout, FlowLayout, and GridBagLayout). The table below maps each component to the screen where it appears.</w:t>
      </w:r>
    </w:p>
    <w:tbl>
      <w:tblPr>
        <w:tblStyle w:val="TableGrid"/>
        <w:tblW w:type="auto" w:w="0"/>
        <w:tblLook w:firstColumn="1" w:firstRow="1" w:lastColumn="0" w:lastRow="0" w:noHBand="0" w:noVBand="1" w:val="04A0"/>
        <w:tblW w:w="5000" w:type="pct"/>
      </w:tblPr>
      <w:tblGrid>
        <w:gridCol w:w="3216"/>
        <w:gridCol w:w="3216"/>
        <w:gridCol w:w="3216"/>
      </w:tblGrid>
      <w:tr>
        <w:tc>
          <w:tcPr>
            <w:tcW w:type="dxa" w:w="3168"/>
            <w:tcBorders>
              <w:top w:val="single" w:sz="4" w:color="666666"/>
              <w:left w:val="single" w:sz="4" w:color="666666"/>
              <w:bottom w:val="single" w:sz="4" w:color="666666"/>
              <w:right w:val="single" w:sz="4" w:color="666666"/>
            </w:tcBorders>
            <w:shd w:fill="1F4E79" w:val="clear"/>
          </w:tcPr>
          <w:p>
            <w:pPr>
              <w:spacing w:after="0" w:before="20"/>
              <w:jc w:val="left"/>
            </w:pPr>
            <w:r>
              <w:rPr>
                <w:b/>
                <w:color w:val="FFFFFF"/>
              </w:rPr>
            </w:r>
            <w:r>
              <w:rPr>
                <w:rFonts w:ascii="Times New Roman" w:hAnsi="Times New Roman" w:eastAsia="Times New Roman"/>
                <w:b/>
                <w:i w:val="0"/>
                <w:color w:val="FFFFFF"/>
                <w:sz w:val="18"/>
              </w:rPr>
              <w:t>Component</w:t>
            </w:r>
          </w:p>
        </w:tc>
        <w:tc>
          <w:tcPr>
            <w:tcW w:type="dxa" w:w="3312"/>
            <w:tcBorders>
              <w:top w:val="single" w:sz="4" w:color="666666"/>
              <w:left w:val="single" w:sz="4" w:color="666666"/>
              <w:bottom w:val="single" w:sz="4" w:color="666666"/>
              <w:right w:val="single" w:sz="4" w:color="666666"/>
            </w:tcBorders>
            <w:shd w:fill="1F4E79" w:val="clear"/>
          </w:tcPr>
          <w:p>
            <w:pPr>
              <w:spacing w:after="0" w:before="20"/>
              <w:jc w:val="left"/>
            </w:pPr>
            <w:r>
              <w:rPr>
                <w:b/>
                <w:color w:val="FFFFFF"/>
              </w:rPr>
            </w:r>
            <w:r>
              <w:rPr>
                <w:rFonts w:ascii="Times New Roman" w:hAnsi="Times New Roman" w:eastAsia="Times New Roman"/>
                <w:b/>
                <w:i w:val="0"/>
                <w:color w:val="FFFFFF"/>
                <w:sz w:val="18"/>
              </w:rPr>
              <w:t>Where it appears</w:t>
            </w:r>
          </w:p>
        </w:tc>
        <w:tc>
          <w:tcPr>
            <w:tcW w:type="dxa" w:w="3168"/>
            <w:tcBorders>
              <w:top w:val="single" w:sz="4" w:color="666666"/>
              <w:left w:val="single" w:sz="4" w:color="666666"/>
              <w:bottom w:val="single" w:sz="4" w:color="666666"/>
              <w:right w:val="single" w:sz="4" w:color="666666"/>
            </w:tcBorders>
            <w:shd w:fill="1F4E79" w:val="clear"/>
          </w:tcPr>
          <w:p>
            <w:pPr>
              <w:spacing w:after="0" w:before="20"/>
              <w:jc w:val="left"/>
            </w:pPr>
            <w:r>
              <w:rPr>
                <w:b/>
                <w:color w:val="FFFFFF"/>
              </w:rPr>
            </w:r>
            <w:r>
              <w:rPr>
                <w:rFonts w:ascii="Times New Roman" w:hAnsi="Times New Roman" w:eastAsia="Times New Roman"/>
                <w:b/>
                <w:i w:val="0"/>
                <w:color w:val="FFFFFF"/>
                <w:sz w:val="18"/>
              </w:rPr>
              <w:t>Role</w:t>
            </w:r>
          </w:p>
        </w:tc>
      </w:tr>
      <w:tr>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JFrame</w:t>
            </w:r>
          </w:p>
        </w:tc>
        <w:tc>
          <w:tcPr>
            <w:tcW w:type="dxa" w:w="3312"/>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MainFrame</w:t>
            </w:r>
          </w:p>
        </w:tc>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Top-level window</w:t>
            </w:r>
          </w:p>
        </w:tc>
      </w:tr>
      <w:tr>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JTabbedPane</w:t>
            </w:r>
          </w:p>
        </w:tc>
        <w:tc>
          <w:tcPr>
            <w:tcW w:type="dxa" w:w="3312"/>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MainFrame</w:t>
            </w:r>
          </w:p>
        </w:tc>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Students &amp; Groups, Tasks, Reports</w:t>
            </w:r>
          </w:p>
        </w:tc>
      </w:tr>
      <w:tr>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JMenuBar / JMenu / JMenuItem</w:t>
            </w:r>
          </w:p>
        </w:tc>
        <w:tc>
          <w:tcPr>
            <w:tcW w:type="dxa" w:w="3312"/>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MainFrame</w:t>
            </w:r>
          </w:p>
        </w:tc>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File → Exit and Help → About</w:t>
            </w:r>
          </w:p>
        </w:tc>
      </w:tr>
      <w:tr>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JSplitPane</w:t>
            </w:r>
          </w:p>
        </w:tc>
        <w:tc>
          <w:tcPr>
            <w:tcW w:type="dxa" w:w="3312"/>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StudentsGroupsPanel</w:t>
            </w:r>
          </w:p>
        </w:tc>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Resizable Students | Groups divider</w:t>
            </w:r>
          </w:p>
        </w:tc>
      </w:tr>
      <w:tr>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JTable</w:t>
            </w:r>
          </w:p>
        </w:tc>
        <w:tc>
          <w:tcPr>
            <w:tcW w:type="dxa" w:w="3312"/>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Students &amp; Groups, Tasks</w:t>
            </w:r>
          </w:p>
        </w:tc>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Student records and task list</w:t>
            </w:r>
          </w:p>
        </w:tc>
      </w:tr>
      <w:tr>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JList</w:t>
            </w:r>
          </w:p>
        </w:tc>
        <w:tc>
          <w:tcPr>
            <w:tcW w:type="dxa" w:w="3312"/>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StudentsGroupsPanel</w:t>
            </w:r>
          </w:p>
        </w:tc>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Single-selection group list</w:t>
            </w:r>
          </w:p>
        </w:tc>
      </w:tr>
      <w:tr>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JTextArea</w:t>
            </w:r>
          </w:p>
        </w:tc>
        <w:tc>
          <w:tcPr>
            <w:tcW w:type="dxa" w:w="3312"/>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Groups panel, Reports</w:t>
            </w:r>
          </w:p>
        </w:tc>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Member details and formatted reports</w:t>
            </w:r>
          </w:p>
        </w:tc>
      </w:tr>
      <w:tr>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JComboBox</w:t>
            </w:r>
          </w:p>
        </w:tc>
        <w:tc>
          <w:tcPr>
            <w:tcW w:type="dxa" w:w="3312"/>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TasksPanel</w:t>
            </w:r>
          </w:p>
        </w:tc>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Group, assignee, and status selection</w:t>
            </w:r>
          </w:p>
        </w:tc>
      </w:tr>
      <w:tr>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JDialog / JTextField</w:t>
            </w:r>
          </w:p>
        </w:tc>
        <w:tc>
          <w:tcPr>
            <w:tcW w:type="dxa" w:w="3312"/>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StudentDialog</w:t>
            </w:r>
          </w:p>
        </w:tc>
        <w:tc>
          <w:tcPr>
            <w:tcW w:type="dxa" w:w="3168"/>
            <w:tcBorders>
              <w:top w:val="single" w:sz="4" w:color="666666"/>
              <w:left w:val="single" w:sz="4" w:color="666666"/>
              <w:bottom w:val="single" w:sz="4" w:color="666666"/>
              <w:right w:val="single" w:sz="4" w:color="666666"/>
            </w:tcBorders>
          </w:tcPr>
          <w:p>
            <w:pPr>
              <w:spacing w:after="0" w:before="20"/>
              <w:jc w:val="left"/>
            </w:pPr>
            <w:r/>
            <w:r>
              <w:rPr>
                <w:rFonts w:ascii="Times New Roman" w:hAnsi="Times New Roman" w:eastAsia="Times New Roman"/>
                <w:b w:val="0"/>
                <w:i w:val="0"/>
                <w:color w:val="000000"/>
                <w:sz w:val="18"/>
              </w:rPr>
              <w:t>Modal ID, name, and email form</w:t>
            </w:r>
          </w:p>
        </w:tc>
      </w:tr>
      <w:tr>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JButton / JLabel / JPanel / JScrollPane</w:t>
            </w:r>
          </w:p>
        </w:tc>
        <w:tc>
          <w:tcPr>
            <w:tcW w:type="dxa" w:w="3312"/>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All views</w:t>
            </w:r>
          </w:p>
        </w:tc>
        <w:tc>
          <w:tcPr>
            <w:tcW w:type="dxa" w:w="3168"/>
            <w:tcBorders>
              <w:top w:val="single" w:sz="4" w:color="666666"/>
              <w:left w:val="single" w:sz="4" w:color="666666"/>
              <w:bottom w:val="single" w:sz="4" w:color="666666"/>
              <w:right w:val="single" w:sz="4" w:color="666666"/>
            </w:tcBorders>
            <w:shd w:fill="F2F2F2" w:val="clear"/>
          </w:tcPr>
          <w:p>
            <w:pPr>
              <w:spacing w:after="0" w:before="20"/>
              <w:jc w:val="left"/>
            </w:pPr>
            <w:r/>
            <w:r>
              <w:rPr>
                <w:rFonts w:ascii="Times New Roman" w:hAnsi="Times New Roman" w:eastAsia="Times New Roman"/>
                <w:b w:val="0"/>
                <w:i w:val="0"/>
                <w:color w:val="000000"/>
                <w:sz w:val="18"/>
              </w:rPr>
              <w:t>Actions, labels, grouping, scrolling</w:t>
            </w:r>
          </w:p>
        </w:tc>
      </w:tr>
    </w:tbl>
    <w:p>
      <w:pPr>
        <w:spacing w:before="40" w:after="160"/>
        <w:jc w:val="center"/>
      </w:pPr>
      <w:r>
        <w:rPr>
          <w:rFonts w:ascii="Times New Roman" w:hAnsi="Times New Roman" w:eastAsia="Times New Roman"/>
          <w:b w:val="0"/>
          <w:i/>
          <w:color w:val="000000"/>
          <w:sz w:val="20"/>
        </w:rPr>
        <w:t>Table 1. Swing/AWT components and their locations.</w:t>
      </w:r>
    </w:p>
    <w:p>
      <w:pPr>
        <w:spacing w:before="200" w:after="120"/>
        <w:jc w:val="left"/>
      </w:pPr>
      <w:r>
        <w:rPr>
          <w:rFonts w:ascii="Times New Roman" w:hAnsi="Times New Roman" w:eastAsia="Times New Roman"/>
          <w:b/>
          <w:i w:val="0"/>
          <w:color w:val="000000"/>
          <w:sz w:val="26"/>
        </w:rPr>
        <w:t>3. APPLICATION SCREENSHOTS</w:t>
      </w:r>
    </w:p>
    <w:p>
      <w:pPr>
        <w:spacing w:after="80" w:before="0" w:line="240" w:lineRule="auto"/>
        <w:ind w:firstLine="567"/>
        <w:jc w:val="both"/>
      </w:pPr>
      <w:r>
        <w:rPr>
          <w:rFonts w:ascii="Times New Roman" w:hAnsi="Times New Roman" w:eastAsia="Times New Roman"/>
          <w:b w:val="0"/>
          <w:i w:val="0"/>
          <w:color w:val="000000"/>
          <w:sz w:val="24"/>
        </w:rPr>
        <w:t>The figures below show the three primary tabs and the Add Student dialog, using the in-memory seed data (Alpha Team and two assigned tasks).</w:t>
      </w:r>
    </w:p>
    <w:tbl>
      <w:tblPr>
        <w:tblW w:type="auto" w:w="0"/>
        <w:jc w:val="center"/>
        <w:tblLayout w:type="autofit"/>
        <w:tblLook w:firstColumn="1" w:firstRow="1" w:lastColumn="0" w:lastRow="0" w:noHBand="0" w:noVBand="1" w:val="04A0"/>
      </w:tblPr>
      <w:tblGrid>
        <w:gridCol w:w="4824"/>
        <w:gridCol w:w="4824"/>
      </w:tblGrid>
      <w:tr>
        <w:tc>
          <w:tcPr>
            <w:tcW w:type="dxa" w:w="4824"/>
          </w:tcPr>
          <w:p>
            <w:pPr>
              <w:jc w:val="center"/>
            </w:pPr>
            <w:r/>
            <w:r>
              <w:drawing>
                <wp:inline xmlns:a="http://schemas.openxmlformats.org/drawingml/2006/main" xmlns:pic="http://schemas.openxmlformats.org/drawingml/2006/picture">
                  <wp:extent cx="2926080" cy="1910909"/>
                  <wp:docPr id="2" name="Picture 2"/>
                  <wp:cNvGraphicFramePr>
                    <a:graphicFrameLocks noChangeAspect="1"/>
                  </wp:cNvGraphicFramePr>
                  <a:graphic>
                    <a:graphicData uri="http://schemas.openxmlformats.org/drawingml/2006/picture">
                      <pic:pic>
                        <pic:nvPicPr>
                          <pic:cNvPr id="0" name="01-students-groups.png"/>
                          <pic:cNvPicPr/>
                        </pic:nvPicPr>
                        <pic:blipFill>
                          <a:blip r:embed="rId10"/>
                          <a:stretch>
                            <a:fillRect/>
                          </a:stretch>
                        </pic:blipFill>
                        <pic:spPr>
                          <a:xfrm>
                            <a:off x="0" y="0"/>
                            <a:ext cx="2926080" cy="1910909"/>
                          </a:xfrm>
                          <a:prstGeom prst="rect"/>
                        </pic:spPr>
                      </pic:pic>
                    </a:graphicData>
                  </a:graphic>
                </wp:inline>
              </w:drawing>
            </w:r>
          </w:p>
        </w:tc>
        <w:tc>
          <w:tcPr>
            <w:tcW w:type="dxa" w:w="4824"/>
          </w:tcPr>
          <w:p>
            <w:pPr>
              <w:jc w:val="center"/>
            </w:pPr>
            <w:r/>
            <w:r>
              <w:drawing>
                <wp:inline xmlns:a="http://schemas.openxmlformats.org/drawingml/2006/main" xmlns:pic="http://schemas.openxmlformats.org/drawingml/2006/picture">
                  <wp:extent cx="2926080" cy="1910909"/>
                  <wp:docPr id="3" name="Picture 3"/>
                  <wp:cNvGraphicFramePr>
                    <a:graphicFrameLocks noChangeAspect="1"/>
                  </wp:cNvGraphicFramePr>
                  <a:graphic>
                    <a:graphicData uri="http://schemas.openxmlformats.org/drawingml/2006/picture">
                      <pic:pic>
                        <pic:nvPicPr>
                          <pic:cNvPr id="0" name="03-tasks.png"/>
                          <pic:cNvPicPr/>
                        </pic:nvPicPr>
                        <pic:blipFill>
                          <a:blip r:embed="rId11"/>
                          <a:stretch>
                            <a:fillRect/>
                          </a:stretch>
                        </pic:blipFill>
                        <pic:spPr>
                          <a:xfrm>
                            <a:off x="0" y="0"/>
                            <a:ext cx="2926080" cy="1910909"/>
                          </a:xfrm>
                          <a:prstGeom prst="rect"/>
                        </pic:spPr>
                      </pic:pic>
                    </a:graphicData>
                  </a:graphic>
                </wp:inline>
              </w:drawing>
            </w:r>
          </w:p>
        </w:tc>
      </w:tr>
    </w:tbl>
    <w:p>
      <w:pPr>
        <w:spacing w:before="40" w:after="160"/>
        <w:jc w:val="center"/>
      </w:pPr>
      <w:r>
        <w:rPr>
          <w:rFonts w:ascii="Times New Roman" w:hAnsi="Times New Roman" w:eastAsia="Times New Roman"/>
          <w:b w:val="0"/>
          <w:i/>
          <w:color w:val="000000"/>
          <w:sz w:val="20"/>
        </w:rPr>
        <w:t>Figure 2. Students &amp; Groups tab (left) and Tasks &amp; Assignment tab (right).</w:t>
      </w:r>
    </w:p>
    <w:tbl>
      <w:tblPr>
        <w:tblW w:type="auto" w:w="0"/>
        <w:jc w:val="center"/>
        <w:tblLayout w:type="autofit"/>
        <w:tblLook w:firstColumn="1" w:firstRow="1" w:lastColumn="0" w:lastRow="0" w:noHBand="0" w:noVBand="1" w:val="04A0"/>
      </w:tblPr>
      <w:tblGrid>
        <w:gridCol w:w="4824"/>
        <w:gridCol w:w="4824"/>
      </w:tblGrid>
      <w:tr>
        <w:tc>
          <w:tcPr>
            <w:tcW w:type="dxa" w:w="4824"/>
          </w:tcPr>
          <w:p>
            <w:pPr>
              <w:jc w:val="center"/>
            </w:pPr>
            <w:r/>
            <w:r>
              <w:drawing>
                <wp:inline xmlns:a="http://schemas.openxmlformats.org/drawingml/2006/main" xmlns:pic="http://schemas.openxmlformats.org/drawingml/2006/picture">
                  <wp:extent cx="2926080" cy="1336604"/>
                  <wp:docPr id="4" name="Picture 4"/>
                  <wp:cNvGraphicFramePr>
                    <a:graphicFrameLocks noChangeAspect="1"/>
                  </wp:cNvGraphicFramePr>
                  <a:graphic>
                    <a:graphicData uri="http://schemas.openxmlformats.org/drawingml/2006/picture">
                      <pic:pic>
                        <pic:nvPicPr>
                          <pic:cNvPr id="0" name="02-add-student-dialog.png"/>
                          <pic:cNvPicPr/>
                        </pic:nvPicPr>
                        <pic:blipFill>
                          <a:blip r:embed="rId12"/>
                          <a:stretch>
                            <a:fillRect/>
                          </a:stretch>
                        </pic:blipFill>
                        <pic:spPr>
                          <a:xfrm>
                            <a:off x="0" y="0"/>
                            <a:ext cx="2926080" cy="1336604"/>
                          </a:xfrm>
                          <a:prstGeom prst="rect"/>
                        </pic:spPr>
                      </pic:pic>
                    </a:graphicData>
                  </a:graphic>
                </wp:inline>
              </w:drawing>
            </w:r>
          </w:p>
        </w:tc>
        <w:tc>
          <w:tcPr>
            <w:tcW w:type="dxa" w:w="4824"/>
          </w:tcPr>
          <w:p>
            <w:pPr>
              <w:jc w:val="center"/>
            </w:pPr>
            <w:r/>
            <w:r>
              <w:drawing>
                <wp:inline xmlns:a="http://schemas.openxmlformats.org/drawingml/2006/main" xmlns:pic="http://schemas.openxmlformats.org/drawingml/2006/picture">
                  <wp:extent cx="2926080" cy="1910909"/>
                  <wp:docPr id="5" name="Picture 5"/>
                  <wp:cNvGraphicFramePr>
                    <a:graphicFrameLocks noChangeAspect="1"/>
                  </wp:cNvGraphicFramePr>
                  <a:graphic>
                    <a:graphicData uri="http://schemas.openxmlformats.org/drawingml/2006/picture">
                      <pic:pic>
                        <pic:nvPicPr>
                          <pic:cNvPr id="0" name="04-group-summary-report.png"/>
                          <pic:cNvPicPr/>
                        </pic:nvPicPr>
                        <pic:blipFill>
                          <a:blip r:embed="rId13"/>
                          <a:stretch>
                            <a:fillRect/>
                          </a:stretch>
                        </pic:blipFill>
                        <pic:spPr>
                          <a:xfrm>
                            <a:off x="0" y="0"/>
                            <a:ext cx="2926080" cy="1910909"/>
                          </a:xfrm>
                          <a:prstGeom prst="rect"/>
                        </pic:spPr>
                      </pic:pic>
                    </a:graphicData>
                  </a:graphic>
                </wp:inline>
              </w:drawing>
            </w:r>
          </w:p>
        </w:tc>
      </w:tr>
    </w:tbl>
    <w:p>
      <w:pPr>
        <w:spacing w:before="40" w:after="160"/>
        <w:jc w:val="center"/>
      </w:pPr>
      <w:r>
        <w:rPr>
          <w:rFonts w:ascii="Times New Roman" w:hAnsi="Times New Roman" w:eastAsia="Times New Roman"/>
          <w:b w:val="0"/>
          <w:i/>
          <w:color w:val="000000"/>
          <w:sz w:val="20"/>
        </w:rPr>
        <w:t>Figure 3. Add Student dialog (left) and Group Summary Report (right).</w:t>
      </w:r>
    </w:p>
    <w:tbl>
      <w:tblPr>
        <w:tblW w:type="auto" w:w="0"/>
        <w:jc w:val="center"/>
        <w:tblLayout w:type="autofit"/>
        <w:tblLook w:firstColumn="1" w:firstRow="1" w:lastColumn="0" w:lastRow="0" w:noHBand="0" w:noVBand="1" w:val="04A0"/>
      </w:tblPr>
      <w:tblGrid>
        <w:gridCol w:w="4824"/>
        <w:gridCol w:w="4824"/>
      </w:tblGrid>
      <w:tr>
        <w:tc>
          <w:tcPr>
            <w:tcW w:type="dxa" w:w="4824"/>
          </w:tcPr>
          <w:p>
            <w:pPr>
              <w:jc w:val="center"/>
            </w:pPr>
            <w:r/>
            <w:r>
              <w:drawing>
                <wp:inline xmlns:a="http://schemas.openxmlformats.org/drawingml/2006/main" xmlns:pic="http://schemas.openxmlformats.org/drawingml/2006/picture">
                  <wp:extent cx="2926080" cy="1910909"/>
                  <wp:docPr id="6" name="Picture 6"/>
                  <wp:cNvGraphicFramePr>
                    <a:graphicFrameLocks noChangeAspect="1"/>
                  </wp:cNvGraphicFramePr>
                  <a:graphic>
                    <a:graphicData uri="http://schemas.openxmlformats.org/drawingml/2006/picture">
                      <pic:pic>
                        <pic:nvPicPr>
                          <pic:cNvPr id="0" name="05-member-contribution-report.png"/>
                          <pic:cNvPicPr/>
                        </pic:nvPicPr>
                        <pic:blipFill>
                          <a:blip r:embed="rId14"/>
                          <a:stretch>
                            <a:fillRect/>
                          </a:stretch>
                        </pic:blipFill>
                        <pic:spPr>
                          <a:xfrm>
                            <a:off x="0" y="0"/>
                            <a:ext cx="2926080" cy="1910909"/>
                          </a:xfrm>
                          <a:prstGeom prst="rect"/>
                        </pic:spPr>
                      </pic:pic>
                    </a:graphicData>
                  </a:graphic>
                </wp:inline>
              </w:drawing>
            </w:r>
          </w:p>
        </w:tc>
        <w:tc>
          <w:tcPr>
            <w:tcW w:type="dxa" w:w="4824"/>
          </w:tcPr>
          <w:p>
            <w:pPr>
              <w:jc w:val="center"/>
            </w:pPr>
            <w:r/>
            <w:r>
              <w:drawing>
                <wp:inline xmlns:a="http://schemas.openxmlformats.org/drawingml/2006/main" xmlns:pic="http://schemas.openxmlformats.org/drawingml/2006/picture">
                  <wp:extent cx="2926080" cy="1910909"/>
                  <wp:docPr id="7" name="Picture 7"/>
                  <wp:cNvGraphicFramePr>
                    <a:graphicFrameLocks noChangeAspect="1"/>
                  </wp:cNvGraphicFramePr>
                  <a:graphic>
                    <a:graphicData uri="http://schemas.openxmlformats.org/drawingml/2006/picture">
                      <pic:pic>
                        <pic:nvPicPr>
                          <pic:cNvPr id="0" name="06-task-status-report.png"/>
                          <pic:cNvPicPr/>
                        </pic:nvPicPr>
                        <pic:blipFill>
                          <a:blip r:embed="rId15"/>
                          <a:stretch>
                            <a:fillRect/>
                          </a:stretch>
                        </pic:blipFill>
                        <pic:spPr>
                          <a:xfrm>
                            <a:off x="0" y="0"/>
                            <a:ext cx="2926080" cy="1910909"/>
                          </a:xfrm>
                          <a:prstGeom prst="rect"/>
                        </pic:spPr>
                      </pic:pic>
                    </a:graphicData>
                  </a:graphic>
                </wp:inline>
              </w:drawing>
            </w:r>
          </w:p>
        </w:tc>
      </w:tr>
    </w:tbl>
    <w:p>
      <w:pPr>
        <w:spacing w:before="40" w:after="160"/>
        <w:jc w:val="center"/>
      </w:pPr>
      <w:r>
        <w:rPr>
          <w:rFonts w:ascii="Times New Roman" w:hAnsi="Times New Roman" w:eastAsia="Times New Roman"/>
          <w:b w:val="0"/>
          <w:i/>
          <w:color w:val="000000"/>
          <w:sz w:val="20"/>
        </w:rPr>
        <w:t>Figure 4. Member Contribution Report (left) and Task Status Report (right).</w:t>
      </w:r>
    </w:p>
    <w:p>
      <w:pPr>
        <w:spacing w:after="120" w:before="0" w:line="240" w:lineRule="auto"/>
        <w:ind w:firstLine="567"/>
        <w:jc w:val="both"/>
      </w:pPr>
      <w:r>
        <w:rPr>
          <w:rFonts w:ascii="Times New Roman" w:hAnsi="Times New Roman" w:eastAsia="Times New Roman"/>
          <w:b w:val="0"/>
          <w:i w:val="0"/>
          <w:color w:val="000000"/>
          <w:sz w:val="24"/>
        </w:rPr>
        <w:t>Key features visible in these screens: adding and assigning students; the one-group membership rule (GO'AR Ritmunu Miracle remains Unassigned until placed in a group); creating tasks with a group, assignee, deadline, and status; and three reports. The group summary computes completion percentage, the member report computes a contribution score per student, and the task report lists every responsibility in a monospaced table.</w:t>
      </w:r>
    </w:p>
    <w:p>
      <w:pPr>
        <w:spacing w:before="200" w:after="120"/>
        <w:jc w:val="left"/>
      </w:pPr>
      <w:r>
        <w:rPr>
          <w:rFonts w:ascii="Times New Roman" w:hAnsi="Times New Roman" w:eastAsia="Times New Roman"/>
          <w:b/>
          <w:i w:val="0"/>
          <w:color w:val="000000"/>
          <w:sz w:val="26"/>
        </w:rPr>
        <w:t>4. CHALLENGES AND HOW THEY WERE OVERCOME</w:t>
      </w:r>
    </w:p>
    <w:p>
      <w:pPr>
        <w:spacing w:after="80" w:before="20"/>
        <w:ind w:firstLine="0"/>
        <w:jc w:val="both"/>
      </w:pPr>
      <w:r>
        <w:rPr>
          <w:rFonts w:ascii="Times New Roman" w:hAnsi="Times New Roman" w:eastAsia="Times New Roman"/>
          <w:b/>
          <w:i w:val="0"/>
          <w:color w:val="000000"/>
          <w:sz w:val="22"/>
        </w:rPr>
        <w:t xml:space="preserve">Applying MVC in Swing. </w:t>
      </w:r>
      <w:r>
        <w:rPr>
          <w:rFonts w:ascii="Times New Roman" w:hAnsi="Times New Roman" w:eastAsia="Times New Roman"/>
          <w:b w:val="0"/>
          <w:i w:val="0"/>
          <w:color w:val="000000"/>
          <w:sz w:val="22"/>
        </w:rPr>
        <w:t>Swing listeners naturally live on components, so a strict controller class for every click would have added ceremony without much benefit. We kept models free of UI code, used AppController only for thread-safe startup, and let each panel act as a local controller over the shared DataStore.</w:t>
      </w:r>
    </w:p>
    <w:p>
      <w:pPr>
        <w:spacing w:after="80" w:before="20"/>
        <w:ind w:firstLine="0"/>
        <w:jc w:val="both"/>
      </w:pPr>
      <w:r>
        <w:rPr>
          <w:rFonts w:ascii="Times New Roman" w:hAnsi="Times New Roman" w:eastAsia="Times New Roman"/>
          <w:b/>
          <w:i w:val="0"/>
          <w:color w:val="000000"/>
          <w:sz w:val="22"/>
        </w:rPr>
        <w:t xml:space="preserve">One student, one group. </w:t>
      </w:r>
      <w:r>
        <w:rPr>
          <w:rFonts w:ascii="Times New Roman" w:hAnsi="Times New Roman" w:eastAsia="Times New Roman"/>
          <w:b w:val="0"/>
          <w:i w:val="0"/>
          <w:color w:val="000000"/>
          <w:sz w:val="22"/>
        </w:rPr>
        <w:t>A naive add-to-group operation left students in multiple groups. Before assigning, the panel now removes the student from every existing group. Group.addMember() and removeMember() keep Student.groupId aligned with membership.</w:t>
      </w:r>
    </w:p>
    <w:p>
      <w:pPr>
        <w:spacing w:after="80" w:before="20"/>
        <w:ind w:firstLine="0"/>
        <w:jc w:val="both"/>
      </w:pPr>
      <w:r>
        <w:rPr>
          <w:rFonts w:ascii="Times New Roman" w:hAnsi="Times New Roman" w:eastAsia="Times New Roman"/>
          <w:b/>
          <w:i w:val="0"/>
          <w:color w:val="000000"/>
          <w:sz w:val="22"/>
        </w:rPr>
        <w:t xml:space="preserve">Keeping three tabs in sync. </w:t>
      </w:r>
      <w:r>
        <w:rPr>
          <w:rFonts w:ascii="Times New Roman" w:hAnsi="Times New Roman" w:eastAsia="Times New Roman"/>
          <w:b w:val="0"/>
          <w:i w:val="0"/>
          <w:color w:val="000000"/>
          <w:sz w:val="22"/>
        </w:rPr>
        <w:t>Because all screens share one DataStore, stale combo boxes were possible after an assignment. MainFrame registers a JTabbedPane change listener that refreshes the Students and Tasks panels whenever the user switches tabs.</w:t>
      </w:r>
    </w:p>
    <w:p>
      <w:pPr>
        <w:spacing w:after="80" w:before="20"/>
        <w:ind w:firstLine="0"/>
        <w:jc w:val="both"/>
      </w:pPr>
      <w:r>
        <w:rPr>
          <w:rFonts w:ascii="Times New Roman" w:hAnsi="Times New Roman" w:eastAsia="Times New Roman"/>
          <w:b/>
          <w:i w:val="0"/>
          <w:color w:val="000000"/>
          <w:sz w:val="22"/>
        </w:rPr>
        <w:t xml:space="preserve">Packed data-entry layouts. </w:t>
      </w:r>
      <w:r>
        <w:rPr>
          <w:rFonts w:ascii="Times New Roman" w:hAnsi="Times New Roman" w:eastAsia="Times New Roman"/>
          <w:b w:val="0"/>
          <w:i w:val="0"/>
          <w:color w:val="000000"/>
          <w:sz w:val="22"/>
        </w:rPr>
        <w:t>The task form needed labels and combo boxes aligned in two rows. GridBagLayout handled that form, while JSplitPane separated student and group management without forcing a fixed width.</w:t>
      </w:r>
    </w:p>
    <w:p>
      <w:pPr>
        <w:spacing w:after="80" w:before="20"/>
        <w:ind w:firstLine="0"/>
        <w:jc w:val="both"/>
      </w:pPr>
      <w:r>
        <w:rPr>
          <w:rFonts w:ascii="Times New Roman" w:hAnsi="Times New Roman" w:eastAsia="Times New Roman"/>
          <w:b/>
          <w:i w:val="0"/>
          <w:color w:val="000000"/>
          <w:sz w:val="22"/>
        </w:rPr>
        <w:t xml:space="preserve">Readable reports without a charting library. </w:t>
      </w:r>
      <w:r>
        <w:rPr>
          <w:rFonts w:ascii="Times New Roman" w:hAnsi="Times New Roman" w:eastAsia="Times New Roman"/>
          <w:b w:val="0"/>
          <w:i w:val="0"/>
          <w:color w:val="000000"/>
          <w:sz w:val="22"/>
        </w:rPr>
        <w:t>Progress and contribution values are calculated from streams over the responsibility list and printed in a non-editable, monospaced JTextArea. This met the reporting requirement without extra dependencies.</w:t>
      </w:r>
    </w:p>
    <w:p>
      <w:pPr>
        <w:spacing w:after="0" w:before="0" w:line="240" w:lineRule="auto"/>
        <w:ind w:firstLine="567"/>
        <w:jc w:val="both"/>
      </w:pPr>
      <w:r>
        <w:rPr>
          <w:rFonts w:ascii="Times New Roman" w:hAnsi="Times New Roman" w:eastAsia="Times New Roman"/>
          <w:b w:val="0"/>
          <w:i w:val="0"/>
          <w:color w:val="000000"/>
          <w:sz w:val="24"/>
        </w:rPr>
        <w:t>Overall, the MVC split, a single DataStore, and tab-level refresh were enough to keep the interface consistent while remaining a compact academic Swing application.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