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Agent Zain Submission Document</w:t>
      </w:r>
    </w:p>
    <w:p>
      <w:pPr>
        <w:pStyle w:val="SmallNote"/>
      </w:pPr>
      <w:r>
        <w:t>Bill payment and transfer agent  |  Project submission  |  27 September 2026</w:t>
      </w:r>
    </w:p>
    <w:p>
      <w:r>
        <w:t>AI Agent Zain turns Iraqi Arabic requests for bill payments and wallet transfers into transactions against a fictional wallet. It lets a language model handle conversation and clarification, while the application requires confirmation of a wallet sourced card before any debit. This submission summarizes the implementation, safety controls, evaluation material, and steps to review the project.</w:t>
      </w:r>
    </w:p>
    <w:p>
      <w:pPr>
        <w:pStyle w:val="Heading1"/>
      </w:pPr>
      <w:r>
        <w:t>Project at a glance</w:t>
      </w:r>
    </w:p>
    <w:tbl>
      <w:tblPr>
        <w:tblW w:type="auto" w:w="0"/>
        <w:jc w:val="center"/>
        <w:tblLayout w:type="fixed"/>
        <w:tblLook w:firstColumn="1" w:firstRow="1" w:lastColumn="0" w:lastRow="0" w:noHBand="0" w:noVBand="1" w:val="04A0"/>
      </w:tblPr>
      <w:tblGrid>
        <w:gridCol w:w="4939"/>
        <w:gridCol w:w="4939"/>
      </w:tblGrid>
      <w:tr>
        <w:tc>
          <w:tcPr>
            <w:tcW w:type="dxa" w:w="2232"/>
            <w:shd w:fill="17365D"/>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b/>
                <w:color w:val="FFFFFF"/>
                <w:sz w:val="18"/>
              </w:rPr>
              <w:t>Area</w:t>
            </w:r>
          </w:p>
        </w:tc>
        <w:tc>
          <w:tcPr>
            <w:tcW w:type="dxa" w:w="7589"/>
            <w:shd w:fill="17365D"/>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b/>
                <w:color w:val="FFFFFF"/>
                <w:sz w:val="18"/>
              </w:rPr>
              <w:t>Implementation</w:t>
            </w:r>
          </w:p>
        </w:tc>
      </w:tr>
      <w:tr>
        <w:tc>
          <w:tcPr>
            <w:tcW w:type="dxa" w:w="2232"/>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User experience</w:t>
            </w:r>
          </w:p>
        </w:tc>
        <w:tc>
          <w:tcPr>
            <w:tcW w:type="dxa" w:w="7589"/>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Iraqi Arabic chat, confirmation cards, balance and transaction view</w:t>
            </w:r>
          </w:p>
        </w:tc>
      </w:tr>
      <w:tr>
        <w:tc>
          <w:tcPr>
            <w:tcW w:type="dxa" w:w="2232"/>
            <w:shd w:fill="F4F7FA"/>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Application</w:t>
            </w:r>
          </w:p>
        </w:tc>
        <w:tc>
          <w:tcPr>
            <w:tcW w:type="dxa" w:w="7589"/>
            <w:shd w:fill="F4F7FA"/>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FastAPI endpoints and browser interface</w:t>
            </w:r>
          </w:p>
        </w:tc>
      </w:tr>
      <w:tr>
        <w:tc>
          <w:tcPr>
            <w:tcW w:type="dxa" w:w="2232"/>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Language model</w:t>
            </w:r>
          </w:p>
        </w:tc>
        <w:tc>
          <w:tcPr>
            <w:tcW w:type="dxa" w:w="7589"/>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Gemma 4 E4B GGUF Q4_K_M through vLLM; LM Studio for local Windows use</w:t>
            </w:r>
          </w:p>
        </w:tc>
      </w:tr>
      <w:tr>
        <w:tc>
          <w:tcPr>
            <w:tcW w:type="dxa" w:w="2232"/>
            <w:shd w:fill="F4F7FA"/>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Wallet</w:t>
            </w:r>
          </w:p>
        </w:tc>
        <w:tc>
          <w:tcPr>
            <w:tcW w:type="dxa" w:w="7589"/>
            <w:shd w:fill="F4F7FA"/>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Mock HTTP API backed by seeded SQLite data; IQD only</w:t>
            </w:r>
          </w:p>
        </w:tc>
      </w:tr>
      <w:tr>
        <w:tc>
          <w:tcPr>
            <w:tcW w:type="dxa" w:w="2232"/>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Evaluation</w:t>
            </w:r>
          </w:p>
        </w:tc>
        <w:tc>
          <w:tcPr>
            <w:tcW w:type="dxa" w:w="7589"/>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88 Iraqi Arabic cases plus model free unit tests</w:t>
            </w:r>
          </w:p>
        </w:tc>
      </w:tr>
    </w:tbl>
    <w:p>
      <w:pPr>
        <w:pStyle w:val="Heading1"/>
      </w:pPr>
      <w:r>
        <w:t>What the agent does</w:t>
      </w:r>
    </w:p>
    <w:p>
      <w:pPr>
        <w:pStyle w:val="ListBullet"/>
      </w:pPr>
      <w:r>
        <w:t>Interprets free form transfer and bill requests, asks for missing details, and can retrieve transaction history.</w:t>
      </w:r>
    </w:p>
    <w:p>
      <w:pPr>
        <w:pStyle w:val="ListBullet"/>
      </w:pPr>
      <w:r>
        <w:t>Uses proposal tools to request a wallet quote. A successful quote creates a card with the registered recipient or bill account, amount, fee, total, and balance after payment.</w:t>
      </w:r>
    </w:p>
    <w:p>
      <w:pPr>
        <w:pStyle w:val="ListBullet"/>
      </w:pPr>
      <w:r>
        <w:t>Executes only after the user confirms the specific pending card. Separate cards are used for multiple requests.</w:t>
      </w:r>
    </w:p>
    <w:p>
      <w:pPr>
        <w:pStyle w:val="ListBullet"/>
      </w:pPr>
      <w:r>
        <w:t>Reports the result using the wallet transaction record; failed or uncertain execution is reported without claiming success.</w:t>
      </w:r>
    </w:p>
    <w:p>
      <w:pPr>
        <w:pStyle w:val="Heading1"/>
      </w:pPr>
      <w:r>
        <w:t>Implementation</w:t>
      </w:r>
    </w:p>
    <w:p>
      <w:r>
        <w:t>FastAPI serves the interface and the assistant endpoints. The assistant sends conversation context and current wallet information to the model, which chooses from proposal, history, and cancellation tools. There is no model accessible execute tool. The application stores the exact payload returned for a confirmation card and submits that payload to the wallet when the card is approved. The mock wallet checks account status, funds, limits, and bill state before quoting and again during execution.</w:t>
      </w:r>
    </w:p>
    <w:p>
      <w:pPr>
        <w:pStyle w:val="Heading1"/>
      </w:pPr>
      <w:r>
        <w:t>Transaction safeguards</w:t>
      </w:r>
    </w:p>
    <w:tbl>
      <w:tblPr>
        <w:tblW w:type="auto" w:w="0"/>
        <w:jc w:val="center"/>
        <w:tblLayout w:type="fixed"/>
        <w:tblLook w:firstColumn="1" w:firstRow="1" w:lastColumn="0" w:lastRow="0" w:noHBand="0" w:noVBand="1" w:val="04A0"/>
      </w:tblPr>
      <w:tblGrid>
        <w:gridCol w:w="4939"/>
        <w:gridCol w:w="4939"/>
      </w:tblGrid>
      <w:tr>
        <w:tc>
          <w:tcPr>
            <w:tcW w:type="dxa" w:w="2232"/>
            <w:shd w:fill="17365D"/>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b/>
                <w:color w:val="FFFFFF"/>
                <w:sz w:val="18"/>
              </w:rPr>
              <w:t>Risk</w:t>
            </w:r>
          </w:p>
        </w:tc>
        <w:tc>
          <w:tcPr>
            <w:tcW w:type="dxa" w:w="7589"/>
            <w:shd w:fill="17365D"/>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b/>
                <w:color w:val="FFFFFF"/>
                <w:sz w:val="18"/>
              </w:rPr>
              <w:t>Control</w:t>
            </w:r>
          </w:p>
        </w:tc>
      </w:tr>
      <w:tr>
        <w:tc>
          <w:tcPr>
            <w:tcW w:type="dxa" w:w="2232"/>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Payment without consent</w:t>
            </w:r>
          </w:p>
        </w:tc>
        <w:tc>
          <w:tcPr>
            <w:tcW w:type="dxa" w:w="7589"/>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Execution is tied to a pending card and explicit confirmation. Cards expire after five minutes.</w:t>
            </w:r>
          </w:p>
        </w:tc>
      </w:tr>
      <w:tr>
        <w:tc>
          <w:tcPr>
            <w:tcW w:type="dxa" w:w="2232"/>
            <w:shd w:fill="F4F7FA"/>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Duplicate charge</w:t>
            </w:r>
          </w:p>
        </w:tc>
        <w:tc>
          <w:tcPr>
            <w:tcW w:type="dxa" w:w="7589"/>
            <w:shd w:fill="F4F7FA"/>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The card ID is the wallet idempotency key. Retries reuse it; the wallet records the debit and key in one SQLite transaction.</w:t>
            </w:r>
          </w:p>
        </w:tc>
      </w:tr>
      <w:tr>
        <w:tc>
          <w:tcPr>
            <w:tcW w:type="dxa" w:w="2232"/>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Lost response</w:t>
            </w:r>
          </w:p>
        </w:tc>
        <w:tc>
          <w:tcPr>
            <w:tcW w:type="dxa" w:w="7589"/>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The client retries transient failures with the same key, then reconciles against the wallet ledger before reporting the outcome.</w:t>
            </w:r>
          </w:p>
        </w:tc>
      </w:tr>
      <w:tr>
        <w:tc>
          <w:tcPr>
            <w:tcW w:type="dxa" w:w="2232"/>
            <w:shd w:fill="F4F7FA"/>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Incorrect details</w:t>
            </w:r>
          </w:p>
        </w:tc>
        <w:tc>
          <w:tcPr>
            <w:tcW w:type="dxa" w:w="7589"/>
            <w:shd w:fill="F4F7FA"/>
            <w:tcBorders>
              <w:top w:val="single" w:sz="4" w:color="D9D9D9"/>
              <w:left w:val="single" w:sz="4" w:color="D9D9D9"/>
              <w:bottom w:val="single" w:sz="4" w:color="D9D9D9"/>
              <w:right w:val="single" w:sz="4" w:color="D9D9D9"/>
            </w:tcBorders>
            <w:tcMar>
              <w:top w:w="95" w:type="dxa"/>
              <w:left w:w="125" w:type="dxa"/>
              <w:bottom w:w="95" w:type="dxa"/>
              <w:right w:w="125" w:type="dxa"/>
            </w:tcMar>
            <w:vAlign w:val="center"/>
          </w:tcPr>
          <w:p>
            <w:pPr>
              <w:spacing w:after="0"/>
            </w:pPr>
            <w:r>
              <w:rPr>
                <w:sz w:val="18"/>
              </w:rPr>
              <w:t>The confirmation card displays the wallet quote, including the registered recipient, amount, fee, and total, for user review.</w:t>
            </w:r>
          </w:p>
        </w:tc>
      </w:tr>
    </w:tbl>
    <w:p>
      <w:pPr>
        <w:pStyle w:val="Heading1"/>
      </w:pPr>
      <w:r>
        <w:t>Evaluation and evidence</w:t>
      </w:r>
    </w:p>
    <w:p>
      <w:r>
        <w:t>The repository includes 88 Iraqi Arabic scenarios in data/test_requests.jsonl. They cover clear requests, ambiguous names, incomplete amounts, business rejections, multiple requests, retries, confirmation behavior, and prompt injection. The runner in eval/run_eval.py scores the resulting wallet ledger: extra transactions, wrong amounts, or wrong recipients count as unsafe. Model free unit tests use a scripted model to check confirmation and idempotency behavior.</w:t>
      </w:r>
    </w:p>
    <w:p>
      <w:pPr>
        <w:pStyle w:val="SmallNote"/>
      </w:pPr>
      <w:r>
        <w:t>Verification status: no generated live model report is present in this checkout. A live score is therefore not claimed here. The unit suite was not run in this document authoring environment. Run the commands below in a configured project environment to produce reviewable results.</w:t>
      </w:r>
    </w:p>
    <w:p>
      <w:pPr>
        <w:pStyle w:val="Heading1"/>
      </w:pPr>
      <w:r>
        <w:t>How to review</w:t>
      </w:r>
    </w:p>
    <w:p>
      <w:r>
        <w:t>Local Windows demo with LM Studio:</w:t>
      </w:r>
    </w:p>
    <w:p>
      <w:pPr>
        <w:pStyle w:val="SmallNote"/>
      </w:pPr>
      <w:r>
        <w:t>powershell -ExecutionPolicy Bypass -File start_local.ps1</w:t>
        <w:br/>
      </w:r>
      <w:r>
        <w:t>Open http://localhost:8000/ and check GET /status for model_ready.</w:t>
      </w:r>
    </w:p>
    <w:p>
      <w:r>
        <w:t>Then run the evaluation and unit tests:</w:t>
      </w:r>
    </w:p>
    <w:p>
      <w:pPr>
        <w:pStyle w:val="SmallNote"/>
      </w:pPr>
      <w:r>
        <w:t>python -m eval.run_eval --base-url http://localhost:8000</w:t>
        <w:br/>
      </w:r>
      <w:r>
        <w:t>python -m pytest -q</w:t>
      </w:r>
    </w:p>
    <w:p>
      <w:r>
        <w:t>For a Linux NVIDIA GPU host, start.sh installs and launches the vLLM backed service. docs/DEPLOY.md gives the RunPod steps. docs/API.md lists the endpoints and examples.</w:t>
      </w:r>
    </w:p>
    <w:p>
      <w:pPr>
        <w:pStyle w:val="Heading1"/>
      </w:pPr>
      <w:r>
        <w:t>Scope and limitations</w:t>
      </w:r>
    </w:p>
    <w:p>
      <w:pPr>
        <w:pStyle w:val="ListBullet"/>
      </w:pPr>
      <w:r>
        <w:t>The wallet, accounts, names, and transaction history are fictional; no bank or live payment provider is connected.</w:t>
      </w:r>
    </w:p>
    <w:p>
      <w:pPr>
        <w:pStyle w:val="ListBullet"/>
      </w:pPr>
      <w:r>
        <w:t>The model determines intent and tool arguments. Ambiguity handling depends on its compliance with the prompt, although the card and wallet still gate execution.</w:t>
      </w:r>
    </w:p>
    <w:p>
      <w:pPr>
        <w:pStyle w:val="ListBullet"/>
      </w:pPr>
      <w:r>
        <w:t>Sessions and pending cards are held in memory, so a server restart discards them without executing them.</w:t>
      </w:r>
    </w:p>
    <w:p>
      <w:pPr>
        <w:pStyle w:val="ListBullet"/>
      </w:pPr>
      <w:r>
        <w:t>The API has no authentication in the present demo and needs access controls before public deployment.</w:t>
      </w:r>
    </w:p>
    <w:p>
      <w:pPr>
        <w:pStyle w:val="Heading1"/>
      </w:pPr>
      <w:r>
        <w:t>Submission contents</w:t>
      </w:r>
    </w:p>
    <w:p>
      <w:r>
        <w:t>README.md gives the project overview; docs/AGENT.md explains design and failure modes; docs/API.md documents the interface; docs/DEPLOY.md covers deployment; app/ contains the implementation; static/index.html contains the demo UI; data/ contains fictional wallet and test data; eval/ and tests/ contain the evaluation tools.</w:t>
      </w:r>
    </w:p>
    <w:sectPr w:rsidR="00FC693F" w:rsidRPr="0006063C" w:rsidSect="00034616">
      <w:footerReference w:type="default" r:id="rId9"/>
      <w:pgSz w:w="12240" w:h="15840"/>
      <w:pgMar w:top="90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AI Agent Zain  •  Project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ptos" w:hAnsi="Aptos"/>
      <w:color w:val="232C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100"/>
    </w:pPr>
    <w:rPr>
      <w:color w:val="555F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