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E1" w:rsidRDefault="007E709B" w:rsidP="00940944">
      <w:pPr>
        <w:pStyle w:val="AMIATitle"/>
      </w:pPr>
      <w:r>
        <w:t>Mortality Prediction via Physicians’ Notes</w:t>
      </w:r>
    </w:p>
    <w:p w:rsidR="00781CE1" w:rsidRDefault="007E709B" w:rsidP="00940944">
      <w:pPr>
        <w:pStyle w:val="AMIAAuthors"/>
      </w:pPr>
      <w:r>
        <w:t>Nirave Kadakia</w:t>
      </w:r>
      <w:r w:rsidR="000876BD">
        <w:t xml:space="preserve">, </w:t>
      </w:r>
      <w:r>
        <w:t>Ameet Chaubal,</w:t>
      </w:r>
    </w:p>
    <w:p w:rsidR="00781CE1" w:rsidRDefault="007E709B" w:rsidP="00940944">
      <w:pPr>
        <w:pStyle w:val="AMIAAffiliations"/>
      </w:pPr>
      <w:r>
        <w:t>Georgia Institute of Technology</w:t>
      </w:r>
      <w:r w:rsidR="000876BD">
        <w:t xml:space="preserve">, </w:t>
      </w:r>
      <w:r>
        <w:t>Atlanta</w:t>
      </w:r>
      <w:r w:rsidR="000876BD">
        <w:t xml:space="preserve">, </w:t>
      </w:r>
      <w:r>
        <w:t>GA</w:t>
      </w:r>
    </w:p>
    <w:p w:rsidR="000876BD" w:rsidRDefault="000876BD" w:rsidP="00940944">
      <w:pPr>
        <w:jc w:val="center"/>
        <w:sectPr w:rsidR="000876BD" w:rsidSect="001D5D81">
          <w:footerReference w:type="even" r:id="rId7"/>
          <w:footerReference w:type="default" r:id="rId8"/>
          <w:type w:val="continuous"/>
          <w:pgSz w:w="12240" w:h="15840" w:code="1"/>
          <w:pgMar w:top="1440" w:right="1440" w:bottom="1440" w:left="1440" w:header="720" w:footer="720" w:gutter="0"/>
          <w:cols w:space="720"/>
        </w:sectPr>
      </w:pPr>
    </w:p>
    <w:p w:rsidR="00781CE1" w:rsidRDefault="000876BD" w:rsidP="00A17201">
      <w:pPr>
        <w:pStyle w:val="Heading2"/>
        <w:jc w:val="left"/>
      </w:pPr>
      <w:r w:rsidRPr="00A17201">
        <w:t>Abstract</w:t>
      </w:r>
    </w:p>
    <w:p w:rsidR="00A17201" w:rsidRPr="00A17201" w:rsidRDefault="00A17201" w:rsidP="00A17201"/>
    <w:p w:rsidR="00781CE1" w:rsidRPr="00C537BE"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the possibility of mortality prediction using free text notes available for each patient. </w:t>
      </w:r>
    </w:p>
    <w:p w:rsidR="00781CE1" w:rsidRDefault="000876BD" w:rsidP="00A17201">
      <w:pPr>
        <w:pStyle w:val="Heading2"/>
        <w:jc w:val="left"/>
      </w:pPr>
      <w:r w:rsidRPr="00A17201">
        <w:t>Introduction</w:t>
      </w:r>
    </w:p>
    <w:p w:rsidR="00A17201" w:rsidRPr="00A17201" w:rsidRDefault="00A17201" w:rsidP="00A17201"/>
    <w:p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Sepsis. In fact, an early detection carries a cost of $3000/case as opposed to $32,000/case after admission into </w:t>
      </w:r>
      <w:r w:rsidR="006A3A8E" w:rsidRPr="00C537BE">
        <w:rPr>
          <w:sz w:val="22"/>
          <w:szCs w:val="22"/>
        </w:rPr>
        <w:t>a</w:t>
      </w:r>
      <w:r w:rsidRPr="00C537BE">
        <w:rPr>
          <w:sz w:val="22"/>
          <w:szCs w:val="22"/>
        </w:rPr>
        <w:t xml:space="preserve"> hospital.</w:t>
      </w:r>
    </w:p>
    <w:p w:rsidR="006A3A8E" w:rsidRDefault="006A3A8E" w:rsidP="00940944">
      <w:pPr>
        <w:pStyle w:val="AMIABodyText"/>
        <w:rPr>
          <w:sz w:val="22"/>
          <w:szCs w:val="22"/>
        </w:rPr>
      </w:pPr>
      <w:r w:rsidRPr="00C537BE">
        <w:rPr>
          <w:sz w:val="22"/>
          <w:szCs w:val="22"/>
        </w:rPr>
        <w:t xml:space="preserve">On admission into the hospital, there are several attributes already present for each patient; additionally more attributes are generated constantly due to various tests being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p>
    <w:p w:rsidR="00E16D51" w:rsidRDefault="00E16D51" w:rsidP="00940944">
      <w:pPr>
        <w:pStyle w:val="AMIABodyText"/>
        <w:rPr>
          <w:sz w:val="22"/>
          <w:szCs w:val="22"/>
        </w:rPr>
      </w:pPr>
      <w:r>
        <w:rPr>
          <w:sz w:val="22"/>
          <w:szCs w:val="22"/>
        </w:rPr>
        <w:t xml:space="preserve">Although “Sepsis” has been described for over 2000 years, there is no “gold standard” to define it conclusively. Many conditions or infections if left untreated can eventually lead to festering which can cause organ failure and septic shock. Now, intuitively, there is a close relationship between an “icu”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F306E2" w:rsidRPr="00F306E2">
        <w:rPr>
          <w:sz w:val="22"/>
          <w:szCs w:val="22"/>
        </w:rPr>
        <w:t xml:space="preserve">”. </w:t>
      </w:r>
      <w:r w:rsidR="00F306E2">
        <w:rPr>
          <w:sz w:val="22"/>
          <w:szCs w:val="22"/>
        </w:rPr>
        <w:t>We can exploit this implicit relationship by looking at the mortality data in the ICU to arrive at Sepsis diagnosis.</w:t>
      </w:r>
    </w:p>
    <w:p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rsidR="003276AB" w:rsidRPr="00C537BE"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rsidR="002134D4" w:rsidRDefault="002134D4" w:rsidP="00A17201">
      <w:pPr>
        <w:pStyle w:val="Heading2"/>
        <w:jc w:val="left"/>
      </w:pPr>
      <w:r w:rsidRPr="00A17201">
        <w:t>Previous</w:t>
      </w:r>
      <w:r w:rsidRPr="00C537BE">
        <w:rPr>
          <w:sz w:val="22"/>
          <w:szCs w:val="22"/>
        </w:rPr>
        <w:t xml:space="preserve"> </w:t>
      </w:r>
      <w:r w:rsidRPr="00A17201">
        <w:t>Research</w:t>
      </w:r>
    </w:p>
    <w:p w:rsidR="00A17201" w:rsidRPr="00A17201" w:rsidRDefault="00A17201" w:rsidP="00A17201"/>
    <w:p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rsidR="00163A4E" w:rsidRPr="00C537BE" w:rsidRDefault="00163A4E" w:rsidP="00940944">
      <w:pPr>
        <w:pStyle w:val="AMIABodyText"/>
        <w:rPr>
          <w:sz w:val="22"/>
          <w:szCs w:val="22"/>
        </w:rPr>
      </w:pPr>
      <w:r w:rsidRPr="00C537BE">
        <w:rPr>
          <w:sz w:val="22"/>
          <w:szCs w:val="22"/>
        </w:rPr>
        <w:t xml:space="preserve">Ghassemi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authors normalized each note to a 50-dimension vector and the notes were then aggregated on a 12-hour scale.</w:t>
      </w:r>
    </w:p>
    <w:p w:rsidR="00EC4A4A" w:rsidRPr="00C537BE" w:rsidRDefault="00EC4A4A" w:rsidP="00940944">
      <w:pPr>
        <w:pStyle w:val="AMIABodyText"/>
        <w:rPr>
          <w:sz w:val="22"/>
          <w:szCs w:val="22"/>
        </w:rPr>
      </w:pPr>
      <w:r w:rsidRPr="00C537BE">
        <w:rPr>
          <w:sz w:val="22"/>
          <w:szCs w:val="22"/>
        </w:rPr>
        <w:t xml:space="preserve">Other related works focused on clinical notes used to enhance the structured physiological data. </w:t>
      </w:r>
    </w:p>
    <w:p w:rsidR="00D454F3" w:rsidRDefault="002F502A" w:rsidP="00940944">
      <w:pPr>
        <w:pStyle w:val="AMIABodyText"/>
        <w:rPr>
          <w:sz w:val="22"/>
          <w:szCs w:val="22"/>
        </w:rPr>
      </w:pPr>
      <w:r w:rsidRPr="00C537BE">
        <w:rPr>
          <w:sz w:val="22"/>
          <w:szCs w:val="22"/>
        </w:rPr>
        <w:t>DeSautels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rsidR="007F2454" w:rsidRDefault="007F2454" w:rsidP="00940944">
      <w:pPr>
        <w:pStyle w:val="AMIABodyText"/>
        <w:rPr>
          <w:sz w:val="22"/>
          <w:szCs w:val="22"/>
        </w:rPr>
      </w:pPr>
    </w:p>
    <w:p w:rsidR="00D454F3" w:rsidRDefault="00D454F3" w:rsidP="00D454F3">
      <w:pPr>
        <w:pStyle w:val="Heading2"/>
        <w:jc w:val="left"/>
        <w:rPr>
          <w:sz w:val="22"/>
          <w:szCs w:val="22"/>
        </w:rPr>
      </w:pPr>
      <w:r w:rsidRPr="00D454F3">
        <w:t>Approach</w:t>
      </w:r>
    </w:p>
    <w:p w:rsidR="00D454F3" w:rsidRDefault="00D454F3" w:rsidP="00940944">
      <w:pPr>
        <w:pStyle w:val="AMIABodyText"/>
        <w:rPr>
          <w:sz w:val="22"/>
          <w:szCs w:val="22"/>
        </w:rPr>
      </w:pPr>
    </w:p>
    <w:p w:rsidR="007F2454" w:rsidRPr="007F2454" w:rsidRDefault="007F2454" w:rsidP="00940944">
      <w:pPr>
        <w:pStyle w:val="AMIABodyText"/>
        <w:rPr>
          <w:b/>
          <w:sz w:val="22"/>
          <w:szCs w:val="22"/>
        </w:rPr>
      </w:pPr>
      <w:r w:rsidRPr="007F2454">
        <w:rPr>
          <w:b/>
          <w:sz w:val="22"/>
          <w:szCs w:val="22"/>
        </w:rPr>
        <w:t>Big Data Technology Stack and Rationale</w:t>
      </w:r>
    </w:p>
    <w:p w:rsidR="00D454F3" w:rsidRDefault="00D454F3" w:rsidP="00940944">
      <w:pPr>
        <w:pStyle w:val="AMIABodyText"/>
        <w:rPr>
          <w:sz w:val="22"/>
          <w:szCs w:val="22"/>
        </w:rPr>
      </w:pPr>
      <w:r>
        <w:rPr>
          <w:sz w:val="22"/>
          <w:szCs w:val="22"/>
        </w:rPr>
        <w:t xml:space="preserve">The analysis relies upon big data technologies, specifically yarn and Spark. The data extraction and preparation shall be performed using Postgres relational database. The advanced machine learning analyses will be performed using </w:t>
      </w:r>
      <w:r w:rsidR="004535A7">
        <w:rPr>
          <w:sz w:val="22"/>
          <w:szCs w:val="22"/>
        </w:rPr>
        <w:t>the machine learning library ML-lib on Spark.</w:t>
      </w:r>
    </w:p>
    <w:p w:rsidR="004535A7" w:rsidRDefault="004535A7" w:rsidP="00940944">
      <w:pPr>
        <w:pStyle w:val="AMIABodyText"/>
        <w:rPr>
          <w:sz w:val="22"/>
          <w:szCs w:val="22"/>
        </w:rPr>
      </w:pPr>
      <w:r>
        <w:rPr>
          <w:sz w:val="22"/>
          <w:szCs w:val="22"/>
        </w:rPr>
        <w:t xml:space="preserve">The rationale for using the big data technology is simply the desire to process ever growing amount of data. Although the current analysis is based on the freely available MIMIC-III database, our objective is that this type of analysis is generic enough to be abstracted into a pattern and as such can be applied to similar information privately available as well. </w:t>
      </w:r>
    </w:p>
    <w:p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The most basic unit of data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rsidR="007011B1" w:rsidRDefault="007011B1" w:rsidP="00940944">
      <w:pPr>
        <w:pStyle w:val="AMIABodyText"/>
        <w:rPr>
          <w:sz w:val="22"/>
          <w:szCs w:val="22"/>
        </w:rPr>
      </w:pPr>
      <w:r w:rsidRPr="008F709B">
        <w:rPr>
          <w:b/>
          <w:sz w:val="22"/>
          <w:szCs w:val="22"/>
        </w:rPr>
        <w:t>Latent</w:t>
      </w:r>
      <w:r>
        <w:rPr>
          <w:sz w:val="22"/>
          <w:szCs w:val="22"/>
        </w:rPr>
        <w:t xml:space="preserve"> </w:t>
      </w:r>
      <w:r w:rsidRPr="008F709B">
        <w:rPr>
          <w:b/>
          <w:sz w:val="22"/>
          <w:szCs w:val="22"/>
        </w:rPr>
        <w:t>Dirichlet</w:t>
      </w:r>
      <w:r>
        <w:rPr>
          <w:sz w:val="22"/>
          <w:szCs w:val="22"/>
        </w:rPr>
        <w:t xml:space="preserve"> </w:t>
      </w:r>
      <w:r w:rsidRPr="008F709B">
        <w:rPr>
          <w:b/>
          <w:sz w:val="22"/>
          <w:szCs w:val="22"/>
        </w:rPr>
        <w:t>Allocation</w:t>
      </w:r>
    </w:p>
    <w:p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 and these two goals are in conflict with each other. LDA aims to strike a balance between the two.</w:t>
      </w:r>
    </w:p>
    <w:p w:rsidR="00D25626" w:rsidRPr="007F2454" w:rsidRDefault="007F2454" w:rsidP="00940944">
      <w:pPr>
        <w:pStyle w:val="AMIABodyText"/>
        <w:rPr>
          <w:b/>
          <w:sz w:val="22"/>
          <w:szCs w:val="22"/>
        </w:rPr>
      </w:pPr>
      <w:r w:rsidRPr="007F2454">
        <w:rPr>
          <w:b/>
          <w:sz w:val="22"/>
          <w:szCs w:val="22"/>
        </w:rPr>
        <w:t>Clustering by K-Means</w:t>
      </w:r>
    </w:p>
    <w:p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K-means will scale well. The results are easier to interpret being part of spherical clusters. Additionally, the number of clusters is small; especially in case of mortality, we plan to use two clusters – dead and alive.</w:t>
      </w:r>
    </w:p>
    <w:p w:rsidR="007F2454" w:rsidRDefault="007F2454" w:rsidP="00940944">
      <w:pPr>
        <w:pStyle w:val="AMIABodyText"/>
        <w:rPr>
          <w:sz w:val="22"/>
          <w:szCs w:val="22"/>
        </w:rPr>
      </w:pPr>
      <w:r w:rsidRPr="00464ED6">
        <w:rPr>
          <w:b/>
          <w:sz w:val="22"/>
          <w:szCs w:val="22"/>
        </w:rPr>
        <w:t>Flow</w:t>
      </w:r>
    </w:p>
    <w:p w:rsidR="007F2454" w:rsidRDefault="007F2454" w:rsidP="00940944">
      <w:pPr>
        <w:pStyle w:val="AMIABodyText"/>
        <w:rPr>
          <w:sz w:val="22"/>
          <w:szCs w:val="22"/>
        </w:rPr>
      </w:pPr>
      <w:r>
        <w:rPr>
          <w:sz w:val="22"/>
          <w:szCs w:val="22"/>
        </w:rPr>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the notes.</w:t>
      </w:r>
    </w:p>
    <w:p w:rsidR="00A74A52" w:rsidRDefault="00A74A52" w:rsidP="00940944">
      <w:pPr>
        <w:pStyle w:val="AMIABodyText"/>
        <w:rPr>
          <w:sz w:val="22"/>
          <w:szCs w:val="22"/>
        </w:rPr>
      </w:pPr>
      <w:r>
        <w:rPr>
          <w:sz w:val="22"/>
          <w:szCs w:val="22"/>
        </w:rPr>
        <w:t>This data is loaded into HDFS, the distributed file system employed in the Hadoop or Yarn cluster. HDFS enables us to process data without worrying about the size. If the available data is truly large in size, our approach will still work without modification as it simply piggy-backs on the power of the yarn 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rsidR="00CA50BD" w:rsidRDefault="00CA50BD" w:rsidP="00CA50BD">
      <w:pPr>
        <w:pStyle w:val="AMIABodyText"/>
        <w:rPr>
          <w:sz w:val="22"/>
          <w:szCs w:val="22"/>
        </w:rPr>
      </w:pPr>
      <w:r>
        <w:rPr>
          <w:sz w:val="22"/>
          <w:szCs w:val="22"/>
        </w:rPr>
        <w:t>The “</w:t>
      </w:r>
      <w:r w:rsidRPr="00CA50BD">
        <w:rPr>
          <w:i/>
          <w:sz w:val="22"/>
          <w:szCs w:val="22"/>
        </w:rPr>
        <w:t>topTopicsPerDocument</w:t>
      </w:r>
      <w:r>
        <w:rPr>
          <w:sz w:val="22"/>
          <w:szCs w:val="22"/>
        </w:rPr>
        <w:t xml:space="preserve">” file is used for the next stage in the pipeline, which is the K-means analysis. The output of the K-means is a mapping of cluster to the identifier. The identifier for each document in this case is the “subject_id” or the patient. </w:t>
      </w:r>
    </w:p>
    <w:p w:rsidR="00CA50BD" w:rsidRDefault="00CA50BD" w:rsidP="00CA50BD">
      <w:pPr>
        <w:pStyle w:val="AMIABodyText"/>
      </w:pPr>
      <w:r>
        <w:rPr>
          <w:sz w:val="22"/>
          <w:szCs w:val="22"/>
        </w:rPr>
        <w:t>The final stage in the pipeline is the performance measurement.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9"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rsidR="004815B1" w:rsidRDefault="004815B1" w:rsidP="00CA50BD">
      <w:pPr>
        <w:pStyle w:val="AMIABodyText"/>
        <w:rPr>
          <w:sz w:val="22"/>
          <w:szCs w:val="22"/>
        </w:rPr>
      </w:pPr>
      <w:r>
        <w:rPr>
          <w:sz w:val="22"/>
          <w:szCs w:val="22"/>
        </w:rPr>
        <w:t xml:space="preserve">Where </w:t>
      </w:r>
    </w:p>
    <w:p w:rsidR="005821FB" w:rsidRDefault="004815B1" w:rsidP="004815B1">
      <w:pPr>
        <w:pStyle w:val="AMIABodyText"/>
        <w:ind w:firstLine="720"/>
        <w:rPr>
          <w:sz w:val="22"/>
          <w:szCs w:val="22"/>
        </w:rPr>
      </w:pPr>
      <w:r>
        <w:rPr>
          <w:sz w:val="22"/>
          <w:szCs w:val="22"/>
        </w:rPr>
        <w:t>N = number of data points,</w:t>
      </w:r>
    </w:p>
    <w:p w:rsidR="004815B1" w:rsidRDefault="004815B1" w:rsidP="00CA50BD">
      <w:pPr>
        <w:pStyle w:val="AMIABodyText"/>
        <w:rPr>
          <w:sz w:val="22"/>
          <w:szCs w:val="22"/>
        </w:rPr>
      </w:pPr>
      <w:r>
        <w:rPr>
          <w:sz w:val="22"/>
          <w:szCs w:val="22"/>
        </w:rPr>
        <w:tab/>
        <w:t>K = number of clusters,</w:t>
      </w:r>
    </w:p>
    <w:p w:rsidR="004815B1" w:rsidRDefault="004815B1" w:rsidP="00CA50BD">
      <w:pPr>
        <w:pStyle w:val="AMIABodyText"/>
        <w:rPr>
          <w:sz w:val="22"/>
          <w:szCs w:val="22"/>
        </w:rPr>
      </w:pPr>
      <w:r>
        <w:rPr>
          <w:sz w:val="22"/>
          <w:szCs w:val="22"/>
        </w:rPr>
        <w:tab/>
        <w:t>c</w:t>
      </w:r>
      <w:r w:rsidRPr="004815B1">
        <w:rPr>
          <w:sz w:val="22"/>
          <w:szCs w:val="22"/>
          <w:vertAlign w:val="subscript"/>
        </w:rPr>
        <w:t>i</w:t>
      </w:r>
      <w:r>
        <w:rPr>
          <w:sz w:val="22"/>
          <w:szCs w:val="22"/>
        </w:rPr>
        <w:t xml:space="preserve"> = a cluster</w:t>
      </w:r>
    </w:p>
    <w:p w:rsidR="004815B1" w:rsidRDefault="004815B1" w:rsidP="00CA50BD">
      <w:pPr>
        <w:pStyle w:val="AMIABodyText"/>
        <w:rPr>
          <w:sz w:val="22"/>
          <w:szCs w:val="22"/>
        </w:rPr>
      </w:pPr>
      <w:r>
        <w:rPr>
          <w:sz w:val="22"/>
          <w:szCs w:val="22"/>
        </w:rPr>
        <w:tab/>
        <w:t>t</w:t>
      </w:r>
      <w:r w:rsidRPr="004815B1">
        <w:rPr>
          <w:sz w:val="22"/>
          <w:szCs w:val="22"/>
          <w:vertAlign w:val="subscript"/>
        </w:rPr>
        <w:t>j</w:t>
      </w:r>
      <w:r>
        <w:rPr>
          <w:sz w:val="22"/>
          <w:szCs w:val="22"/>
        </w:rPr>
        <w:t xml:space="preserve"> = classification with the max count for cluster c</w:t>
      </w:r>
      <w:r w:rsidRPr="004815B1">
        <w:rPr>
          <w:b/>
          <w:sz w:val="22"/>
          <w:szCs w:val="22"/>
          <w:vertAlign w:val="subscript"/>
        </w:rPr>
        <w:t>i</w:t>
      </w:r>
      <w:bookmarkStart w:id="0" w:name="_GoBack"/>
      <w:bookmarkEnd w:id="0"/>
    </w:p>
    <w:p w:rsidR="005821FB" w:rsidRPr="005821FB" w:rsidRDefault="005821FB" w:rsidP="00CA50BD">
      <w:pPr>
        <w:pStyle w:val="AMIABodyText"/>
        <w:rPr>
          <w:sz w:val="22"/>
          <w:szCs w:val="22"/>
        </w:rPr>
      </w:pPr>
    </w:p>
    <w:p w:rsidR="00A17201" w:rsidRPr="00A17201" w:rsidRDefault="009714DB" w:rsidP="00D454F3">
      <w:pPr>
        <w:pStyle w:val="Heading2"/>
        <w:jc w:val="left"/>
      </w:pPr>
      <w:r w:rsidRPr="009714DB">
        <w:t>Method</w:t>
      </w:r>
    </w:p>
    <w:p w:rsidR="00A17201" w:rsidRPr="00A17201" w:rsidRDefault="00A17201" w:rsidP="00A17201"/>
    <w:p w:rsidR="00A17201" w:rsidRDefault="00A17201" w:rsidP="00940944">
      <w:pPr>
        <w:pStyle w:val="AMIABodyText"/>
        <w:rPr>
          <w:sz w:val="22"/>
          <w:szCs w:val="22"/>
        </w:rPr>
      </w:pPr>
      <w:r w:rsidRPr="00A17201">
        <w:rPr>
          <w:b/>
          <w:sz w:val="22"/>
          <w:szCs w:val="22"/>
        </w:rPr>
        <w:t>Preparation</w:t>
      </w:r>
      <w:r>
        <w:rPr>
          <w:sz w:val="22"/>
          <w:szCs w:val="22"/>
        </w:rPr>
        <w:t>:</w:t>
      </w:r>
    </w:p>
    <w:p w:rsidR="009714DB" w:rsidRP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r w:rsidR="00A17201" w:rsidRPr="00A17201">
        <w:rPr>
          <w:i/>
          <w:sz w:val="22"/>
          <w:szCs w:val="22"/>
        </w:rPr>
        <w:t>subject_id</w:t>
      </w:r>
      <w:r w:rsidR="00A17201">
        <w:rPr>
          <w:sz w:val="22"/>
          <w:szCs w:val="22"/>
        </w:rPr>
        <w:t>” which refers to the patient under consideration and can be used to link with other tables. These files once downloaded and extracted are loaded into Postgres database. Postgres is chosen for it stability and flexibility in addition to being an open source and freely available product.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primarily because the notes are enclosed in quotations and contain carriage return characters as well as can be quite long.</w:t>
      </w:r>
      <w:r w:rsidR="00D454F3">
        <w:rPr>
          <w:sz w:val="22"/>
          <w:szCs w:val="22"/>
        </w:rPr>
        <w:t xml:space="preserve"> Postgres makes this task easier by interpreting all these cases while importing the data.</w:t>
      </w:r>
    </w:p>
    <w:p w:rsidR="00781CE1" w:rsidRDefault="005E0F74" w:rsidP="00940944">
      <w:pPr>
        <w:pStyle w:val="AMIABodyText"/>
      </w:pPr>
      <w:r>
        <w:t>I</w:t>
      </w:r>
      <w:r w:rsidR="000876BD">
        <w:t xml:space="preserve">t is important to review the AMIA Call for Participation </w:t>
      </w:r>
      <w:r w:rsidR="00F17F2E">
        <w:t xml:space="preserve">(CFP) </w:t>
      </w:r>
      <w:r w:rsidR="000876BD">
        <w:t xml:space="preserve">where </w:t>
      </w:r>
      <w:r w:rsidR="000876BD" w:rsidRPr="00556080">
        <w:t xml:space="preserve">types of submissions considered </w:t>
      </w:r>
      <w:r w:rsidR="000876BD">
        <w:t>an</w:t>
      </w:r>
      <w:r w:rsidR="000876BD" w:rsidRPr="00556080">
        <w:t xml:space="preserve">d general requirements for each </w:t>
      </w:r>
      <w:r w:rsidR="000876BD">
        <w:t xml:space="preserve">submission type </w:t>
      </w:r>
      <w:r w:rsidR="000876BD" w:rsidRPr="00556080">
        <w:t xml:space="preserve">are listed. All submissions must conform to the format </w:t>
      </w:r>
      <w:r w:rsidR="000876BD" w:rsidRPr="00556080">
        <w:lastRenderedPageBreak/>
        <w:t xml:space="preserve">and presentation requirements described </w:t>
      </w:r>
      <w:r w:rsidR="000876BD">
        <w:t xml:space="preserve">in the CFP </w:t>
      </w:r>
      <w:r w:rsidR="000876BD" w:rsidRPr="00556080">
        <w:t>and at the submission site</w:t>
      </w:r>
      <w:r w:rsidR="000876BD">
        <w:t>.</w:t>
      </w:r>
    </w:p>
    <w:p w:rsidR="00781CE1" w:rsidRDefault="000876BD" w:rsidP="00940944">
      <w:pPr>
        <w:pStyle w:val="AMIAHeading"/>
      </w:pPr>
      <w:r>
        <w:t>Another Major Heading and References</w:t>
      </w:r>
    </w:p>
    <w:p w:rsidR="00781CE1" w:rsidRDefault="000876BD" w:rsidP="00940944">
      <w:pPr>
        <w:pStyle w:val="AMIABodyText"/>
      </w:pPr>
      <w:r>
        <w:t>This sentence has two reference citations</w:t>
      </w:r>
      <w:r w:rsidRPr="00590340">
        <w:rPr>
          <w:rStyle w:val="AMIASuperscriptChar"/>
        </w:rPr>
        <w:t>1</w:t>
      </w:r>
      <w:r>
        <w:rPr>
          <w:rStyle w:val="AMIASuperscriptChar"/>
        </w:rPr>
        <w:t>, 2</w:t>
      </w:r>
      <w:r>
        <w:t>.</w:t>
      </w:r>
    </w:p>
    <w:p w:rsidR="00781CE1" w:rsidRDefault="000876BD" w:rsidP="00940944">
      <w:pPr>
        <w:pStyle w:val="AMIABodyText"/>
        <w:tabs>
          <w:tab w:val="left" w:pos="9360"/>
        </w:tabs>
      </w:pPr>
      <w:r>
        <w:t>More text of an additional paragraph, with a figure reference (Figure 1) and a figure inside a Word text box below.  Figures</w:t>
      </w:r>
      <w:r w:rsidR="006A2950">
        <w:t xml:space="preserve"> need to be placed as close to the corresponding text as possibl</w:t>
      </w:r>
      <w:r w:rsidR="00887953">
        <w:t>e and not extend beyond one page.</w:t>
      </w:r>
    </w:p>
    <w:p w:rsidR="00781CE1" w:rsidRDefault="00781CE1" w:rsidP="00940944">
      <w:pPr>
        <w:pStyle w:val="AMIABodyText"/>
      </w:pPr>
    </w:p>
    <w:p w:rsidR="00781CE1" w:rsidRDefault="001C76E3" w:rsidP="00940944">
      <w:pPr>
        <w:pStyle w:val="AMIABodyText"/>
        <w:rPr>
          <w:b/>
        </w:rPr>
      </w:pPr>
      <w:r>
        <w:rPr>
          <w:b/>
          <w:noProof/>
        </w:rPr>
        <mc:AlternateContent>
          <mc:Choice Requires="wps">
            <w:drawing>
              <wp:inline distT="0" distB="0" distL="0" distR="0">
                <wp:extent cx="5288915" cy="2686050"/>
                <wp:effectExtent l="9525" t="11430" r="8890" b="762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2686050"/>
                        </a:xfrm>
                        <a:prstGeom prst="rect">
                          <a:avLst/>
                        </a:prstGeom>
                        <a:solidFill>
                          <a:srgbClr val="FFFFFF"/>
                        </a:solidFill>
                        <a:ln w="9525">
                          <a:solidFill>
                            <a:srgbClr val="000000"/>
                          </a:solidFill>
                          <a:miter lim="800000"/>
                          <a:headEnd/>
                          <a:tailEnd/>
                        </a:ln>
                      </wps:spPr>
                      <wps:txbx>
                        <w:txbxContent>
                          <w:p w:rsidR="005821FB" w:rsidRPr="000F41E2" w:rsidRDefault="005821FB"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6.45pt;height:2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">
                <v:textbox style="mso-fit-shape-to-text:t" inset="0,0,0,0">
                  <w:txbxContent>
                    <w:p w:rsidR="005821FB" w:rsidRPr="000F41E2" w:rsidRDefault="005821FB" w:rsidP="00EC774E">
                      <w:pPr>
                        <w:jc w:val="both"/>
                      </w:pPr>
                      <w:r>
                        <w:rPr>
                          <w:noProof/>
                        </w:rPr>
                        <w:drawing>
                          <wp:inline distT="0" distB="0" distL="0" distR="0">
                            <wp:extent cx="5276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6850" cy="2676525"/>
                                    </a:xfrm>
                                    <a:prstGeom prst="rect">
                                      <a:avLst/>
                                    </a:prstGeom>
                                    <a:noFill/>
                                    <a:ln w="9525">
                                      <a:noFill/>
                                      <a:miter lim="800000"/>
                                      <a:headEnd/>
                                      <a:tailEnd/>
                                    </a:ln>
                                  </pic:spPr>
                                </pic:pic>
                              </a:graphicData>
                            </a:graphic>
                          </wp:inline>
                        </w:drawing>
                      </w:r>
                    </w:p>
                  </w:txbxContent>
                </v:textbox>
                <w10:anchorlock/>
              </v:shape>
            </w:pict>
          </mc:Fallback>
        </mc:AlternateContent>
      </w:r>
    </w:p>
    <w:p w:rsidR="00781CE1" w:rsidRDefault="000876BD" w:rsidP="00940944">
      <w:pPr>
        <w:pStyle w:val="AMIABodyText"/>
      </w:pPr>
      <w:r>
        <w:rPr>
          <w:b/>
        </w:rPr>
        <w:t xml:space="preserve">Figure 1. </w:t>
      </w:r>
      <w:r>
        <w:t>Total allergy alerts, overridden alerts, or drug order cancelled.</w:t>
      </w:r>
    </w:p>
    <w:p w:rsidR="00781CE1" w:rsidRDefault="00781CE1" w:rsidP="00940944">
      <w:pPr>
        <w:pStyle w:val="AMIABodyText"/>
      </w:pPr>
    </w:p>
    <w:p w:rsidR="00781CE1" w:rsidRDefault="000876BD" w:rsidP="00940944">
      <w:pPr>
        <w:pStyle w:val="AMIABodyText"/>
        <w:tabs>
          <w:tab w:val="left" w:pos="9360"/>
        </w:tabs>
      </w:pPr>
      <w:r>
        <w:lastRenderedPageBreak/>
        <w:t xml:space="preserve">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 xml:space="preserve">-column formatting.  This is additional text added just to show the </w:t>
      </w:r>
      <w:r w:rsidR="006A2950">
        <w:t>one</w:t>
      </w:r>
      <w:r>
        <w:t>-column formatting.</w:t>
      </w:r>
    </w:p>
    <w:p w:rsidR="00781CE1" w:rsidRDefault="000876BD" w:rsidP="00940944">
      <w:pPr>
        <w:pStyle w:val="AMIABodyText"/>
      </w:pPr>
      <w:r>
        <w:t>This paragraph contains a reference to a table just below (Table 1).</w:t>
      </w:r>
      <w:r w:rsidR="00CA1D90">
        <w:t xml:space="preserve">  All tables need to be placed as close to the corresponding text as possibl</w:t>
      </w:r>
      <w:r w:rsidR="00895E92">
        <w:t>e, But each individual table should be on one page and not extend to multiple pages unless labeled as “Continued”.</w:t>
      </w:r>
    </w:p>
    <w:p w:rsidR="00BD30DA" w:rsidRDefault="00BD30DA" w:rsidP="00940944">
      <w:pPr>
        <w:pStyle w:val="AMIABodyText"/>
      </w:pPr>
      <w:r>
        <w:rPr>
          <w:b/>
        </w:rPr>
        <w:t xml:space="preserve">Table 1. </w:t>
      </w:r>
      <w:r>
        <w:t>Submission type, abstract length, and page length maximum for AMIA submissions.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2790"/>
        <w:gridCol w:w="3420"/>
      </w:tblGrid>
      <w:tr w:rsidR="007C5BDF" w:rsidTr="00F70CA6">
        <w:trPr>
          <w:trHeight w:hRule="exact" w:val="1360"/>
        </w:trPr>
        <w:tc>
          <w:tcPr>
            <w:tcW w:w="2790" w:type="dxa"/>
          </w:tcPr>
          <w:p w:rsidR="00781CE1" w:rsidRPr="001C76E3" w:rsidRDefault="000876BD" w:rsidP="004D08B6">
            <w:pPr>
              <w:pStyle w:val="AMIABodyText"/>
              <w:ind w:right="990"/>
              <w:jc w:val="left"/>
              <w:rPr>
                <w:b/>
              </w:rPr>
            </w:pPr>
            <w:r w:rsidRPr="001C76E3">
              <w:rPr>
                <w:b/>
              </w:rPr>
              <w:t>Submission Type</w:t>
            </w:r>
          </w:p>
        </w:tc>
        <w:tc>
          <w:tcPr>
            <w:tcW w:w="2790" w:type="dxa"/>
          </w:tcPr>
          <w:p w:rsidR="00781CE1" w:rsidRPr="001C76E3" w:rsidRDefault="000876BD" w:rsidP="004D08B6">
            <w:pPr>
              <w:pStyle w:val="AMIABodyText"/>
              <w:ind w:right="990"/>
              <w:jc w:val="left"/>
              <w:rPr>
                <w:b/>
              </w:rPr>
            </w:pPr>
            <w:r w:rsidRPr="001C76E3">
              <w:rPr>
                <w:b/>
              </w:rPr>
              <w:t>Abstract Length</w:t>
            </w:r>
          </w:p>
        </w:tc>
        <w:tc>
          <w:tcPr>
            <w:tcW w:w="3420" w:type="dxa"/>
          </w:tcPr>
          <w:p w:rsidR="00781CE1" w:rsidRPr="001C76E3" w:rsidRDefault="000876BD" w:rsidP="00F70CA6">
            <w:pPr>
              <w:pStyle w:val="AMIABodyText"/>
              <w:ind w:right="990"/>
              <w:jc w:val="left"/>
              <w:rPr>
                <w:b/>
              </w:rPr>
            </w:pPr>
            <w:r w:rsidRPr="001C76E3">
              <w:rPr>
                <w:b/>
              </w:rPr>
              <w:t>Page</w:t>
            </w:r>
            <w:r w:rsidR="004D08B6" w:rsidRPr="001C76E3">
              <w:rPr>
                <w:b/>
              </w:rPr>
              <w:t xml:space="preserve"> </w:t>
            </w:r>
            <w:r w:rsidRPr="001C76E3">
              <w:rPr>
                <w:b/>
              </w:rPr>
              <w:t xml:space="preserve">Length </w:t>
            </w:r>
            <w:r w:rsidR="004D08B6" w:rsidRPr="001C76E3">
              <w:rPr>
                <w:b/>
              </w:rPr>
              <w:t>M</w:t>
            </w:r>
            <w:r w:rsidRPr="001C76E3">
              <w:rPr>
                <w:b/>
              </w:rPr>
              <w:t>aximum</w:t>
            </w:r>
            <w:r w:rsidR="00F70CA6">
              <w:rPr>
                <w:b/>
              </w:rPr>
              <w:t xml:space="preserve"> – </w:t>
            </w:r>
            <w:r w:rsidR="00F70CA6" w:rsidRPr="00F70CA6">
              <w:rPr>
                <w:b/>
                <w:i/>
                <w:color w:val="FF0000"/>
              </w:rPr>
              <w:t>If you</w:t>
            </w:r>
            <w:r w:rsidR="00F70CA6">
              <w:rPr>
                <w:b/>
                <w:i/>
                <w:color w:val="FF0000"/>
              </w:rPr>
              <w:t>r</w:t>
            </w:r>
            <w:r w:rsidR="00F70CA6" w:rsidRPr="00F70CA6">
              <w:rPr>
                <w:b/>
                <w:i/>
                <w:color w:val="FF0000"/>
              </w:rPr>
              <w:t xml:space="preserve"> submission is longer than what </w:t>
            </w:r>
            <w:r w:rsidR="00F70CA6">
              <w:rPr>
                <w:b/>
                <w:i/>
                <w:color w:val="FF0000"/>
              </w:rPr>
              <w:t>i</w:t>
            </w:r>
            <w:r w:rsidR="00F70CA6" w:rsidRPr="00F70CA6">
              <w:rPr>
                <w:b/>
                <w:i/>
                <w:color w:val="FF0000"/>
              </w:rPr>
              <w:t xml:space="preserve">s </w:t>
            </w:r>
            <w:r w:rsidR="00F70CA6">
              <w:rPr>
                <w:b/>
                <w:i/>
                <w:color w:val="FF0000"/>
              </w:rPr>
              <w:t xml:space="preserve">specified </w:t>
            </w:r>
            <w:r w:rsidR="00F70CA6" w:rsidRPr="00F70CA6">
              <w:rPr>
                <w:b/>
                <w:i/>
                <w:color w:val="FF0000"/>
              </w:rPr>
              <w:t>below, it will be rejected without review</w:t>
            </w:r>
          </w:p>
        </w:tc>
      </w:tr>
      <w:tr w:rsidR="007C5BDF" w:rsidTr="004D08B6">
        <w:trPr>
          <w:trHeight w:hRule="exact" w:val="397"/>
        </w:trPr>
        <w:tc>
          <w:tcPr>
            <w:tcW w:w="2790" w:type="dxa"/>
          </w:tcPr>
          <w:p w:rsidR="00781CE1" w:rsidRDefault="000876BD" w:rsidP="004D08B6">
            <w:pPr>
              <w:pStyle w:val="AMIABodyText"/>
              <w:ind w:right="990"/>
              <w:jc w:val="left"/>
            </w:pPr>
            <w:r>
              <w:t>Paper</w:t>
            </w:r>
          </w:p>
          <w:p w:rsidR="00781CE1" w:rsidRDefault="000876BD" w:rsidP="004D08B6">
            <w:pPr>
              <w:pStyle w:val="AMIABodyText"/>
              <w:ind w:right="990"/>
              <w:jc w:val="left"/>
            </w:pPr>
            <w:r>
              <w:t>Stu</w:t>
            </w:r>
          </w:p>
        </w:tc>
        <w:tc>
          <w:tcPr>
            <w:tcW w:w="2790" w:type="dxa"/>
          </w:tcPr>
          <w:p w:rsidR="00781CE1" w:rsidRDefault="000876BD" w:rsidP="004D08B6">
            <w:pPr>
              <w:pStyle w:val="AMIABodyText"/>
              <w:ind w:right="990"/>
              <w:jc w:val="left"/>
            </w:pPr>
            <w:r w:rsidRPr="00001FF6">
              <w:t>125-150 words</w:t>
            </w:r>
          </w:p>
        </w:tc>
        <w:tc>
          <w:tcPr>
            <w:tcW w:w="3420" w:type="dxa"/>
          </w:tcPr>
          <w:p w:rsidR="00924B71" w:rsidRDefault="005B0F09" w:rsidP="004D08B6">
            <w:pPr>
              <w:pStyle w:val="AMIABodyText"/>
              <w:ind w:right="990"/>
              <w:jc w:val="left"/>
            </w:pPr>
            <w:r>
              <w:t>Ten</w:t>
            </w:r>
          </w:p>
          <w:p w:rsidR="00924B71" w:rsidRDefault="00924B71" w:rsidP="004D08B6">
            <w:pPr>
              <w:pStyle w:val="AMIABodyText"/>
              <w:ind w:right="990"/>
              <w:jc w:val="left"/>
            </w:pPr>
          </w:p>
          <w:p w:rsidR="00924B71" w:rsidRDefault="00924B71" w:rsidP="004D08B6">
            <w:pPr>
              <w:pStyle w:val="AMIABodyText"/>
              <w:ind w:right="990"/>
              <w:jc w:val="left"/>
            </w:pPr>
          </w:p>
          <w:p w:rsidR="00781CE1" w:rsidRDefault="00924B71" w:rsidP="004D08B6">
            <w:pPr>
              <w:pStyle w:val="AMIABodyText"/>
              <w:ind w:right="990"/>
              <w:jc w:val="left"/>
            </w:pPr>
            <w:r>
              <w:t>Ten</w:t>
            </w:r>
            <w:r w:rsidR="00636609">
              <w:t>Ten ten</w:t>
            </w:r>
            <w:r w:rsidR="007C5BDF">
              <w:t xml:space="preserve">Ten ttem </w:t>
            </w:r>
          </w:p>
          <w:p w:rsidR="00781CE1" w:rsidRDefault="00940944" w:rsidP="004D08B6">
            <w:pPr>
              <w:pStyle w:val="AMIABodyText"/>
              <w:ind w:right="990"/>
              <w:jc w:val="left"/>
            </w:pPr>
            <w:r>
              <w:t>T</w:t>
            </w:r>
            <w:r w:rsidR="007C5BDF">
              <w:t>en</w:t>
            </w:r>
          </w:p>
        </w:tc>
      </w:tr>
      <w:tr w:rsidR="007C5BDF" w:rsidTr="004D08B6">
        <w:trPr>
          <w:trHeight w:hRule="exact" w:val="460"/>
        </w:trPr>
        <w:tc>
          <w:tcPr>
            <w:tcW w:w="2790" w:type="dxa"/>
          </w:tcPr>
          <w:p w:rsidR="00781CE1" w:rsidRDefault="000876BD" w:rsidP="004D08B6">
            <w:pPr>
              <w:pStyle w:val="AMIABodyText"/>
              <w:ind w:right="990"/>
              <w:jc w:val="left"/>
            </w:pPr>
            <w:r>
              <w:t>Student Paper</w:t>
            </w:r>
          </w:p>
        </w:tc>
        <w:tc>
          <w:tcPr>
            <w:tcW w:w="2790" w:type="dxa"/>
          </w:tcPr>
          <w:p w:rsidR="00781CE1" w:rsidRDefault="000876BD" w:rsidP="004D08B6">
            <w:pPr>
              <w:pStyle w:val="AMIABodyText"/>
              <w:ind w:right="990"/>
              <w:jc w:val="left"/>
            </w:pPr>
            <w:r w:rsidRPr="00001FF6">
              <w:t>125-150 words</w:t>
            </w:r>
          </w:p>
        </w:tc>
        <w:tc>
          <w:tcPr>
            <w:tcW w:w="3420" w:type="dxa"/>
          </w:tcPr>
          <w:p w:rsidR="00781CE1" w:rsidRDefault="00636609" w:rsidP="004D08B6">
            <w:pPr>
              <w:pStyle w:val="AMIABodyText"/>
              <w:ind w:right="990"/>
              <w:jc w:val="left"/>
            </w:pPr>
            <w:r>
              <w:t>Ten</w:t>
            </w:r>
          </w:p>
          <w:p w:rsidR="00781CE1" w:rsidRDefault="00E40A62" w:rsidP="004D08B6">
            <w:pPr>
              <w:pStyle w:val="AMIABodyText"/>
              <w:ind w:right="990"/>
              <w:jc w:val="left"/>
            </w:pPr>
            <w:r>
              <w:t xml:space="preserve"> tem</w:t>
            </w:r>
          </w:p>
          <w:p w:rsidR="00781CE1" w:rsidRDefault="00781CE1" w:rsidP="004D08B6">
            <w:pPr>
              <w:pStyle w:val="AMIABodyText"/>
              <w:ind w:right="990"/>
              <w:jc w:val="left"/>
            </w:pPr>
          </w:p>
        </w:tc>
      </w:tr>
      <w:tr w:rsidR="007C5BDF" w:rsidTr="004D08B6">
        <w:trPr>
          <w:trHeight w:hRule="exact" w:val="442"/>
        </w:trPr>
        <w:tc>
          <w:tcPr>
            <w:tcW w:w="2790" w:type="dxa"/>
          </w:tcPr>
          <w:p w:rsidR="00781CE1" w:rsidRDefault="000876BD" w:rsidP="004D08B6">
            <w:pPr>
              <w:pStyle w:val="AMIABodyText"/>
              <w:ind w:right="990"/>
              <w:jc w:val="left"/>
            </w:pPr>
            <w:r>
              <w:t>Poster</w:t>
            </w:r>
          </w:p>
          <w:p w:rsidR="00781CE1" w:rsidRDefault="00781CE1" w:rsidP="004D08B6">
            <w:pPr>
              <w:pStyle w:val="AMIABodyText"/>
              <w:ind w:right="990"/>
              <w:jc w:val="left"/>
            </w:pPr>
          </w:p>
        </w:tc>
        <w:tc>
          <w:tcPr>
            <w:tcW w:w="2790" w:type="dxa"/>
          </w:tcPr>
          <w:p w:rsidR="00781CE1" w:rsidRDefault="000876BD" w:rsidP="004D08B6">
            <w:pPr>
              <w:pStyle w:val="AMIABodyText"/>
              <w:ind w:right="990"/>
              <w:jc w:val="left"/>
            </w:pPr>
            <w:r w:rsidRPr="00001FF6">
              <w:lastRenderedPageBreak/>
              <w:t>50-75 words</w:t>
            </w:r>
            <w:r w:rsidR="00924B71">
              <w:t>*</w:t>
            </w:r>
          </w:p>
        </w:tc>
        <w:tc>
          <w:tcPr>
            <w:tcW w:w="3420" w:type="dxa"/>
          </w:tcPr>
          <w:p w:rsidR="00781CE1" w:rsidRDefault="000876BD" w:rsidP="004D08B6">
            <w:pPr>
              <w:pStyle w:val="AMIABodyText"/>
              <w:ind w:right="990"/>
              <w:jc w:val="left"/>
            </w:pPr>
            <w:r>
              <w:t>One</w:t>
            </w:r>
          </w:p>
        </w:tc>
      </w:tr>
      <w:tr w:rsidR="00F17F2E" w:rsidTr="004D08B6">
        <w:trPr>
          <w:trHeight w:hRule="exact" w:val="577"/>
        </w:trPr>
        <w:tc>
          <w:tcPr>
            <w:tcW w:w="2790" w:type="dxa"/>
          </w:tcPr>
          <w:p w:rsidR="00F17F2E" w:rsidRDefault="00F17F2E" w:rsidP="004D08B6">
            <w:pPr>
              <w:pStyle w:val="AMIABodyText"/>
              <w:ind w:right="990"/>
              <w:jc w:val="left"/>
            </w:pPr>
            <w:r>
              <w:t xml:space="preserve">Podium </w:t>
            </w:r>
            <w:r w:rsidR="00924B71">
              <w:t>A</w:t>
            </w:r>
            <w:r>
              <w:t>bstract</w:t>
            </w:r>
          </w:p>
        </w:tc>
        <w:tc>
          <w:tcPr>
            <w:tcW w:w="2790" w:type="dxa"/>
          </w:tcPr>
          <w:p w:rsidR="00F17F2E" w:rsidRPr="00001FF6" w:rsidRDefault="005B0F09" w:rsidP="004D08B6">
            <w:pPr>
              <w:pStyle w:val="AMIABodyText"/>
              <w:ind w:right="990"/>
              <w:jc w:val="left"/>
            </w:pPr>
            <w:r w:rsidRPr="00001FF6">
              <w:t>50-75 words</w:t>
            </w:r>
            <w:r>
              <w:t>*</w:t>
            </w:r>
          </w:p>
        </w:tc>
        <w:tc>
          <w:tcPr>
            <w:tcW w:w="3420" w:type="dxa"/>
          </w:tcPr>
          <w:p w:rsidR="00F17F2E" w:rsidRDefault="005B0F09" w:rsidP="001C76E3">
            <w:pPr>
              <w:pStyle w:val="AMIABodyText"/>
              <w:ind w:right="990"/>
              <w:jc w:val="left"/>
            </w:pPr>
            <w:r>
              <w:t>Two</w:t>
            </w:r>
            <w:r w:rsidR="004D08B6">
              <w:t xml:space="preserve"> </w:t>
            </w:r>
          </w:p>
        </w:tc>
      </w:tr>
      <w:tr w:rsidR="007C5BDF" w:rsidTr="004D08B6">
        <w:trPr>
          <w:trHeight w:hRule="exact" w:val="370"/>
        </w:trPr>
        <w:tc>
          <w:tcPr>
            <w:tcW w:w="2790" w:type="dxa"/>
          </w:tcPr>
          <w:p w:rsidR="00781CE1" w:rsidRDefault="000876BD" w:rsidP="004D08B6">
            <w:pPr>
              <w:pStyle w:val="AMIABodyText"/>
              <w:ind w:right="990"/>
              <w:jc w:val="left"/>
            </w:pPr>
            <w:r>
              <w:t>Panel</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Three</w:t>
            </w:r>
          </w:p>
        </w:tc>
      </w:tr>
      <w:tr w:rsidR="007C5BDF" w:rsidTr="004D08B6">
        <w:trPr>
          <w:trHeight w:hRule="exact" w:val="505"/>
        </w:trPr>
        <w:tc>
          <w:tcPr>
            <w:tcW w:w="2790" w:type="dxa"/>
          </w:tcPr>
          <w:p w:rsidR="00781CE1" w:rsidRDefault="005B0F09" w:rsidP="004D08B6">
            <w:pPr>
              <w:pStyle w:val="AMIABodyText"/>
              <w:ind w:right="990"/>
              <w:jc w:val="left"/>
            </w:pPr>
            <w:r>
              <w:t>System</w:t>
            </w:r>
            <w:r w:rsidR="000876BD" w:rsidRPr="00001FF6">
              <w:t xml:space="preserve"> Demonstrations</w:t>
            </w:r>
          </w:p>
        </w:tc>
        <w:tc>
          <w:tcPr>
            <w:tcW w:w="2790" w:type="dxa"/>
          </w:tcPr>
          <w:p w:rsidR="00781CE1" w:rsidRDefault="000876BD" w:rsidP="004D08B6">
            <w:pPr>
              <w:pStyle w:val="AMIABodyText"/>
              <w:ind w:right="990"/>
              <w:jc w:val="left"/>
            </w:pPr>
            <w:r w:rsidRPr="00001FF6">
              <w:t>150-200 words</w:t>
            </w:r>
          </w:p>
        </w:tc>
        <w:tc>
          <w:tcPr>
            <w:tcW w:w="3420" w:type="dxa"/>
          </w:tcPr>
          <w:p w:rsidR="00781CE1" w:rsidRDefault="000876BD" w:rsidP="004D08B6">
            <w:pPr>
              <w:pStyle w:val="AMIABodyText"/>
              <w:ind w:right="990"/>
              <w:jc w:val="left"/>
            </w:pPr>
            <w:r>
              <w:t>One</w:t>
            </w:r>
          </w:p>
        </w:tc>
      </w:tr>
    </w:tbl>
    <w:p w:rsidR="00BD30DA" w:rsidRDefault="00BD30DA" w:rsidP="00940944">
      <w:pPr>
        <w:pStyle w:val="AMIABodyText"/>
      </w:pPr>
    </w:p>
    <w:p w:rsidR="005B0F09" w:rsidRDefault="005B0F09" w:rsidP="00940944">
      <w:pPr>
        <w:pStyle w:val="AMIABodyText"/>
      </w:pPr>
      <w:r w:rsidRPr="00E1053B">
        <w:rPr>
          <w:b/>
        </w:rPr>
        <w:t xml:space="preserve">* </w:t>
      </w:r>
      <w:r w:rsidRPr="005B0F09">
        <w:t xml:space="preserve">All </w:t>
      </w:r>
      <w:r>
        <w:t xml:space="preserve">podium abstract and </w:t>
      </w:r>
      <w:r w:rsidRPr="005B0F09">
        <w:t>poster submissions must have a brief (50-75 words) abstract. The abstract does NOT have to be part of the document, but must be entered on the submission websi</w:t>
      </w:r>
      <w:r w:rsidR="001C76E3">
        <w:t>te in the Abstract box in Step 2</w:t>
      </w:r>
      <w:r>
        <w:t>.</w:t>
      </w:r>
    </w:p>
    <w:p w:rsidR="00781CE1" w:rsidRDefault="000876BD" w:rsidP="00940944">
      <w:pPr>
        <w:pStyle w:val="AMIABodyText"/>
      </w:pPr>
      <w:r>
        <w:t>This is another paragraph.</w:t>
      </w:r>
    </w:p>
    <w:p w:rsidR="00781CE1" w:rsidRDefault="000876BD" w:rsidP="00940944">
      <w:pPr>
        <w:pStyle w:val="AMIAHeading"/>
      </w:pPr>
      <w:r>
        <w:t>Conclusion</w:t>
      </w:r>
    </w:p>
    <w:p w:rsidR="00781CE1" w:rsidRDefault="000876BD" w:rsidP="00940944">
      <w:pPr>
        <w:pStyle w:val="AMIABodyText"/>
      </w:pPr>
      <w:r>
        <w:t>Your conclusion goes at the end, followed by References</w:t>
      </w:r>
      <w:r w:rsidR="00924B71">
        <w:t xml:space="preserve">, </w:t>
      </w:r>
      <w:r w:rsidR="00924B71" w:rsidRPr="00924B71">
        <w:t>which must follow the Vancouver Style (see</w:t>
      </w:r>
      <w:r w:rsidR="00924B71" w:rsidRPr="00F66F48">
        <w:rPr>
          <w:rFonts w:ascii="Trebuchet MS" w:hAnsi="Trebuchet MS"/>
        </w:rPr>
        <w:t xml:space="preserve">: </w:t>
      </w:r>
      <w:r w:rsidR="00924B71" w:rsidRPr="00924B71">
        <w:t>www.icmje.org/index.html)</w:t>
      </w:r>
      <w:r w:rsidRPr="00924B71">
        <w:t>.</w:t>
      </w:r>
      <w:r>
        <w:t xml:space="preserve">  References begin below with a header that is centered.  Only the first word of an article title is capitalized in the References. </w:t>
      </w:r>
    </w:p>
    <w:p w:rsidR="00781CE1" w:rsidRDefault="000876BD" w:rsidP="00940944">
      <w:pPr>
        <w:pStyle w:val="AMIAReferenceHeading"/>
      </w:pPr>
      <w:r>
        <w:t>References</w:t>
      </w:r>
    </w:p>
    <w:p w:rsidR="00781CE1" w:rsidRDefault="000876BD" w:rsidP="00940944">
      <w:pPr>
        <w:pStyle w:val="AMIAReference"/>
      </w:pPr>
      <w:r>
        <w:t>Pryor TA, Gardner RM, Clayton RD, Warner HR. The HELP system. J Med Sys. 1983;7:87-101.</w:t>
      </w:r>
    </w:p>
    <w:p w:rsidR="00781CE1" w:rsidRDefault="000876BD" w:rsidP="00940944">
      <w:pPr>
        <w:pStyle w:val="AMIAReference"/>
      </w:pPr>
      <w:r>
        <w:t>Gardner RM, Golubjatnikov OK, Laub RM, Jacobson JT, Evans RS. Computer-critiqued blood ordering using the HELP system. Comput Biomed Res 1990;23:514-28.</w:t>
      </w:r>
    </w:p>
    <w:p w:rsidR="00781CE1" w:rsidRDefault="00781CE1" w:rsidP="00940944">
      <w:pPr>
        <w:jc w:val="both"/>
      </w:pPr>
    </w:p>
    <w:p w:rsidR="00781CE1" w:rsidRDefault="00781CE1" w:rsidP="00940944">
      <w:pPr>
        <w:jc w:val="both"/>
      </w:pPr>
    </w:p>
    <w:p w:rsidR="000876BD" w:rsidRDefault="000876BD" w:rsidP="00857029">
      <w:pPr>
        <w:jc w:val="both"/>
        <w:sectPr w:rsidR="000876BD" w:rsidSect="001A47CF">
          <w:type w:val="continuous"/>
          <w:pgSz w:w="12240" w:h="15840" w:code="1"/>
          <w:pgMar w:top="1440" w:right="1440" w:bottom="1440" w:left="1440" w:header="720" w:footer="720" w:gutter="0"/>
          <w:cols w:space="720"/>
        </w:sectPr>
      </w:pPr>
    </w:p>
    <w:p w:rsidR="000876BD" w:rsidRDefault="008F709B" w:rsidP="00857029">
      <w:pPr>
        <w:jc w:val="both"/>
      </w:pPr>
      <w:r>
        <w:lastRenderedPageBreak/>
        <w:t>Sources:</w:t>
      </w:r>
    </w:p>
    <w:p w:rsidR="008F709B" w:rsidRDefault="008F709B" w:rsidP="008F709B">
      <w:pPr>
        <w:pStyle w:val="ListParagraph"/>
        <w:numPr>
          <w:ilvl w:val="0"/>
          <w:numId w:val="2"/>
        </w:numPr>
        <w:jc w:val="both"/>
      </w:pPr>
      <w:hyperlink r:id="rId11" w:history="1">
        <w:r w:rsidRPr="00972D10">
          <w:rPr>
            <w:rStyle w:val="Hyperlink"/>
          </w:rPr>
          <w:t>https://www.quora.com/Why-does-LDA-work</w:t>
        </w:r>
      </w:hyperlink>
      <w:r>
        <w:t xml:space="preserve"> </w:t>
      </w:r>
    </w:p>
    <w:p w:rsidR="00CA50BD" w:rsidRDefault="00CA50BD" w:rsidP="00CA50BD">
      <w:pPr>
        <w:pStyle w:val="ListParagraph"/>
        <w:numPr>
          <w:ilvl w:val="0"/>
          <w:numId w:val="2"/>
        </w:numPr>
        <w:jc w:val="both"/>
      </w:pPr>
      <w:hyperlink r:id="rId12" w:history="1">
        <w:r w:rsidRPr="00972D10">
          <w:rPr>
            <w:rStyle w:val="Hyperlink"/>
          </w:rPr>
          <w:t>https://nlp.stanford.edu/IR-book/html/htmledition/evaluation-of-clustering-1.html#fig:clustfg3</w:t>
        </w:r>
      </w:hyperlink>
      <w:r>
        <w:t xml:space="preserve"> </w:t>
      </w:r>
    </w:p>
    <w:sectPr w:rsidR="00CA50BD"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1FB" w:rsidRDefault="005821FB">
      <w:r>
        <w:separator/>
      </w:r>
    </w:p>
  </w:endnote>
  <w:endnote w:type="continuationSeparator" w:id="0">
    <w:p w:rsidR="005821FB" w:rsidRDefault="0058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FB" w:rsidRDefault="00582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821FB" w:rsidRDefault="005821F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1FB" w:rsidRDefault="005821FB">
    <w:pPr>
      <w:pStyle w:val="Footer"/>
      <w:framePr w:wrap="around" w:vAnchor="text" w:hAnchor="margin" w:xAlign="right" w:y="1"/>
      <w:rPr>
        <w:rStyle w:val="PageNumber"/>
      </w:rPr>
    </w:pPr>
  </w:p>
  <w:p w:rsidR="005821FB" w:rsidRDefault="005821F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1FB" w:rsidRDefault="005821FB">
      <w:r>
        <w:separator/>
      </w:r>
    </w:p>
  </w:footnote>
  <w:footnote w:type="continuationSeparator" w:id="0">
    <w:p w:rsidR="005821FB" w:rsidRDefault="005821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FF6"/>
    <w:rsid w:val="00061121"/>
    <w:rsid w:val="000876BD"/>
    <w:rsid w:val="000F41E2"/>
    <w:rsid w:val="00123B63"/>
    <w:rsid w:val="00152DBC"/>
    <w:rsid w:val="00163A4E"/>
    <w:rsid w:val="001A47CF"/>
    <w:rsid w:val="001C76E3"/>
    <w:rsid w:val="001D1567"/>
    <w:rsid w:val="001D1BCD"/>
    <w:rsid w:val="001D3422"/>
    <w:rsid w:val="001D5D81"/>
    <w:rsid w:val="002134D4"/>
    <w:rsid w:val="002F502A"/>
    <w:rsid w:val="00305A9B"/>
    <w:rsid w:val="00322966"/>
    <w:rsid w:val="003256DE"/>
    <w:rsid w:val="003276AB"/>
    <w:rsid w:val="0035275E"/>
    <w:rsid w:val="003A14D8"/>
    <w:rsid w:val="003B0234"/>
    <w:rsid w:val="003C0115"/>
    <w:rsid w:val="003C1701"/>
    <w:rsid w:val="003C6BE4"/>
    <w:rsid w:val="003D19F4"/>
    <w:rsid w:val="003D5748"/>
    <w:rsid w:val="004019EA"/>
    <w:rsid w:val="004464BE"/>
    <w:rsid w:val="00447D9D"/>
    <w:rsid w:val="004535A7"/>
    <w:rsid w:val="00464ED6"/>
    <w:rsid w:val="004815B1"/>
    <w:rsid w:val="004D08B6"/>
    <w:rsid w:val="00500BD7"/>
    <w:rsid w:val="00556080"/>
    <w:rsid w:val="005821FB"/>
    <w:rsid w:val="00590340"/>
    <w:rsid w:val="005B0F09"/>
    <w:rsid w:val="005E0F74"/>
    <w:rsid w:val="00600255"/>
    <w:rsid w:val="00636609"/>
    <w:rsid w:val="0069458E"/>
    <w:rsid w:val="00696DA5"/>
    <w:rsid w:val="006A0A8B"/>
    <w:rsid w:val="006A2950"/>
    <w:rsid w:val="006A3A8E"/>
    <w:rsid w:val="006C79A8"/>
    <w:rsid w:val="006D0A2C"/>
    <w:rsid w:val="006E41ED"/>
    <w:rsid w:val="007011B1"/>
    <w:rsid w:val="00726B30"/>
    <w:rsid w:val="00737F46"/>
    <w:rsid w:val="00741BE9"/>
    <w:rsid w:val="00744D65"/>
    <w:rsid w:val="00781CE1"/>
    <w:rsid w:val="007B0F22"/>
    <w:rsid w:val="007B4D7E"/>
    <w:rsid w:val="007C5BDF"/>
    <w:rsid w:val="007D63B4"/>
    <w:rsid w:val="007E534A"/>
    <w:rsid w:val="007E709B"/>
    <w:rsid w:val="007F2454"/>
    <w:rsid w:val="008310C2"/>
    <w:rsid w:val="00842C12"/>
    <w:rsid w:val="00857029"/>
    <w:rsid w:val="008803D4"/>
    <w:rsid w:val="00880AE8"/>
    <w:rsid w:val="00883CF0"/>
    <w:rsid w:val="00885900"/>
    <w:rsid w:val="00887953"/>
    <w:rsid w:val="00895E92"/>
    <w:rsid w:val="008A2E55"/>
    <w:rsid w:val="008B6CD4"/>
    <w:rsid w:val="008E6278"/>
    <w:rsid w:val="008F709B"/>
    <w:rsid w:val="00907431"/>
    <w:rsid w:val="00924B71"/>
    <w:rsid w:val="00940944"/>
    <w:rsid w:val="009562C5"/>
    <w:rsid w:val="00956D31"/>
    <w:rsid w:val="009714DB"/>
    <w:rsid w:val="009953BE"/>
    <w:rsid w:val="00995750"/>
    <w:rsid w:val="009A55F9"/>
    <w:rsid w:val="009A7C7F"/>
    <w:rsid w:val="00A12050"/>
    <w:rsid w:val="00A17201"/>
    <w:rsid w:val="00A33F82"/>
    <w:rsid w:val="00A60D02"/>
    <w:rsid w:val="00A74A52"/>
    <w:rsid w:val="00AF2A0A"/>
    <w:rsid w:val="00B15F26"/>
    <w:rsid w:val="00B30D9A"/>
    <w:rsid w:val="00B52D0E"/>
    <w:rsid w:val="00B547B7"/>
    <w:rsid w:val="00B95B70"/>
    <w:rsid w:val="00BA3C08"/>
    <w:rsid w:val="00BD30DA"/>
    <w:rsid w:val="00BE54EA"/>
    <w:rsid w:val="00C25098"/>
    <w:rsid w:val="00C435D4"/>
    <w:rsid w:val="00C537BE"/>
    <w:rsid w:val="00CA1D90"/>
    <w:rsid w:val="00CA1EF1"/>
    <w:rsid w:val="00CA50BD"/>
    <w:rsid w:val="00CA52ED"/>
    <w:rsid w:val="00CD1CE4"/>
    <w:rsid w:val="00D25626"/>
    <w:rsid w:val="00D454F3"/>
    <w:rsid w:val="00D72377"/>
    <w:rsid w:val="00DA4570"/>
    <w:rsid w:val="00DC026C"/>
    <w:rsid w:val="00DC4B18"/>
    <w:rsid w:val="00DC6BAB"/>
    <w:rsid w:val="00DF5E64"/>
    <w:rsid w:val="00E1053B"/>
    <w:rsid w:val="00E16D51"/>
    <w:rsid w:val="00E40A62"/>
    <w:rsid w:val="00E81D55"/>
    <w:rsid w:val="00EA3C75"/>
    <w:rsid w:val="00EC29D2"/>
    <w:rsid w:val="00EC4A4A"/>
    <w:rsid w:val="00EC774E"/>
    <w:rsid w:val="00ED6482"/>
    <w:rsid w:val="00EE7E40"/>
    <w:rsid w:val="00F17F2E"/>
    <w:rsid w:val="00F306E2"/>
    <w:rsid w:val="00F66156"/>
    <w:rsid w:val="00F70CA6"/>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nlp.stanford.edu/IR-book/html/htmledition/evaluation-of-clustering-1.html#fig:clustfg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y-does-LDA-work" TargetMode="Externa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nlp.stanford.edu/IR-book/html/htmledition/evaluation-of-clustering-1.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AMIA Submission template.dot</Template>
  <TotalTime>1718</TotalTime>
  <Pages>5</Pages>
  <Words>2156</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Chaubal, Ameet</cp:lastModifiedBy>
  <cp:revision>10</cp:revision>
  <cp:lastPrinted>2000-03-08T21:11:00Z</cp:lastPrinted>
  <dcterms:created xsi:type="dcterms:W3CDTF">2018-03-29T02:36:00Z</dcterms:created>
  <dcterms:modified xsi:type="dcterms:W3CDTF">2018-03-29T19:13:00Z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