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jis3xmyei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Box di approfondimento – Benessere emotivo della famiglia (24–36 mesi)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bambino parla di più, vuole autonomia, inizia a testare regole e limiti. Anche i genitori devono adattarsi a nuove sfide emotive.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Emozioni intense</w:t>
      </w:r>
      <w:r w:rsidDel="00000000" w:rsidR="00000000" w:rsidRPr="00000000">
        <w:rPr>
          <w:rtl w:val="0"/>
        </w:rPr>
        <w:t xml:space="preserve">: rabbia, capricci, opposizioni fanno parte dello sviluppo, ma possono mettere a dura prova la pazienza dei genitori.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Coppia e famiglia</w:t>
      </w:r>
      <w:r w:rsidDel="00000000" w:rsidR="00000000" w:rsidRPr="00000000">
        <w:rPr>
          <w:rtl w:val="0"/>
        </w:rPr>
        <w:t xml:space="preserve">: la gestione quotidiana può generare conflitti. Parlare apertamente e sostenersi a vicenda aiuta a mantenere equilibrio.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Famiglie omogenitoriali e adottive</w:t>
      </w:r>
      <w:r w:rsidDel="00000000" w:rsidR="00000000" w:rsidRPr="00000000">
        <w:rPr>
          <w:rtl w:val="0"/>
        </w:rPr>
        <w:t xml:space="preserve">: le sfide sono le stesse, conta la coerenza educativa e la presenza affettuosa di chi si prende cura del bambino.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Segnali da non trascurare</w:t>
      </w:r>
      <w:r w:rsidDel="00000000" w:rsidR="00000000" w:rsidRPr="00000000">
        <w:rPr>
          <w:rtl w:val="0"/>
        </w:rPr>
        <w:t xml:space="preserve">: sentirsi costantemente sopraffatti, ansiosi o incapaci di godersi i momenti insieme. In questi casi è fondamentale chiedere aiuto.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Disclaimer</w:t>
        <w:br w:type="textWrapping"/>
      </w:r>
      <w:r w:rsidDel="00000000" w:rsidR="00000000" w:rsidRPr="00000000">
        <w:rPr>
          <w:rtl w:val="0"/>
        </w:rPr>
        <w:t xml:space="preserve"> Ogni bambino e ogni famiglia hanno i propri tempi. Se i dubbi o le difficoltà persistono, è importante rivolgersi al pediatra o a un professionista di fiducia.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