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Ortopedia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tu7ca58r3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 cose che dovresti sapere sullo sviluppo scheletrico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Il piede piatto è ancora fisiologico, ma entro i 36 mesi la volta plantare inizia a definirsi.</w:t>
        <w:br w:type="textWrapping"/>
        <w:t xml:space="preserve">- La camminata sulle punte deve ridursi progressivamente; se persiste oltre i 24-30 mesi, va monitorata e magari valutata con uno specialista. Chiedi un consulto al tuo pediatra di fiducia.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L’asimmetria nella postura potrebbe indicare una necessità di controllo ortopedico.</w:t>
        <w:br w:type="textWrapping"/>
        <w:t xml:space="preserve">- Il gioco attivo e il movimento libero sono fondamentali per lo sviluppo della muscolatura e della coordinazione.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Il bambino è in grado di alternare i piedi nel salire e scendere le scale senza supporto.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Comportamenti da osservare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Persistente difficoltà a camminare senza supporto.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Camminata rigida o asimmetrica dopo i 30 mesi.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Scarso interesse nel movimento o difficoltà evidenti nell’equilibrio.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5crfem6d4k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Consigli pratici</w:t>
      </w:r>
    </w:p>
    <w:p w:rsidR="00000000" w:rsidDel="00000000" w:rsidP="00000000" w:rsidRDefault="00000000" w:rsidRPr="00000000" w14:paraId="0000000C">
      <w:pPr>
        <w:keepLines w:val="1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1. Arrampicarsi in sicurezza</w:t>
      </w:r>
    </w:p>
    <w:p w:rsidR="00000000" w:rsidDel="00000000" w:rsidP="00000000" w:rsidRDefault="00000000" w:rsidRPr="00000000" w14:paraId="0000000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Attività su scalette basse, cuscini o percorsi morbidi (tipo Pikler).</w:t>
      </w:r>
    </w:p>
    <w:p w:rsidR="00000000" w:rsidDel="00000000" w:rsidP="00000000" w:rsidRDefault="00000000" w:rsidRPr="00000000" w14:paraId="0000000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Sviluppa forza, equilibrio e consapevolezza del corpo.</w:t>
      </w:r>
    </w:p>
    <w:p w:rsidR="00000000" w:rsidDel="00000000" w:rsidP="00000000" w:rsidRDefault="00000000" w:rsidRPr="00000000" w14:paraId="0000001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2. Usare i bottoncini montessoriani</w:t>
      </w:r>
    </w:p>
    <w:p w:rsidR="00000000" w:rsidDel="00000000" w:rsidP="00000000" w:rsidRDefault="00000000" w:rsidRPr="00000000" w14:paraId="0000001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Tavole con bottoni, zip, lacci o vestiti da aprire e chiudere.</w:t>
      </w:r>
    </w:p>
    <w:p w:rsidR="00000000" w:rsidDel="00000000" w:rsidP="00000000" w:rsidRDefault="00000000" w:rsidRPr="00000000" w14:paraId="0000001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Allena la motricità fine, la concentrazione e l'autonomia.</w:t>
      </w:r>
    </w:p>
    <w:p w:rsidR="00000000" w:rsidDel="00000000" w:rsidP="00000000" w:rsidRDefault="00000000" w:rsidRPr="00000000" w14:paraId="0000001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3. Camminare a piedi nudi su superfici diverse</w:t>
      </w:r>
    </w:p>
    <w:p w:rsidR="00000000" w:rsidDel="00000000" w:rsidP="00000000" w:rsidRDefault="00000000" w:rsidRPr="00000000" w14:paraId="0000001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Gommapiuma, tappeti, sabbia, prato.</w:t>
      </w:r>
    </w:p>
    <w:p w:rsidR="00000000" w:rsidDel="00000000" w:rsidP="00000000" w:rsidRDefault="00000000" w:rsidRPr="00000000" w14:paraId="0000001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Stimola la propriocezione e favorisce la definizione della volta plantare.</w:t>
      </w:r>
    </w:p>
    <w:p w:rsidR="00000000" w:rsidDel="00000000" w:rsidP="00000000" w:rsidRDefault="00000000" w:rsidRPr="00000000" w14:paraId="0000001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4. Salire e scendere le scale alternando i piedi</w:t>
      </w:r>
    </w:p>
    <w:p w:rsidR="00000000" w:rsidDel="00000000" w:rsidP="00000000" w:rsidRDefault="00000000" w:rsidRPr="00000000" w14:paraId="000000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All’inizio con guida dell’adulto, poi autonomamente.</w:t>
      </w:r>
    </w:p>
    <w:p w:rsidR="00000000" w:rsidDel="00000000" w:rsidP="00000000" w:rsidRDefault="00000000" w:rsidRPr="00000000" w14:paraId="0000001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Rafforza la coordinazione tra arti e il controllo dell’equilibrio.</w:t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5. Gioco simbolico in movimento</w:t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Imitare animali, danzare, trasportare oggetti.</w:t>
      </w:r>
    </w:p>
    <w:p w:rsidR="00000000" w:rsidDel="00000000" w:rsidP="00000000" w:rsidRDefault="00000000" w:rsidRPr="00000000" w14:paraId="0000001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Favorisce la lateralizzazione e la sequenza motoria.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6. Impilare, infilare, travasare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Con anelli, perle grandi, ciotole, cubi.</w:t>
      </w:r>
    </w:p>
    <w:p w:rsidR="00000000" w:rsidDel="00000000" w:rsidP="00000000" w:rsidRDefault="00000000" w:rsidRPr="00000000" w14:paraId="0000002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Stimola la prensione, la rotazione del polso e la precisione.</w:t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7. Percorsi motori indoor</w:t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Tunnel, ostacoli morbidi, strisce da saltare o superare.</w:t>
      </w:r>
    </w:p>
    <w:p w:rsidR="00000000" w:rsidDel="00000000" w:rsidP="00000000" w:rsidRDefault="00000000" w:rsidRPr="00000000" w14:paraId="0000002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Favoriscono il problem-solving motorio e la pianificazione dei movimenti.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8. Posizioni variate di gioco</w:t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Accovacciato, in ginocchio, in piedi su superfici instabili.</w:t>
      </w:r>
    </w:p>
    <w:p w:rsidR="00000000" w:rsidDel="00000000" w:rsidP="00000000" w:rsidRDefault="00000000" w:rsidRPr="00000000" w14:paraId="0000002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Sviluppa la stabilità del tronco e l’adattamento posturale.</w:t>
      </w:r>
    </w:p>
    <w:p w:rsidR="00000000" w:rsidDel="00000000" w:rsidP="00000000" w:rsidRDefault="00000000" w:rsidRPr="00000000" w14:paraId="000000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9. Rotolamenti e piccoli salti</w:t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Su tappeti o materassini, con assistenza.</w:t>
      </w:r>
    </w:p>
    <w:p w:rsidR="00000000" w:rsidDel="00000000" w:rsidP="00000000" w:rsidRDefault="00000000" w:rsidRPr="00000000" w14:paraId="0000002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Migliorano equilibrio dinamico, tono muscolare e orientamento spaziale.</w:t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10. Attività outdoor libere</w:t>
      </w:r>
    </w:p>
    <w:p w:rsidR="00000000" w:rsidDel="00000000" w:rsidP="00000000" w:rsidRDefault="00000000" w:rsidRPr="00000000" w14:paraId="000000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Giochi al parco, salite/discese, spinta di oggetti o passeggini.</w:t>
      </w:r>
    </w:p>
    <w:p w:rsidR="00000000" w:rsidDel="00000000" w:rsidP="00000000" w:rsidRDefault="00000000" w:rsidRPr="00000000" w14:paraId="0000003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Rafforzano la muscolatura e l’autonomia motoria in contesti reali.</w:t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  <w:t xml:space="preserve">"In presenza di qualsiasi dubbio, non esitare a consultare il medico di fiducia, il pediatra o uno specialista qualificato come un Ortopedico Pediatrico che sa come monitorare la crescita ossea e lo sviluppo motorio del bambino, identificando eventuali anomalie posturali, della deambulazione e della colonna vertebrale”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Bibliografia</w:t>
      </w:r>
      <w:r w:rsidDel="00000000" w:rsidR="00000000" w:rsidRPr="00000000">
        <w:rPr>
          <w:rtl w:val="0"/>
        </w:rPr>
        <w:t xml:space="preserve"> 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-WHO – Motor development milestones:  Report con tabelle e grafici su tappe motorie grossolane (crawling, stare in piedi, camminare) 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https://www.who.int/tools/child-growth-standards/standards/motor-development-milestones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WHO – Developmental difficulties in early childhood (2012). Linee guida per identificazione precoce e intervento su sviluppo neuromotorio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https://apps.who.int/iris/bitstream/handle/10665/97942/9789241503549_eng.pdf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-AAOS – Detection and Nonoperative Management of Pediatric DDH (2022) Clinical Practice Guideline per diagnosi precoce e trattamento non chirurgico (0–6 mesi)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https://www.aaos.org/globalassets/quality-and-practice-resources/pddh/pddhcpg.pdf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AAOS – Appropriate Use Criteria for DDH (2022). Indicazioni per pediatri generici nel riconoscimento e gestione della displasia dell'anca.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https://www.aaos.org/globalassets/quality-and-practice-resources/pddh/ddh-auc_generalist-2022-reissue.pdf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CDC – Developmental Milestones (2025). Check-list interattive e materiale educativo per caregivers (incluso PDF scaricabili).  h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ttps://www.cdc.gov/ncbddd/actearly/milestones/index.html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-AAP – Evidence-Informed Milestones for Developmental Surveillance (2022). Linee guida basate su evidenze per il monitoraggio continuo delle tappe motorie.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https://publications.aap.org/pediatrics/article/149/3/e2021052138/184748/Evidence-Informed-Milestones-for-Developmental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https://www.erickson.it/it/educare-secondo-natura-in-e-outdoor</w:t>
        </w:r>
      </w:hyperlink>
      <w:r w:rsidDel="00000000" w:rsidR="00000000" w:rsidRPr="00000000">
        <w:rPr>
          <w:i w:val="1"/>
          <w:iCs w:val="1"/>
          <w:rtl w:val="0"/>
        </w:rPr>
        <w:t xml:space="preserve"> 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publications.aap.org/pediatrics/article/149/3/e2021052138/184748/Evidence-Informed-Milestones-for-Developmental" TargetMode="External"/><Relationship Id="rId10" Type="http://schemas.openxmlformats.org/officeDocument/2006/relationships/hyperlink" Target="https://www.cdc.gov/ncbddd/actearly/milestones/index.html" TargetMode="External"/><Relationship Id="rId12" Type="http://schemas.openxmlformats.org/officeDocument/2006/relationships/hyperlink" Target="https://www.erickson.it/it/educare-secondo-natura-in-e-outdoor" TargetMode="External"/><Relationship Id="rId9" Type="http://schemas.openxmlformats.org/officeDocument/2006/relationships/hyperlink" Target="https://www.aaos.org/globalassets/quality-and-practice-resources/pddh/ddh-auc_generalist-2022-reissue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who.int/tools/child-growth-standards/standards/motor-development-milestones" TargetMode="External"/><Relationship Id="rId7" Type="http://schemas.openxmlformats.org/officeDocument/2006/relationships/hyperlink" Target="https://apps.who.int/iris/bitstream/handle/10665/97942/9789241503549_eng.pdf" TargetMode="External"/><Relationship Id="rId8" Type="http://schemas.openxmlformats.org/officeDocument/2006/relationships/hyperlink" Target="https://www.aaos.org/globalassets/quality-and-practice-resources/pddh/pddhcpg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