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 xml:space="preserve">Napisan izveštaj o postojećem stanju kapaciteta partnerskih </w:t>
            </w:r>
            <w:r w:rsidRPr="00777F8D">
              <w:rPr>
                <w:lang w:val="sr-Latn-RS"/>
              </w:rPr>
              <w:lastRenderedPageBreak/>
              <w:t>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4E7F0070" w14:textId="7940AC57" w:rsidR="00EF1581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0D718A5A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EF1581">
              <w:rPr>
                <w:b/>
                <w:bCs/>
                <w:lang w:val="sr-Latn-RS"/>
              </w:rPr>
              <w:t>2.1.</w:t>
            </w:r>
            <w:r>
              <w:rPr>
                <w:lang w:val="sr-Latn-RS"/>
              </w:rPr>
              <w:t xml:space="preserve"> Studijska poseta na temu Blockchain.</w:t>
            </w:r>
          </w:p>
          <w:p w14:paraId="586AC3FB" w14:textId="310A8FC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696BA54F" w14:textId="209BFA2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2.1.2. </w:t>
            </w:r>
            <w:r w:rsidRPr="00C212D8">
              <w:rPr>
                <w:lang w:val="sr-Latn-RS"/>
              </w:rPr>
              <w:t>Priprema agende posete</w:t>
            </w:r>
          </w:p>
          <w:p w14:paraId="0BE6414C" w14:textId="4E2E343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2.1.3. </w:t>
            </w:r>
            <w:r w:rsidRPr="00C212D8">
              <w:rPr>
                <w:lang w:val="sr-Latn-RS"/>
              </w:rPr>
              <w:t>Poseta Holandiji</w:t>
            </w:r>
          </w:p>
          <w:p w14:paraId="5F68C7C2" w14:textId="453522C8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B558EF1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2.1.5. </w:t>
            </w:r>
            <w:r w:rsidRPr="00C212D8">
              <w:rPr>
                <w:lang w:val="sr-Latn-RS"/>
              </w:rPr>
              <w:t>Pripreme izvestaja</w:t>
            </w:r>
          </w:p>
          <w:p w14:paraId="3C9BABAC" w14:textId="08BA7CC4" w:rsidR="00C212D8" w:rsidRP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2.1.6. 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6330DD92" w14:textId="7AB668D0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54074248" w14:textId="77777777" w:rsidR="00EF1581" w:rsidRDefault="00EF1581" w:rsidP="00EF1581">
            <w:pPr>
              <w:rPr>
                <w:lang w:val="sr-Latn-RS"/>
              </w:rPr>
            </w:pPr>
          </w:p>
          <w:p w14:paraId="0A3F7C1A" w14:textId="15C2D3DC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>3.</w:t>
            </w:r>
            <w:r>
              <w:rPr>
                <w:lang w:val="sr-Latn-RS"/>
              </w:rPr>
              <w:t xml:space="preserve"> Obuka mentora</w:t>
            </w:r>
          </w:p>
          <w:p w14:paraId="1C0A5EBE" w14:textId="1E971639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9845D6">
              <w:rPr>
                <w:b/>
                <w:bCs/>
                <w:lang w:val="sr-Latn-RS"/>
              </w:rPr>
              <w:t>3.1.</w:t>
            </w:r>
            <w:r>
              <w:rPr>
                <w:lang w:val="sr-Latn-RS"/>
              </w:rPr>
              <w:t xml:space="preserve"> Obuka mentora za predavanja na temu Blockchain.</w:t>
            </w:r>
          </w:p>
          <w:p w14:paraId="6BBA8B62" w14:textId="10B3EC52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3.1.1.</w:t>
            </w:r>
          </w:p>
          <w:p w14:paraId="349FC1C4" w14:textId="46E2F1FD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3.2.</w:t>
            </w:r>
            <w:r>
              <w:rPr>
                <w:lang w:val="sr-Latn-RS"/>
              </w:rPr>
              <w:t xml:space="preserve"> Obuka mentora za predavanja na temu AI.</w:t>
            </w:r>
          </w:p>
          <w:p w14:paraId="7523E956" w14:textId="3D215208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3.2.1.</w:t>
            </w:r>
          </w:p>
          <w:p w14:paraId="06BA3DAB" w14:textId="2E1ADE74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3.3.</w:t>
            </w:r>
            <w:r>
              <w:rPr>
                <w:lang w:val="sr-Latn-RS"/>
              </w:rPr>
              <w:t xml:space="preserve"> Obuka mentora za predavanja na temu DevOps.</w:t>
            </w:r>
          </w:p>
          <w:p w14:paraId="11CA2987" w14:textId="283A949D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3.3.1.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3B58971F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Pr="00FF083F">
              <w:rPr>
                <w:lang w:val="sr-Latn-RS"/>
              </w:rPr>
              <w:t>Praksa iz oblasti Blockchain</w:t>
            </w:r>
          </w:p>
          <w:p w14:paraId="22A28BC4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</w:p>
          <w:p w14:paraId="1A3E7460" w14:textId="1A796BD4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Pr="00FF083F">
              <w:rPr>
                <w:lang w:val="sr-Latn-RS"/>
              </w:rPr>
              <w:t>Praksa iz oblasti AI</w:t>
            </w:r>
          </w:p>
          <w:p w14:paraId="404AF4AE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4.2.1.</w:t>
            </w:r>
          </w:p>
          <w:p w14:paraId="7C7398B3" w14:textId="4D6E67C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Pr="00FF083F">
              <w:rPr>
                <w:lang w:val="sr-Latn-RS"/>
              </w:rPr>
              <w:t>Praksa iz oblasti DevOps</w:t>
            </w:r>
          </w:p>
          <w:p w14:paraId="44C7E2BC" w14:textId="08813932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4.3.1. 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34D25E4" w14:textId="6900964C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Pr="00FF083F">
              <w:rPr>
                <w:i/>
                <w:iCs/>
                <w:lang w:val="sr-Latn-RS"/>
              </w:rPr>
              <w:t xml:space="preserve"> </w:t>
            </w:r>
            <w:r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5BE05B32" w:rsidR="00FF083F" w:rsidRDefault="00FF083F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7. </w:t>
            </w:r>
            <w:r w:rsidRPr="00FF083F">
              <w:rPr>
                <w:lang w:val="sr-Latn-RS"/>
              </w:rPr>
              <w:t>Stručne prakse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lastRenderedPageBreak/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2EAD" w14:textId="77777777" w:rsidR="00765389" w:rsidRDefault="00765389">
      <w:r>
        <w:separator/>
      </w:r>
    </w:p>
  </w:endnote>
  <w:endnote w:type="continuationSeparator" w:id="0">
    <w:p w14:paraId="4283EBB5" w14:textId="77777777" w:rsidR="00765389" w:rsidRDefault="0076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85F7" w14:textId="77777777" w:rsidR="00765389" w:rsidRDefault="00765389">
      <w:r>
        <w:separator/>
      </w:r>
    </w:p>
  </w:footnote>
  <w:footnote w:type="continuationSeparator" w:id="0">
    <w:p w14:paraId="2BDFE124" w14:textId="77777777" w:rsidR="00765389" w:rsidRDefault="00765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4"/>
  </w:num>
  <w:num w:numId="3" w16cid:durableId="1567715537">
    <w:abstractNumId w:val="3"/>
  </w:num>
  <w:num w:numId="4" w16cid:durableId="1726946955">
    <w:abstractNumId w:val="5"/>
  </w:num>
  <w:num w:numId="5" w16cid:durableId="467211988">
    <w:abstractNumId w:val="1"/>
  </w:num>
  <w:num w:numId="6" w16cid:durableId="3879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251457"/>
    <w:rsid w:val="003116B2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46EAE"/>
    <w:rsid w:val="00662BA5"/>
    <w:rsid w:val="00664905"/>
    <w:rsid w:val="006A2E97"/>
    <w:rsid w:val="006B36F1"/>
    <w:rsid w:val="006C2723"/>
    <w:rsid w:val="006F1A19"/>
    <w:rsid w:val="006F4D19"/>
    <w:rsid w:val="007151E8"/>
    <w:rsid w:val="00727037"/>
    <w:rsid w:val="00765389"/>
    <w:rsid w:val="00777F8D"/>
    <w:rsid w:val="007A67D0"/>
    <w:rsid w:val="007B64ED"/>
    <w:rsid w:val="007D5A15"/>
    <w:rsid w:val="00871767"/>
    <w:rsid w:val="008735FE"/>
    <w:rsid w:val="0089362F"/>
    <w:rsid w:val="008B0A88"/>
    <w:rsid w:val="008D50D6"/>
    <w:rsid w:val="008D53FA"/>
    <w:rsid w:val="00905FE6"/>
    <w:rsid w:val="00935191"/>
    <w:rsid w:val="0095787B"/>
    <w:rsid w:val="009845D6"/>
    <w:rsid w:val="009B2308"/>
    <w:rsid w:val="009E3215"/>
    <w:rsid w:val="009F6460"/>
    <w:rsid w:val="00A045C6"/>
    <w:rsid w:val="00A17BD7"/>
    <w:rsid w:val="00A20A10"/>
    <w:rsid w:val="00A22DD3"/>
    <w:rsid w:val="00A5448A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93A87"/>
    <w:rsid w:val="00B94EBF"/>
    <w:rsid w:val="00BA2572"/>
    <w:rsid w:val="00C212D8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84</TotalTime>
  <Pages>8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11</cp:revision>
  <cp:lastPrinted>2013-03-29T08:38:00Z</cp:lastPrinted>
  <dcterms:created xsi:type="dcterms:W3CDTF">2023-05-16T21:30:00Z</dcterms:created>
  <dcterms:modified xsi:type="dcterms:W3CDTF">2023-06-25T13:48:00Z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