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41337CEA" w14:textId="77777777" w:rsidR="00D141CE" w:rsidRDefault="009B2539" w:rsidP="00221755">
      <w:pPr>
        <w:pStyle w:val="abstract"/>
        <w:spacing w:after="0"/>
        <w:ind w:firstLine="0"/>
      </w:pPr>
      <w:r w:rsidRPr="00EE426C">
        <w:rPr>
          <w:b/>
          <w:bCs/>
        </w:rPr>
        <w:t xml:space="preserve">Abstract. </w:t>
      </w:r>
      <w:r w:rsidR="00D141CE">
        <w:t>Participants were asked to complete a set of three tasks in five different locations. These participants were recorded at each task and were timed. Also, the participants ages were recorded and were split into four age groups: under 16, young adult, middle-aged and older-aged.</w:t>
      </w:r>
    </w:p>
    <w:p w14:paraId="2FBB265E" w14:textId="4C128B31" w:rsidR="00221755" w:rsidRPr="00EE426C" w:rsidRDefault="00D141CE" w:rsidP="00D141CE">
      <w:pPr>
        <w:pStyle w:val="abstract"/>
        <w:spacing w:after="0"/>
        <w:ind w:firstLine="114"/>
      </w:pPr>
      <w:r>
        <w:t xml:space="preserve">A dataset containing 10000 measurements was explored finding relationships between the various attributes. It was found that in the dataset there were cases of outliers - data without the normal range - </w:t>
      </w:r>
      <w:r w:rsidR="00E23B37">
        <w:t>within two relationships: the participants age against the participant score for part A and the participants age band against the participants score for part B.</w:t>
      </w:r>
      <w:r w:rsidR="00B510FF">
        <w:t xml:space="preserve"> In addition, there were five relationships in the attributes from the dataset</w:t>
      </w:r>
      <w:r w:rsidR="000A687F">
        <w:t>. One of these relationships was further optimised to make it easier to understand.</w:t>
      </w:r>
    </w:p>
    <w:p w14:paraId="3AB59773" w14:textId="0CBF98AF" w:rsidR="005A52B4" w:rsidRDefault="005A52B4" w:rsidP="005A52B4">
      <w:pPr>
        <w:pStyle w:val="heading1"/>
      </w:pPr>
      <w:r>
        <w:t>Outliers</w:t>
      </w:r>
      <w:r w:rsidR="00EB3294">
        <w:t xml:space="preserve"> in the Dataset</w:t>
      </w:r>
    </w:p>
    <w:p w14:paraId="48EFA8C8" w14:textId="51BAE240" w:rsidR="004F789A" w:rsidRDefault="00953680" w:rsidP="004F789A">
      <w:pPr>
        <w:pStyle w:val="heading2"/>
      </w:pPr>
      <w:r w:rsidRPr="004F789A">
        <w:t xml:space="preserve">Participants Age vs Participant Score for Part </w:t>
      </w:r>
      <w:r w:rsidR="00A709CE">
        <w:t>B</w:t>
      </w:r>
    </w:p>
    <w:p w14:paraId="3B146A85" w14:textId="55EEBA8E" w:rsidR="00E67CB8" w:rsidRDefault="00EF16E1" w:rsidP="004F789A">
      <w:pPr>
        <w:ind w:firstLine="0"/>
      </w:pPr>
      <w:r>
        <w:t>Through</w:t>
      </w:r>
      <w:r w:rsidR="007E6423">
        <w:t>out</w:t>
      </w:r>
      <w:r>
        <w:t xml:space="preserve"> the exploration of the dataset</w:t>
      </w:r>
      <w:r w:rsidR="007E6423">
        <w:t xml:space="preserve"> it was found that w</w:t>
      </w:r>
      <w:r>
        <w:t xml:space="preserve">ere outliers </w:t>
      </w:r>
      <w:r w:rsidR="00E567F5">
        <w:t>found within the relationship between the participants and the participant score for test part B (see Fig</w:t>
      </w:r>
      <w:r w:rsidR="002067E2">
        <w:t>.</w:t>
      </w:r>
      <w:r w:rsidR="00E567F5">
        <w:t xml:space="preserve"> 1). </w:t>
      </w:r>
      <w:r w:rsidR="00C73590">
        <w:t xml:space="preserve">The </w:t>
      </w:r>
      <w:r w:rsidR="00DB0A59">
        <w:t>graph</w:t>
      </w:r>
      <w:r w:rsidR="00C73590">
        <w:t xml:space="preserve"> chosen to </w:t>
      </w:r>
      <w:r w:rsidR="00C73590">
        <w:t>display this relationship</w:t>
      </w:r>
      <w:r w:rsidR="00C73590">
        <w:t xml:space="preserve"> was a scatter plot. </w:t>
      </w:r>
      <w:r w:rsidR="00C73590">
        <w:t xml:space="preserve">This is because each </w:t>
      </w:r>
      <w:r w:rsidR="00E67CB8">
        <w:t>data entry is plotted on the chart as a point, making it easy to spot trends in the data and any possible outliers</w:t>
      </w:r>
      <w:r w:rsidR="0072217D">
        <w:t xml:space="preserve"> [3]</w:t>
      </w:r>
      <w:r w:rsidR="00E67CB8">
        <w:t>.</w:t>
      </w:r>
      <w:r w:rsidR="00AE5D70">
        <w:t xml:space="preserve"> Outliers are </w:t>
      </w:r>
      <w:r w:rsidR="000321EF">
        <w:t>out with</w:t>
      </w:r>
      <w:r w:rsidR="00AE5D70">
        <w:t xml:space="preserve"> the normal and are abnormal instances which</w:t>
      </w:r>
      <w:r w:rsidR="006A1F6B">
        <w:t xml:space="preserve"> are out with the normal range of data [2] which are a</w:t>
      </w:r>
      <w:r w:rsidR="00AE5D70">
        <w:t xml:space="preserve"> result from numerous factors including participant error responses or incorrect data entries</w:t>
      </w:r>
      <w:r w:rsidR="00952899">
        <w:t xml:space="preserve"> </w:t>
      </w:r>
      <w:r w:rsidR="00793F2A">
        <w:t>[7]</w:t>
      </w:r>
    </w:p>
    <w:p w14:paraId="51EFE9B2" w14:textId="430A960B" w:rsidR="00EF16E1" w:rsidRPr="00EF16E1" w:rsidRDefault="00F317DB" w:rsidP="00E67CB8">
      <w:r>
        <w:t>The law of proximity, a Gestalt principle, states that the human brain makes connections based on visual perception</w:t>
      </w:r>
      <w:r w:rsidR="006A1F6B">
        <w:t xml:space="preserve"> [8]</w:t>
      </w:r>
      <w:r>
        <w:t xml:space="preserve">. </w:t>
      </w:r>
      <w:r w:rsidR="006A1F6B">
        <w:t>Therefore,</w:t>
      </w:r>
      <w:r>
        <w:t xml:space="preserve"> t</w:t>
      </w:r>
      <w:r w:rsidR="0072217D">
        <w:t xml:space="preserve">he </w:t>
      </w:r>
      <w:r>
        <w:t>graph</w:t>
      </w:r>
      <w:r w:rsidR="0072217D">
        <w:t xml:space="preserve"> </w:t>
      </w:r>
      <w:r w:rsidR="004F789A">
        <w:t>highlights the</w:t>
      </w:r>
      <w:r w:rsidR="00E567F5">
        <w:t xml:space="preserve"> relationship between participants that are 0-100 years old as well as being between 0-</w:t>
      </w:r>
      <w:r w:rsidR="009D692D">
        <w:t>100</w:t>
      </w:r>
      <w:r w:rsidR="00E567F5">
        <w:t>% score for part B.</w:t>
      </w:r>
      <w:r w:rsidR="004F789A">
        <w:t xml:space="preserve"> Whilst the outliers follow a similar trend</w:t>
      </w:r>
      <w:r w:rsidR="00E42AC1">
        <w:t xml:space="preserve"> to the rest of the graph</w:t>
      </w:r>
      <w:r w:rsidR="004F789A">
        <w:t xml:space="preserve">, </w:t>
      </w:r>
      <w:r>
        <w:t xml:space="preserve">they are separate from the general trend, </w:t>
      </w:r>
      <w:r w:rsidR="004F789A">
        <w:t>it shows ages between</w:t>
      </w:r>
      <w:r w:rsidR="00C65983">
        <w:t xml:space="preserve"> 200 and 210 years old</w:t>
      </w:r>
      <w:r w:rsidR="004F789A">
        <w:t xml:space="preserve"> and a score of 153-163% - which is out with the</w:t>
      </w:r>
      <w:r w:rsidR="00767C62">
        <w:t xml:space="preserve"> possible</w:t>
      </w:r>
      <w:r w:rsidR="004F789A">
        <w:t xml:space="preserve"> data range of 0-100%.</w:t>
      </w:r>
      <w:r w:rsidR="0072217D">
        <w:t xml:space="preserve"> </w:t>
      </w:r>
    </w:p>
    <w:p w14:paraId="3B039FE5" w14:textId="3493EBD5" w:rsidR="004F789A" w:rsidRPr="004F789A" w:rsidRDefault="00953680" w:rsidP="004F789A">
      <w:pPr>
        <w:pStyle w:val="heading2"/>
      </w:pPr>
      <w:r w:rsidRPr="004F789A">
        <w:t>Participants Age Band vs Participants Score for Part A</w:t>
      </w:r>
    </w:p>
    <w:p w14:paraId="250362FF" w14:textId="3FBC6781" w:rsidR="00952899" w:rsidRDefault="004F70CF" w:rsidP="00EB3294">
      <w:pPr>
        <w:pStyle w:val="p1a"/>
      </w:pPr>
      <w:r>
        <w:t>The</w:t>
      </w:r>
      <w:r w:rsidR="00E231B6">
        <w:t>re was another instance of an outlier found within the relationship of the participants age band and the score for part A of the test</w:t>
      </w:r>
      <w:r w:rsidR="00241C09">
        <w:t xml:space="preserve"> </w:t>
      </w:r>
      <w:r w:rsidR="00241C09">
        <w:t xml:space="preserve">(see Fig. 2). </w:t>
      </w:r>
      <w:r w:rsidR="00E231B6">
        <w:t xml:space="preserve">The chart used to show this </w:t>
      </w:r>
      <w:r w:rsidR="00E231B6">
        <w:lastRenderedPageBreak/>
        <w:t xml:space="preserve">relationship was a box plot. </w:t>
      </w:r>
      <w:r w:rsidR="00480E97">
        <w:t xml:space="preserve">This is because it </w:t>
      </w:r>
      <w:r w:rsidR="00190A4A">
        <w:t>displays</w:t>
      </w:r>
      <w:r w:rsidR="00480E97">
        <w:t xml:space="preserve"> the relationship between the</w:t>
      </w:r>
      <w:r w:rsidR="00190A4A">
        <w:t xml:space="preserve"> two</w:t>
      </w:r>
      <w:r w:rsidR="00480E97">
        <w:t xml:space="preserve"> </w:t>
      </w:r>
      <w:r w:rsidR="00F24A64">
        <w:t>attributes</w:t>
      </w:r>
      <w:r w:rsidR="00BF4E73">
        <w:t xml:space="preserve"> as well as hi</w:t>
      </w:r>
      <w:r w:rsidR="00480E97">
        <w:t>ghlighting</w:t>
      </w:r>
      <w:r w:rsidR="00BF4E73">
        <w:t xml:space="preserve"> instances</w:t>
      </w:r>
      <w:r w:rsidR="00480E97">
        <w:t xml:space="preserve"> outliers</w:t>
      </w:r>
      <w:r w:rsidR="00BF4E73">
        <w:t xml:space="preserve">. </w:t>
      </w:r>
    </w:p>
    <w:p w14:paraId="03B75307" w14:textId="38F58729" w:rsidR="00E231B6" w:rsidRDefault="00F24A64" w:rsidP="00952899">
      <w:pPr>
        <w:pStyle w:val="p1a"/>
        <w:ind w:firstLine="227"/>
      </w:pPr>
      <w:r>
        <w:t>From reviewing Figure 2,</w:t>
      </w:r>
      <w:r w:rsidR="00A418DE">
        <w:t xml:space="preserve"> the </w:t>
      </w:r>
      <w:r>
        <w:t xml:space="preserve">attributes are split by </w:t>
      </w:r>
      <w:r w:rsidR="00952899">
        <w:t xml:space="preserve">gender into </w:t>
      </w:r>
      <w:r w:rsidR="00A418DE">
        <w:t>male and female</w:t>
      </w:r>
      <w:r w:rsidR="00241C09">
        <w:t xml:space="preserve">. </w:t>
      </w:r>
      <w:r w:rsidR="00952899">
        <w:t>Initially, it shows that both males and females have a similar trend</w:t>
      </w:r>
      <w:r w:rsidR="00A418DE">
        <w:t xml:space="preserve"> in data</w:t>
      </w:r>
      <w:r w:rsidR="00952899">
        <w:t xml:space="preserve">. However, </w:t>
      </w:r>
      <w:r w:rsidR="00A418DE">
        <w:t>examining the females scores</w:t>
      </w:r>
      <w:r w:rsidR="00952899">
        <w:t>, specifically the “Under 16” age band,</w:t>
      </w:r>
      <w:r w:rsidR="00A418DE">
        <w:t xml:space="preserve"> show</w:t>
      </w:r>
      <w:r w:rsidR="00952899">
        <w:t>s</w:t>
      </w:r>
      <w:r w:rsidR="00A418DE">
        <w:t xml:space="preserve"> that there are negative </w:t>
      </w:r>
      <w:r w:rsidR="00952899">
        <w:t>results for part A</w:t>
      </w:r>
      <w:r w:rsidR="00A418DE">
        <w:t xml:space="preserve">. </w:t>
      </w:r>
      <w:r w:rsidR="00952899">
        <w:t>Therefore, these can be considered</w:t>
      </w:r>
      <w:r w:rsidR="00A418DE">
        <w:t xml:space="preserve"> outlier</w:t>
      </w:r>
      <w:r w:rsidR="00952899">
        <w:t>s</w:t>
      </w:r>
      <w:r w:rsidR="00A418DE">
        <w:t xml:space="preserve"> as it is not within the data range for the score </w:t>
      </w:r>
      <w:r w:rsidR="00952899">
        <w:t xml:space="preserve">for part </w:t>
      </w:r>
      <w:r w:rsidR="00A418DE">
        <w:t xml:space="preserve">A, for 0-100%. </w:t>
      </w:r>
    </w:p>
    <w:p w14:paraId="27D232DD" w14:textId="3B957872" w:rsidR="00E231B6" w:rsidRDefault="00E231B6" w:rsidP="00EB3294">
      <w:pPr>
        <w:pStyle w:val="p1a"/>
      </w:pPr>
    </w:p>
    <w:p w14:paraId="14BA2F92" w14:textId="7DC31130" w:rsidR="00EB3294" w:rsidRDefault="00EB3294" w:rsidP="00EB3294">
      <w:pPr>
        <w:pStyle w:val="heading1"/>
      </w:pPr>
      <w:r>
        <w:t>Relationships found in Dataset</w:t>
      </w:r>
    </w:p>
    <w:p w14:paraId="309FDD50" w14:textId="7BBEF2D5" w:rsidR="00C66103" w:rsidRDefault="00C66103" w:rsidP="00C66103">
      <w:pPr>
        <w:pStyle w:val="heading2"/>
      </w:pPr>
      <w:r w:rsidRPr="004F789A">
        <w:t>Participants Age vs Participant Score for Part B</w:t>
      </w:r>
    </w:p>
    <w:p w14:paraId="399386CF" w14:textId="5B64AA0B" w:rsidR="00A5706A" w:rsidRDefault="00D47C18" w:rsidP="00D47C18">
      <w:pPr>
        <w:pStyle w:val="p1a"/>
      </w:pPr>
      <w:r>
        <w:t xml:space="preserve">The </w:t>
      </w:r>
      <w:r w:rsidR="00755833">
        <w:t xml:space="preserve">participants age </w:t>
      </w:r>
      <w:r w:rsidR="00023F7D">
        <w:t>against</w:t>
      </w:r>
      <w:r w:rsidR="00755833">
        <w:t xml:space="preserve"> the participant score showed a significant relationship. Using a scatter plot showed that there was a positive correlation</w:t>
      </w:r>
      <w:r w:rsidR="008A3612">
        <w:t xml:space="preserve"> between the attributes </w:t>
      </w:r>
      <w:r w:rsidR="000017EC">
        <w:t>[5]</w:t>
      </w:r>
      <w:r w:rsidR="00D366EB">
        <w:t xml:space="preserve"> (see Fig</w:t>
      </w:r>
      <w:r w:rsidR="002067E2">
        <w:t>.</w:t>
      </w:r>
      <w:r w:rsidR="00D366EB">
        <w:t xml:space="preserve"> 1)</w:t>
      </w:r>
      <w:r w:rsidR="00755833">
        <w:t>.</w:t>
      </w:r>
      <w:r w:rsidR="00EE1835">
        <w:t xml:space="preserve"> </w:t>
      </w:r>
      <w:r w:rsidR="00EE1835">
        <w:t>Meaning, that the chart showed that as the participants age increases, the participant score for part B also increases.</w:t>
      </w:r>
      <w:r w:rsidR="00755833">
        <w:t xml:space="preserve"> </w:t>
      </w:r>
      <w:r w:rsidR="00023F7D">
        <w:t xml:space="preserve">A scatter plot was used as </w:t>
      </w:r>
      <w:r w:rsidR="00EE1835">
        <w:t>both attributes</w:t>
      </w:r>
      <w:r w:rsidR="00E67CB8">
        <w:t xml:space="preserve"> being compared were continuous [3]. </w:t>
      </w:r>
    </w:p>
    <w:p w14:paraId="33F66D47" w14:textId="17C6962E" w:rsidR="00015674" w:rsidRDefault="00E01F5E" w:rsidP="00015674">
      <w:pPr>
        <w:pStyle w:val="heading2"/>
      </w:pPr>
      <w:r w:rsidRPr="004F789A">
        <w:t>Participants Age Band vs Participants Score for Part A</w:t>
      </w:r>
    </w:p>
    <w:p w14:paraId="3A44B795" w14:textId="50D3A520" w:rsidR="00A5706A" w:rsidRDefault="00015674" w:rsidP="00846164">
      <w:pPr>
        <w:pStyle w:val="p1a"/>
      </w:pPr>
      <w:r>
        <w:t>Examining the participants age band and the participants score for part A showed a positive correlation</w:t>
      </w:r>
      <w:r w:rsidR="00F22CCE">
        <w:t xml:space="preserve"> </w:t>
      </w:r>
      <w:r>
        <w:t>between the attributes (see Fig</w:t>
      </w:r>
      <w:r w:rsidR="002067E2">
        <w:t>.</w:t>
      </w:r>
      <w:r>
        <w:t xml:space="preserve"> 2). Young Adults (16-34 years old), Middle-aged adults (35-64 years old) and older adults (65 years plus) all displayed higher mean scores of around 65-76</w:t>
      </w:r>
      <w:r w:rsidR="00F22CCE">
        <w:t>%.</w:t>
      </w:r>
      <w:r>
        <w:t xml:space="preserve"> However, those under 16 year</w:t>
      </w:r>
      <w:r w:rsidR="00F22CCE">
        <w:t>s</w:t>
      </w:r>
      <w:r>
        <w:t xml:space="preserve"> old had a mean of around 20% of the part </w:t>
      </w:r>
      <w:r w:rsidR="00224E74">
        <w:t xml:space="preserve">A </w:t>
      </w:r>
      <w:r>
        <w:t>score.</w:t>
      </w:r>
      <w:r w:rsidR="00F22CCE">
        <w:t xml:space="preserve"> Thus, meaning that as the age of the participant increases, as does the score for part A. </w:t>
      </w:r>
    </w:p>
    <w:p w14:paraId="387C216D" w14:textId="2655AB85" w:rsidR="00015674" w:rsidRPr="00015674" w:rsidRDefault="00F22CCE" w:rsidP="00A5706A">
      <w:pPr>
        <w:pStyle w:val="p1a"/>
        <w:ind w:firstLine="227"/>
      </w:pPr>
      <w:r>
        <w:t>To display this relationship, a box plot was used</w:t>
      </w:r>
      <w:r w:rsidR="00E418E6">
        <w:t xml:space="preserve"> as b</w:t>
      </w:r>
      <w:r>
        <w:t xml:space="preserve">ox plots can be used to show the average score of the participants </w:t>
      </w:r>
      <w:r w:rsidR="00BC7A9A">
        <w:t>[6]</w:t>
      </w:r>
      <w:r w:rsidR="004F0050">
        <w:t>.</w:t>
      </w:r>
    </w:p>
    <w:p w14:paraId="08D4C1BD" w14:textId="5F817666" w:rsidR="00EB3294" w:rsidRDefault="00BC6A6C" w:rsidP="00EB3294">
      <w:pPr>
        <w:pStyle w:val="heading2"/>
      </w:pPr>
      <w:r>
        <w:t>Completion Time for each Participant vs their Age Band</w:t>
      </w:r>
    </w:p>
    <w:p w14:paraId="6E1AE750" w14:textId="5DF12735" w:rsidR="00087B4E" w:rsidRPr="00270683" w:rsidRDefault="00C27D06" w:rsidP="00087B4E">
      <w:r>
        <w:t>The completion time to complete all three of the tasks was recorded for each of the participants. This was compared against the age band of the participants</w:t>
      </w:r>
      <w:r w:rsidR="00B97BE8">
        <w:t xml:space="preserve">. This highlighted </w:t>
      </w:r>
      <w:r>
        <w:t>a relationship when split by the Gender</w:t>
      </w:r>
      <w:r w:rsidR="002067E2">
        <w:t xml:space="preserve"> (see Fig. 3)</w:t>
      </w:r>
      <w:r>
        <w:t xml:space="preserve">. </w:t>
      </w:r>
      <w:r w:rsidR="00087B4E">
        <w:t xml:space="preserve">To show this relationship a box plot was used. </w:t>
      </w:r>
      <w:r w:rsidR="00087B4E">
        <w:t>This is because box plots display the average of the participants</w:t>
      </w:r>
      <w:r w:rsidR="00B97BE8">
        <w:t xml:space="preserve">. </w:t>
      </w:r>
    </w:p>
    <w:p w14:paraId="04A817E7" w14:textId="7FF827C7" w:rsidR="00BC6A6C" w:rsidRDefault="00E541F0" w:rsidP="00BC6A6C">
      <w:pPr>
        <w:pStyle w:val="p1a"/>
      </w:pPr>
      <w:r>
        <w:t xml:space="preserve">For the males there is a slight increasing trend between the attributes </w:t>
      </w:r>
      <w:r w:rsidR="00866789">
        <w:t>as</w:t>
      </w:r>
      <w:r>
        <w:t xml:space="preserve"> the</w:t>
      </w:r>
      <w:r w:rsidR="007A3517">
        <w:t xml:space="preserve"> completion time increases, so does the</w:t>
      </w:r>
      <w:r>
        <w:t xml:space="preserve"> age band (or age) </w:t>
      </w:r>
      <w:r w:rsidR="007A3517">
        <w:t>of the participants</w:t>
      </w:r>
      <w:r>
        <w:t>.</w:t>
      </w:r>
      <w:r w:rsidR="003E717A">
        <w:t xml:space="preserve"> This means that as the age of the participant increases, so does the completion time.</w:t>
      </w:r>
      <w:r w:rsidR="007A3517">
        <w:t xml:space="preserve"> Whilst for females</w:t>
      </w:r>
      <w:r w:rsidR="00A5706A">
        <w:t xml:space="preserve"> there is a negative correlation between the completion time and the age band.</w:t>
      </w:r>
      <w:r w:rsidR="007A3517">
        <w:t xml:space="preserve"> </w:t>
      </w:r>
      <w:r w:rsidR="003E717A">
        <w:t>Thus, meaning the older the participant, the less time it takes to complete all three of the activities.</w:t>
      </w:r>
    </w:p>
    <w:p w14:paraId="2335D715" w14:textId="41B66F5C" w:rsidR="00EB3294" w:rsidRDefault="00830A39" w:rsidP="00EB3294">
      <w:pPr>
        <w:pStyle w:val="heading2"/>
      </w:pPr>
      <w:r>
        <w:lastRenderedPageBreak/>
        <w:t>Participants Score for Test C vs the Participants Age</w:t>
      </w:r>
    </w:p>
    <w:p w14:paraId="115F096F" w14:textId="4822BCD0" w:rsidR="00BA7195" w:rsidRDefault="00A64A6B" w:rsidP="00BA7195">
      <w:pPr>
        <w:pStyle w:val="p1a"/>
      </w:pPr>
      <w:r>
        <w:t xml:space="preserve">Examining the dataset highlighted a significant between </w:t>
      </w:r>
      <w:r w:rsidR="000B59BE">
        <w:t xml:space="preserve">the participants score for test C </w:t>
      </w:r>
      <w:r>
        <w:t>and the age. At first, it appeared that there was no significant relationship that could be examined between the attributes until you split the participants score by the five locations</w:t>
      </w:r>
      <w:r w:rsidR="00473A0D">
        <w:t xml:space="preserve"> </w:t>
      </w:r>
      <w:r w:rsidR="004E1C5C">
        <w:t>(see Fig. 4)</w:t>
      </w:r>
      <w:r w:rsidR="00E81789">
        <w:t xml:space="preserve">. </w:t>
      </w:r>
      <w:r w:rsidR="00577495">
        <w:t>However, in</w:t>
      </w:r>
      <w:r w:rsidR="00E81789">
        <w:t xml:space="preserve"> locations </w:t>
      </w:r>
      <w:r w:rsidR="00601240">
        <w:t>B</w:t>
      </w:r>
      <w:r w:rsidR="00E81789">
        <w:t>, C and E it showed that there was no change in the score as the age increased, remaining 48%, 41% and 37% respectively. However, in location A it displays a decrease in the score for part c as the age increases, whilst location D showed an increasing trend in the score as the age increased</w:t>
      </w:r>
      <w:r w:rsidR="000B59BE">
        <w:t>.</w:t>
      </w:r>
    </w:p>
    <w:p w14:paraId="0CDBC4B2" w14:textId="1F67CAA1" w:rsidR="00EB2FCF" w:rsidRPr="00EB2FCF" w:rsidRDefault="00EB2FCF" w:rsidP="00EB2FCF">
      <w:r>
        <w:t xml:space="preserve">To illustrate this relationship a bar chart was used. This is because the age band is a discrete attribute </w:t>
      </w:r>
      <w:r w:rsidR="0084679E">
        <w:t>being compared against the test score for part c, which is</w:t>
      </w:r>
      <w:r w:rsidR="0014237A">
        <w:t xml:space="preserve"> a</w:t>
      </w:r>
      <w:r w:rsidR="0084679E">
        <w:t xml:space="preserve"> continuous</w:t>
      </w:r>
      <w:r w:rsidR="0014237A">
        <w:t xml:space="preserve"> attribute</w:t>
      </w:r>
      <w:r w:rsidR="0084679E">
        <w:t>.</w:t>
      </w:r>
    </w:p>
    <w:p w14:paraId="1914D575" w14:textId="1E926211" w:rsidR="00EB3294" w:rsidRDefault="0092260F" w:rsidP="00EB3294">
      <w:pPr>
        <w:pStyle w:val="heading2"/>
      </w:pPr>
      <w:r>
        <w:t>Completion Time of All Three Tests vs Participant Score for Part B</w:t>
      </w:r>
    </w:p>
    <w:p w14:paraId="4B5382B6" w14:textId="14B04097" w:rsidR="00EC0487" w:rsidRDefault="004162A3" w:rsidP="00E75354">
      <w:pPr>
        <w:ind w:firstLine="0"/>
      </w:pPr>
      <w:r>
        <w:t xml:space="preserve">Completion Time to complete all three of the tests was compared against the participant score for </w:t>
      </w:r>
      <w:r w:rsidR="000B0593">
        <w:t>part B</w:t>
      </w:r>
      <w:r w:rsidR="00055F4C">
        <w:t xml:space="preserve"> (see Fig. 5)</w:t>
      </w:r>
      <w:r w:rsidR="000B0593">
        <w:t xml:space="preserve">. This was separated by gender. Using a scatter plot chart to display both the continuous types of attribute. Whilst the males displayed </w:t>
      </w:r>
      <w:r w:rsidR="00DC6F88">
        <w:t>no correlation</w:t>
      </w:r>
      <w:r w:rsidR="00AF19E4">
        <w:t>, the females showed a negative correlation.</w:t>
      </w:r>
      <w:r w:rsidR="003A0CB2">
        <w:t xml:space="preserve"> This is because, due to the law of Gestalt Law of Continuation, which state that the human eye follows a sequence of shapes to determine a relationship between the attributes</w:t>
      </w:r>
      <w:r w:rsidR="00BE5B66">
        <w:t xml:space="preserve"> [8]</w:t>
      </w:r>
      <w:r w:rsidR="003A0CB2">
        <w:t>. In this case, for the females, there is an obvious relationship. Hence, f</w:t>
      </w:r>
      <w:r w:rsidR="00537605">
        <w:t>or the female participants, as</w:t>
      </w:r>
      <w:r w:rsidR="00AF19E4">
        <w:t xml:space="preserve"> the completion time increased, the participant score for part B decreased.</w:t>
      </w:r>
    </w:p>
    <w:p w14:paraId="38C14878" w14:textId="6A05E54E" w:rsidR="00EC0487" w:rsidRDefault="00EC0487" w:rsidP="00EC0487"/>
    <w:p w14:paraId="7F3AC6A3" w14:textId="641D5010" w:rsidR="00EC0487" w:rsidRPr="00EC0487" w:rsidRDefault="00EC0487" w:rsidP="00EC0487">
      <w:pPr>
        <w:pStyle w:val="heading1"/>
      </w:pPr>
      <w:r>
        <w:t>Optimised Visualisatio</w:t>
      </w:r>
      <w:r w:rsidR="00A81725">
        <w:t>n</w:t>
      </w:r>
    </w:p>
    <w:p w14:paraId="734DB246" w14:textId="77777777" w:rsidR="00A76B88" w:rsidRDefault="00BA1485" w:rsidP="00BA1485">
      <w:pPr>
        <w:ind w:firstLine="0"/>
      </w:pPr>
      <w:r>
        <w:t xml:space="preserve">For the optimised visualisation the relationship between the </w:t>
      </w:r>
      <w:r w:rsidRPr="004F789A">
        <w:t>Participants Age Band vs Participants Score for Part A</w:t>
      </w:r>
      <w:r>
        <w:t>. Initially a box plot was used to display this relationship (see Fig. 2). Whilst the box plot is an effective visualisation choice for showing the average score of the participants for each age group and to highlight outliers, showing the relationship as a bar chart is more efficient</w:t>
      </w:r>
      <w:r w:rsidR="000626CA">
        <w:t xml:space="preserve"> (see Fig. 6)</w:t>
      </w:r>
      <w:r>
        <w:t xml:space="preserve">. </w:t>
      </w:r>
    </w:p>
    <w:p w14:paraId="06BD2DDB" w14:textId="5F0BF949" w:rsidR="00A76B88" w:rsidRDefault="00A76B88" w:rsidP="00A76B88">
      <w:r>
        <w:t>The gestalt principle, the law of continuation</w:t>
      </w:r>
      <w:r w:rsidR="001621D9">
        <w:t>,</w:t>
      </w:r>
      <w:r>
        <w:t xml:space="preserve"> asserts that the human eye can determine relationships by following lines or a sequence of shapes</w:t>
      </w:r>
      <w:r>
        <w:t xml:space="preserve"> [8]. Therefore, by using a bar chart</w:t>
      </w:r>
      <w:r w:rsidR="00871FA4">
        <w:t xml:space="preserve"> it makes the chart simpler to read as the reader can now see the trend, that as the age of the participant increases, so does the participants score. </w:t>
      </w:r>
      <w:r w:rsidR="00871FA4" w:rsidRPr="000F78E4">
        <w:t xml:space="preserve">Additionally, since a bar chart </w:t>
      </w:r>
      <w:r w:rsidR="001B5AE0" w:rsidRPr="000F78E4">
        <w:t>cannot</w:t>
      </w:r>
      <w:r w:rsidR="000F78E4" w:rsidRPr="000F78E4">
        <w:t xml:space="preserve"> show</w:t>
      </w:r>
      <w:r w:rsidR="00871FA4" w:rsidRPr="000F78E4">
        <w:t xml:space="preserve"> a negative outlier, there is no need to remove the outliers or split the graph by gender.</w:t>
      </w:r>
    </w:p>
    <w:p w14:paraId="33EAF9B5" w14:textId="3900978E" w:rsidR="00BA1485" w:rsidRDefault="00935576" w:rsidP="00A76B88">
      <w:r>
        <w:t>Additionally, retinal variables</w:t>
      </w:r>
      <w:r w:rsidR="00125CEB">
        <w:t>,</w:t>
      </w:r>
      <w:r>
        <w:t xml:space="preserve"> </w:t>
      </w:r>
      <w:r w:rsidR="00125CEB">
        <w:t xml:space="preserve">proposed by Jacques Bertin, </w:t>
      </w:r>
      <w:r>
        <w:t>are an important to consider when developing a graph</w:t>
      </w:r>
      <w:r w:rsidR="001621D9">
        <w:t xml:space="preserve"> </w:t>
      </w:r>
      <w:r w:rsidR="00BB5AAD">
        <w:t>[9]</w:t>
      </w:r>
      <w:r>
        <w:t>. For instance, the size of the bars on the bar chart</w:t>
      </w:r>
      <w:r w:rsidR="00A21088">
        <w:t xml:space="preserve"> highlights how significant the difference is between</w:t>
      </w:r>
      <w:r>
        <w:t xml:space="preserve"> each of the age bands. </w:t>
      </w:r>
      <w:r w:rsidR="00534613">
        <w:t xml:space="preserve">From the chart it can be seen that the </w:t>
      </w:r>
      <w:r w:rsidR="00A21088">
        <w:t>under 16 category</w:t>
      </w:r>
      <w:r w:rsidR="00534613">
        <w:t>, when</w:t>
      </w:r>
      <w:r w:rsidR="00A21088">
        <w:t xml:space="preserve"> compared with the young adult, middle-aged and older-adult are all nearly three times the number than the under 16.</w:t>
      </w:r>
      <w:r w:rsidR="00AB6D03">
        <w:t xml:space="preserve"> Additionally, by having different colours for each of the bars it indicates that each of the bars are for different age bands.</w:t>
      </w:r>
    </w:p>
    <w:p w14:paraId="15BBFA0F" w14:textId="5DF16562" w:rsidR="00404E69" w:rsidRDefault="00404E69" w:rsidP="006C2303">
      <w:pPr>
        <w:pStyle w:val="heading1"/>
        <w:numPr>
          <w:ilvl w:val="0"/>
          <w:numId w:val="0"/>
        </w:numPr>
      </w:pPr>
      <w:r>
        <w:lastRenderedPageBreak/>
        <w:t>Appendices</w:t>
      </w:r>
    </w:p>
    <w:p w14:paraId="677384CA" w14:textId="3E78943B" w:rsidR="00EB3294" w:rsidRPr="00EE1BBB" w:rsidRDefault="00EB3294" w:rsidP="00EB3294">
      <w:pPr>
        <w:spacing w:before="360"/>
        <w:ind w:left="227" w:hanging="227"/>
      </w:pPr>
    </w:p>
    <w:p w14:paraId="3A09247D" w14:textId="7F88769A" w:rsidR="0010641B" w:rsidRPr="00BB02D9" w:rsidRDefault="002A6655" w:rsidP="00BB02D9">
      <w:r>
        <w:rPr>
          <w:noProof/>
        </w:rPr>
        <w:drawing>
          <wp:inline distT="0" distB="0" distL="0" distR="0" wp14:anchorId="313AF11A" wp14:editId="3D8CFCE0">
            <wp:extent cx="4392930" cy="2788920"/>
            <wp:effectExtent l="0" t="0" r="7620" b="0"/>
            <wp:docPr id="6" name="Picture 6"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TestBParticipantAge.png"/>
                    <pic:cNvPicPr/>
                  </pic:nvPicPr>
                  <pic:blipFill>
                    <a:blip r:embed="rId9">
                      <a:extLst>
                        <a:ext uri="{28A0092B-C50C-407E-A947-70E740481C1C}">
                          <a14:useLocalDpi xmlns:a14="http://schemas.microsoft.com/office/drawing/2010/main" val="0"/>
                        </a:ext>
                      </a:extLst>
                    </a:blip>
                    <a:stretch>
                      <a:fillRect/>
                    </a:stretch>
                  </pic:blipFill>
                  <pic:spPr>
                    <a:xfrm>
                      <a:off x="0" y="0"/>
                      <a:ext cx="4392930" cy="2788920"/>
                    </a:xfrm>
                    <a:prstGeom prst="rect">
                      <a:avLst/>
                    </a:prstGeom>
                  </pic:spPr>
                </pic:pic>
              </a:graphicData>
            </a:graphic>
          </wp:inline>
        </w:drawing>
      </w:r>
    </w:p>
    <w:p w14:paraId="01F1AA3F" w14:textId="08C6797F" w:rsidR="006D1994" w:rsidRDefault="00C201DF" w:rsidP="00675E93">
      <w:pPr>
        <w:pStyle w:val="figurecaption"/>
        <w:tabs>
          <w:tab w:val="left" w:pos="4776"/>
        </w:tabs>
        <w:jc w:val="both"/>
      </w:pPr>
      <w:r>
        <w:rPr>
          <w:b/>
        </w:rPr>
        <w:t xml:space="preserve">Fig. </w:t>
      </w:r>
      <w:r w:rsidR="006D1994">
        <w:rPr>
          <w:b/>
        </w:rPr>
        <w:t>1</w:t>
      </w:r>
      <w:r>
        <w:rPr>
          <w:b/>
        </w:rPr>
        <w:t xml:space="preserve">. </w:t>
      </w:r>
      <w:r>
        <w:t xml:space="preserve"> </w:t>
      </w:r>
      <w:r w:rsidR="006D1994">
        <w:t>Participant Score for Test B vs Age</w:t>
      </w:r>
      <w:r w:rsidR="00675E93">
        <w:t xml:space="preserve"> of Participan</w:t>
      </w:r>
      <w:r w:rsidR="00ED758B">
        <w:t>t</w:t>
      </w:r>
      <w:r w:rsidR="0028078B">
        <w:t>.</w:t>
      </w:r>
      <w:bookmarkStart w:id="0" w:name="_GoBack"/>
      <w:bookmarkEnd w:id="0"/>
    </w:p>
    <w:p w14:paraId="7F840004" w14:textId="7C966487" w:rsidR="0030636B" w:rsidRDefault="00E75354" w:rsidP="0030636B">
      <w:pPr>
        <w:rPr>
          <w:noProof/>
        </w:rPr>
      </w:pPr>
      <w:r>
        <w:rPr>
          <w:noProof/>
        </w:rPr>
        <w:drawing>
          <wp:inline distT="0" distB="0" distL="0" distR="0" wp14:anchorId="309B923E" wp14:editId="0E69AEC8">
            <wp:extent cx="4480560" cy="2514600"/>
            <wp:effectExtent l="0" t="0" r="0" b="0"/>
            <wp:docPr id="5" name="Picture 5" descr="A screenshot of a video g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estAAgeBand.png"/>
                    <pic:cNvPicPr/>
                  </pic:nvPicPr>
                  <pic:blipFill>
                    <a:blip r:embed="rId10">
                      <a:extLst>
                        <a:ext uri="{28A0092B-C50C-407E-A947-70E740481C1C}">
                          <a14:useLocalDpi xmlns:a14="http://schemas.microsoft.com/office/drawing/2010/main" val="0"/>
                        </a:ext>
                      </a:extLst>
                    </a:blip>
                    <a:stretch>
                      <a:fillRect/>
                    </a:stretch>
                  </pic:blipFill>
                  <pic:spPr>
                    <a:xfrm>
                      <a:off x="0" y="0"/>
                      <a:ext cx="4480560" cy="2514600"/>
                    </a:xfrm>
                    <a:prstGeom prst="rect">
                      <a:avLst/>
                    </a:prstGeom>
                  </pic:spPr>
                </pic:pic>
              </a:graphicData>
            </a:graphic>
          </wp:inline>
        </w:drawing>
      </w:r>
    </w:p>
    <w:p w14:paraId="68811E2F" w14:textId="77581264" w:rsidR="0030636B" w:rsidRPr="0030636B" w:rsidRDefault="0030636B" w:rsidP="00F76855">
      <w:pPr>
        <w:pStyle w:val="figurecaption"/>
        <w:jc w:val="both"/>
      </w:pPr>
      <w:r>
        <w:rPr>
          <w:b/>
        </w:rPr>
        <w:t xml:space="preserve">Fig. 2. </w:t>
      </w:r>
      <w:r>
        <w:t xml:space="preserve"> Participant Score for Test A</w:t>
      </w:r>
      <w:r w:rsidR="00A372CA">
        <w:t xml:space="preserve"> vs Participant Age Band, </w:t>
      </w:r>
      <w:r w:rsidR="007A5C51">
        <w:t>separated</w:t>
      </w:r>
      <w:r w:rsidR="00A372CA">
        <w:t xml:space="preserve"> by </w:t>
      </w:r>
      <w:r w:rsidR="007A5C51">
        <w:t>Gender</w:t>
      </w:r>
      <w:r w:rsidR="0028078B">
        <w:t>.</w:t>
      </w:r>
    </w:p>
    <w:p w14:paraId="2DD55784" w14:textId="09D83FB2" w:rsidR="002124F3" w:rsidRDefault="007F1C5C" w:rsidP="006D1994">
      <w:r>
        <w:rPr>
          <w:noProof/>
        </w:rPr>
        <w:lastRenderedPageBreak/>
        <w:drawing>
          <wp:inline distT="0" distB="0" distL="0" distR="0" wp14:anchorId="1FCF187E" wp14:editId="310A3F46">
            <wp:extent cx="4841326" cy="2735580"/>
            <wp:effectExtent l="0" t="0" r="0" b="7620"/>
            <wp:docPr id="48" name="Picture 48"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CompletionTimeAgeBand.png"/>
                    <pic:cNvPicPr/>
                  </pic:nvPicPr>
                  <pic:blipFill>
                    <a:blip r:embed="rId11">
                      <a:extLst>
                        <a:ext uri="{28A0092B-C50C-407E-A947-70E740481C1C}">
                          <a14:useLocalDpi xmlns:a14="http://schemas.microsoft.com/office/drawing/2010/main" val="0"/>
                        </a:ext>
                      </a:extLst>
                    </a:blip>
                    <a:stretch>
                      <a:fillRect/>
                    </a:stretch>
                  </pic:blipFill>
                  <pic:spPr>
                    <a:xfrm>
                      <a:off x="0" y="0"/>
                      <a:ext cx="4853700" cy="2742572"/>
                    </a:xfrm>
                    <a:prstGeom prst="rect">
                      <a:avLst/>
                    </a:prstGeom>
                  </pic:spPr>
                </pic:pic>
              </a:graphicData>
            </a:graphic>
          </wp:inline>
        </w:drawing>
      </w:r>
    </w:p>
    <w:p w14:paraId="2F1CF2A7" w14:textId="71CD9849" w:rsidR="006D1994" w:rsidRDefault="006D1994" w:rsidP="006D1994">
      <w:pPr>
        <w:pStyle w:val="figurecaption"/>
        <w:jc w:val="both"/>
      </w:pPr>
      <w:r>
        <w:rPr>
          <w:b/>
        </w:rPr>
        <w:t xml:space="preserve">Fig. </w:t>
      </w:r>
      <w:r w:rsidR="009158F8">
        <w:rPr>
          <w:b/>
        </w:rPr>
        <w:t>3</w:t>
      </w:r>
      <w:r>
        <w:rPr>
          <w:b/>
        </w:rPr>
        <w:t>.</w:t>
      </w:r>
      <w:r>
        <w:t xml:space="preserve"> Completion Time for each Participant</w:t>
      </w:r>
      <w:r w:rsidR="00841874">
        <w:t xml:space="preserve"> vs</w:t>
      </w:r>
      <w:r>
        <w:t xml:space="preserve"> their Age Band</w:t>
      </w:r>
      <w:r w:rsidR="00841874">
        <w:t>, separated by</w:t>
      </w:r>
      <w:r>
        <w:t xml:space="preserve"> Gende</w:t>
      </w:r>
      <w:r w:rsidR="00841874">
        <w:t>r</w:t>
      </w:r>
      <w:r w:rsidR="0028078B">
        <w:t>.</w:t>
      </w:r>
    </w:p>
    <w:p w14:paraId="10254C6D" w14:textId="77777777" w:rsidR="006D1994" w:rsidRPr="006D1994" w:rsidRDefault="006D1994" w:rsidP="006D1994"/>
    <w:p w14:paraId="345D5089" w14:textId="59ABEC16" w:rsidR="00AA7B81" w:rsidRDefault="00AA7B81" w:rsidP="00236F3B">
      <w:pPr>
        <w:ind w:firstLine="0"/>
      </w:pPr>
    </w:p>
    <w:p w14:paraId="7FD862DE" w14:textId="6CCE892F" w:rsidR="00AD663E" w:rsidRDefault="007F1C5C" w:rsidP="00236F3B">
      <w:pPr>
        <w:ind w:firstLine="0"/>
      </w:pPr>
      <w:r>
        <w:rPr>
          <w:noProof/>
        </w:rPr>
        <w:drawing>
          <wp:inline distT="0" distB="0" distL="0" distR="0" wp14:anchorId="4A71C1E4" wp14:editId="167DA9C6">
            <wp:extent cx="4985521" cy="2689860"/>
            <wp:effectExtent l="0" t="0" r="5715" b="0"/>
            <wp:docPr id="47" name="Picture 4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TestCAgeBand.png"/>
                    <pic:cNvPicPr/>
                  </pic:nvPicPr>
                  <pic:blipFill>
                    <a:blip r:embed="rId12">
                      <a:extLst>
                        <a:ext uri="{28A0092B-C50C-407E-A947-70E740481C1C}">
                          <a14:useLocalDpi xmlns:a14="http://schemas.microsoft.com/office/drawing/2010/main" val="0"/>
                        </a:ext>
                      </a:extLst>
                    </a:blip>
                    <a:stretch>
                      <a:fillRect/>
                    </a:stretch>
                  </pic:blipFill>
                  <pic:spPr>
                    <a:xfrm>
                      <a:off x="0" y="0"/>
                      <a:ext cx="5038289" cy="2718330"/>
                    </a:xfrm>
                    <a:prstGeom prst="rect">
                      <a:avLst/>
                    </a:prstGeom>
                  </pic:spPr>
                </pic:pic>
              </a:graphicData>
            </a:graphic>
          </wp:inline>
        </w:drawing>
      </w:r>
    </w:p>
    <w:p w14:paraId="3714191F" w14:textId="1914886A" w:rsidR="00AD663E" w:rsidRDefault="00AD663E" w:rsidP="00236F3B">
      <w:pPr>
        <w:ind w:firstLine="0"/>
      </w:pPr>
    </w:p>
    <w:p w14:paraId="7EE6DA84" w14:textId="20FBAAA1" w:rsidR="00A82041" w:rsidRDefault="00F4400E" w:rsidP="00744A15">
      <w:pPr>
        <w:pStyle w:val="figurecaption"/>
        <w:jc w:val="both"/>
      </w:pPr>
      <w:r>
        <w:rPr>
          <w:b/>
        </w:rPr>
        <w:t xml:space="preserve">Fig. </w:t>
      </w:r>
      <w:r w:rsidR="00E149AD">
        <w:rPr>
          <w:b/>
        </w:rPr>
        <w:t>4</w:t>
      </w:r>
      <w:r>
        <w:rPr>
          <w:b/>
        </w:rPr>
        <w:t xml:space="preserve">. </w:t>
      </w:r>
      <w:r>
        <w:t xml:space="preserve"> Participants Score for Test C </w:t>
      </w:r>
      <w:r w:rsidR="00830A39">
        <w:t>vs</w:t>
      </w:r>
      <w:r>
        <w:t xml:space="preserve"> the Participants Age, separated by Location</w:t>
      </w:r>
      <w:r w:rsidR="0028078B">
        <w:t>.</w:t>
      </w:r>
    </w:p>
    <w:p w14:paraId="649D1A69" w14:textId="7A0B0A61" w:rsidR="0073655E" w:rsidRDefault="0073655E" w:rsidP="0073655E"/>
    <w:p w14:paraId="149A1C15" w14:textId="77341A62" w:rsidR="0073655E" w:rsidRDefault="0073655E" w:rsidP="0073655E"/>
    <w:p w14:paraId="24E509C1" w14:textId="01B3F72D" w:rsidR="0073655E" w:rsidRDefault="0073655E" w:rsidP="0073655E"/>
    <w:p w14:paraId="701E2674" w14:textId="4FB61752" w:rsidR="0073655E" w:rsidRDefault="0073655E" w:rsidP="0073655E"/>
    <w:p w14:paraId="17A973D7" w14:textId="507A19B8" w:rsidR="0073655E" w:rsidRDefault="005D52C6" w:rsidP="0073655E">
      <w:r>
        <w:rPr>
          <w:noProof/>
        </w:rPr>
        <w:drawing>
          <wp:inline distT="0" distB="0" distL="0" distR="0" wp14:anchorId="77397804" wp14:editId="20E617BA">
            <wp:extent cx="4000500" cy="2893804"/>
            <wp:effectExtent l="0" t="0" r="0" b="1905"/>
            <wp:docPr id="1" name="Picture 1" descr="A screenshot of a social media pos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CompletionTimeTestB.png"/>
                    <pic:cNvPicPr/>
                  </pic:nvPicPr>
                  <pic:blipFill>
                    <a:blip r:embed="rId13">
                      <a:extLst>
                        <a:ext uri="{28A0092B-C50C-407E-A947-70E740481C1C}">
                          <a14:useLocalDpi xmlns:a14="http://schemas.microsoft.com/office/drawing/2010/main" val="0"/>
                        </a:ext>
                      </a:extLst>
                    </a:blip>
                    <a:stretch>
                      <a:fillRect/>
                    </a:stretch>
                  </pic:blipFill>
                  <pic:spPr>
                    <a:xfrm>
                      <a:off x="0" y="0"/>
                      <a:ext cx="4003351" cy="2895866"/>
                    </a:xfrm>
                    <a:prstGeom prst="rect">
                      <a:avLst/>
                    </a:prstGeom>
                  </pic:spPr>
                </pic:pic>
              </a:graphicData>
            </a:graphic>
          </wp:inline>
        </w:drawing>
      </w:r>
    </w:p>
    <w:p w14:paraId="47305F8C" w14:textId="3E64180E" w:rsidR="0073655E" w:rsidRDefault="0073655E" w:rsidP="0073655E">
      <w:pPr>
        <w:pStyle w:val="figurecaption"/>
        <w:jc w:val="both"/>
      </w:pPr>
      <w:r>
        <w:rPr>
          <w:b/>
        </w:rPr>
        <w:t xml:space="preserve">Fig. </w:t>
      </w:r>
      <w:r w:rsidR="003F1024">
        <w:rPr>
          <w:b/>
        </w:rPr>
        <w:t>5</w:t>
      </w:r>
      <w:r>
        <w:rPr>
          <w:b/>
        </w:rPr>
        <w:t xml:space="preserve">. </w:t>
      </w:r>
      <w:r>
        <w:t xml:space="preserve"> </w:t>
      </w:r>
      <w:r w:rsidR="005D52C6">
        <w:t>Completion Time of All Three Tests vs the Participant Score for Part B (%)</w:t>
      </w:r>
      <w:r w:rsidR="0028078B">
        <w:t>.</w:t>
      </w:r>
    </w:p>
    <w:p w14:paraId="63671D4D" w14:textId="77777777" w:rsidR="0073655E" w:rsidRPr="0073655E" w:rsidRDefault="0073655E" w:rsidP="005D52C6">
      <w:pPr>
        <w:ind w:firstLine="0"/>
      </w:pPr>
    </w:p>
    <w:p w14:paraId="1AB5C4A9" w14:textId="1AB1BB20" w:rsidR="00A82041" w:rsidRDefault="00BB44B7" w:rsidP="00A82041">
      <w:pPr>
        <w:pStyle w:val="figurecaption"/>
        <w:jc w:val="both"/>
      </w:pPr>
      <w:r>
        <w:rPr>
          <w:noProof/>
        </w:rPr>
        <w:drawing>
          <wp:inline distT="0" distB="0" distL="0" distR="0" wp14:anchorId="2F647DD6" wp14:editId="2F2785D1">
            <wp:extent cx="4392930" cy="2682240"/>
            <wp:effectExtent l="0" t="0" r="7620" b="3810"/>
            <wp:docPr id="7" name="Picture 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TestAAgeBand.png"/>
                    <pic:cNvPicPr/>
                  </pic:nvPicPr>
                  <pic:blipFill>
                    <a:blip r:embed="rId14">
                      <a:extLst>
                        <a:ext uri="{28A0092B-C50C-407E-A947-70E740481C1C}">
                          <a14:useLocalDpi xmlns:a14="http://schemas.microsoft.com/office/drawing/2010/main" val="0"/>
                        </a:ext>
                      </a:extLst>
                    </a:blip>
                    <a:stretch>
                      <a:fillRect/>
                    </a:stretch>
                  </pic:blipFill>
                  <pic:spPr>
                    <a:xfrm>
                      <a:off x="0" y="0"/>
                      <a:ext cx="4392930" cy="2682240"/>
                    </a:xfrm>
                    <a:prstGeom prst="rect">
                      <a:avLst/>
                    </a:prstGeom>
                  </pic:spPr>
                </pic:pic>
              </a:graphicData>
            </a:graphic>
          </wp:inline>
        </w:drawing>
      </w:r>
    </w:p>
    <w:p w14:paraId="15F0A171" w14:textId="12BED7A9" w:rsidR="00EE551E" w:rsidRDefault="00EE551E" w:rsidP="00EE551E">
      <w:pPr>
        <w:pStyle w:val="figurecaption"/>
        <w:jc w:val="both"/>
      </w:pPr>
      <w:r>
        <w:rPr>
          <w:b/>
        </w:rPr>
        <w:t xml:space="preserve">Fig. 6. </w:t>
      </w:r>
      <w:r>
        <w:t xml:space="preserve"> Fully </w:t>
      </w:r>
      <w:r w:rsidR="00EB2FCF">
        <w:t xml:space="preserve">Visualised </w:t>
      </w:r>
      <w:r>
        <w:t>Bar Chart of Participant Score for Part A vs Participant Age Ban</w:t>
      </w:r>
      <w:r w:rsidR="00BB44B7">
        <w:t>d</w:t>
      </w:r>
      <w:r w:rsidR="003A5D46">
        <w:t xml:space="preserve"> </w:t>
      </w:r>
      <w:r w:rsidR="00D0074B">
        <w:t>(%)</w:t>
      </w:r>
      <w:r w:rsidR="0028078B">
        <w:t>.</w:t>
      </w:r>
    </w:p>
    <w:p w14:paraId="1E1915CD" w14:textId="235BCCCA" w:rsidR="00041F3B" w:rsidRDefault="009B2539" w:rsidP="006D32DA">
      <w:pPr>
        <w:pStyle w:val="heading1"/>
        <w:numPr>
          <w:ilvl w:val="0"/>
          <w:numId w:val="0"/>
        </w:numPr>
      </w:pPr>
      <w:r>
        <w:lastRenderedPageBreak/>
        <w:t>References</w:t>
      </w:r>
    </w:p>
    <w:p w14:paraId="3D9591BE" w14:textId="77777777" w:rsidR="00041F3B" w:rsidRPr="00041F3B" w:rsidRDefault="00041F3B" w:rsidP="00041F3B"/>
    <w:p w14:paraId="34EAA0A2" w14:textId="50171464" w:rsidR="00041F3B" w:rsidRDefault="00041F3B" w:rsidP="00041F3B">
      <w:pPr>
        <w:pStyle w:val="referenceitem"/>
      </w:pPr>
      <w:r w:rsidRPr="00041F3B">
        <w:t>Wickham</w:t>
      </w:r>
      <w:r w:rsidR="00A20DFA">
        <w:t>,</w:t>
      </w:r>
      <w:r w:rsidRPr="00041F3B">
        <w:t xml:space="preserve"> H. Getting Started with ggplot2. In: ggplot2. Use R!. Springer, Cham</w:t>
      </w:r>
      <w:r>
        <w:t xml:space="preserve"> </w:t>
      </w:r>
      <w:r w:rsidRPr="00041F3B">
        <w:t>(2016)</w:t>
      </w:r>
      <w:r>
        <w:t>.</w:t>
      </w:r>
    </w:p>
    <w:p w14:paraId="66CA043F" w14:textId="2FA40161" w:rsidR="00041F3B" w:rsidRDefault="00880AAA" w:rsidP="00221755">
      <w:pPr>
        <w:pStyle w:val="referenceitem"/>
      </w:pPr>
      <w:r w:rsidRPr="00880AAA">
        <w:t>Seeing Data, http://seeingdata.org/developing-visualisation-literacy/key-terms-in-visualisation/, last accessed 2019/10/23</w:t>
      </w:r>
    </w:p>
    <w:p w14:paraId="017F8397" w14:textId="77777777" w:rsidR="00B83245" w:rsidRPr="00606587" w:rsidRDefault="00B83245" w:rsidP="00B83245">
      <w:pPr>
        <w:pStyle w:val="referenceitem"/>
      </w:pPr>
      <w:r>
        <w:t xml:space="preserve">RStudio. Data Visualisation with GGplot2, </w:t>
      </w:r>
      <w:hyperlink r:id="rId15" w:history="1">
        <w:r w:rsidRPr="006F0923">
          <w:rPr>
            <w:rStyle w:val="Hyperlink"/>
          </w:rPr>
          <w:t>https://rstudio.com/wp-content/uploads/2015/03/ggplot2-cheatsheet.pdf</w:t>
        </w:r>
      </w:hyperlink>
      <w:r>
        <w:t xml:space="preserve">, last access </w:t>
      </w:r>
      <w:r w:rsidRPr="00880AAA">
        <w:t>2019/10/23</w:t>
      </w:r>
    </w:p>
    <w:p w14:paraId="1EFE0947" w14:textId="72655B28" w:rsidR="00D47C18" w:rsidRPr="00606587" w:rsidRDefault="00D47C18" w:rsidP="00D47C18">
      <w:pPr>
        <w:pStyle w:val="referenceitem"/>
      </w:pPr>
      <w:r>
        <w:t xml:space="preserve">Engineering Statistics Handbook. What are outliers in the data?, </w:t>
      </w:r>
      <w:r w:rsidRPr="00D47C18">
        <w:t>https://www.itl.nist.gov/div898/handbook/prc/section1/prc16.htm</w:t>
      </w:r>
      <w:r>
        <w:t>, last access</w:t>
      </w:r>
      <w:r w:rsidR="00FC47D5">
        <w:t>ed</w:t>
      </w:r>
      <w:r>
        <w:t xml:space="preserve"> </w:t>
      </w:r>
      <w:r w:rsidRPr="00880AAA">
        <w:t>2019/10/23</w:t>
      </w:r>
    </w:p>
    <w:p w14:paraId="4AE3C510" w14:textId="77777777" w:rsidR="00FC47D5" w:rsidRPr="00606587" w:rsidRDefault="00FC47D5" w:rsidP="00FC47D5">
      <w:pPr>
        <w:pStyle w:val="referenceitem"/>
      </w:pPr>
      <w:r>
        <w:t xml:space="preserve">Khan Academy. Scatterplots and Correlation Review, </w:t>
      </w:r>
      <w:hyperlink r:id="rId16" w:history="1">
        <w:r w:rsidRPr="006F0923">
          <w:rPr>
            <w:rStyle w:val="Hyperlink"/>
          </w:rPr>
          <w:t>https://www.khanacademy.org/math/statistics-probability/describing-relationships-quantitative-data/introduction-to-scatterplots/a/scatterplots-and-correlation-review</w:t>
        </w:r>
      </w:hyperlink>
      <w:r>
        <w:t xml:space="preserve">, last accessed </w:t>
      </w:r>
      <w:r w:rsidRPr="00880AAA">
        <w:t>2019/10/23</w:t>
      </w:r>
    </w:p>
    <w:p w14:paraId="1ACEDF15" w14:textId="77777777" w:rsidR="00EE3E0B" w:rsidRDefault="00EE3E0B" w:rsidP="00EE3E0B">
      <w:pPr>
        <w:pStyle w:val="referenceitem"/>
      </w:pPr>
      <w:r>
        <w:t xml:space="preserve">Understanding Boxplots, </w:t>
      </w:r>
      <w:hyperlink r:id="rId17" w:history="1">
        <w:r w:rsidRPr="006F0923">
          <w:rPr>
            <w:rStyle w:val="Hyperlink"/>
          </w:rPr>
          <w:t>https://towardsdatascience.com/understanding-boxplots-5e2df7bcbd51</w:t>
        </w:r>
      </w:hyperlink>
      <w:r>
        <w:t>, last accessed 2019/11/21.</w:t>
      </w:r>
    </w:p>
    <w:p w14:paraId="1B9CFFE5" w14:textId="1F01C1EA" w:rsidR="00041F3B" w:rsidRDefault="00A20DFA" w:rsidP="00221755">
      <w:pPr>
        <w:pStyle w:val="referenceitem"/>
      </w:pPr>
      <w:r>
        <w:t xml:space="preserve">Kyu Kwak, S., Hae Kim, J: </w:t>
      </w:r>
      <w:r w:rsidRPr="00A20DFA">
        <w:t>Statistical data preparation: management of missing values and outliers</w:t>
      </w:r>
      <w:r>
        <w:t xml:space="preserve">, </w:t>
      </w:r>
      <w:r w:rsidRPr="00A20DFA">
        <w:t>https://www.ncbi.nlm.nih.gov/pmc/articles/PMC5548942/</w:t>
      </w:r>
      <w:r>
        <w:t>, last accessed, 2019/10/31</w:t>
      </w:r>
    </w:p>
    <w:p w14:paraId="4D711BC2" w14:textId="6D5AAF69" w:rsidR="00041F3B" w:rsidRDefault="00E57B65" w:rsidP="00221755">
      <w:pPr>
        <w:pStyle w:val="referenceitem"/>
      </w:pPr>
      <w:r>
        <w:t xml:space="preserve">Soegaard, M. </w:t>
      </w:r>
      <w:r w:rsidRPr="00E57B65">
        <w:t>Laws of Proximity, Uniform Connectedness, and Continuation – Gestalt Principles</w:t>
      </w:r>
      <w:r>
        <w:t xml:space="preserve">, </w:t>
      </w:r>
      <w:r w:rsidRPr="00E57B65">
        <w:t>Laws of Proximity, Uniform Connectedness, and Continuation – Gestalt Principles</w:t>
      </w:r>
    </w:p>
    <w:p w14:paraId="26DC5B4E" w14:textId="6CDFC4C5" w:rsidR="00041F3B" w:rsidRDefault="00BB5AAD" w:rsidP="00221755">
      <w:pPr>
        <w:pStyle w:val="referenceitem"/>
      </w:pPr>
      <w:r>
        <w:t xml:space="preserve">Visual Variables, </w:t>
      </w:r>
      <w:hyperlink r:id="rId18" w:history="1">
        <w:r w:rsidRPr="00463810">
          <w:rPr>
            <w:rStyle w:val="Hyperlink"/>
          </w:rPr>
          <w:t>https://www.axismaps.com/guide/general/visual-variables/</w:t>
        </w:r>
      </w:hyperlink>
      <w:r>
        <w:t>, last accessed 2019/10/31</w:t>
      </w:r>
    </w:p>
    <w:p w14:paraId="2CDA79F9" w14:textId="0DD9F25A" w:rsidR="00041F3B" w:rsidRDefault="00041F3B" w:rsidP="00041F3B">
      <w:pPr>
        <w:pStyle w:val="referenceitem"/>
        <w:numPr>
          <w:ilvl w:val="0"/>
          <w:numId w:val="0"/>
        </w:numPr>
      </w:pPr>
    </w:p>
    <w:p w14:paraId="0EA9197C" w14:textId="08436731" w:rsidR="00102144" w:rsidRDefault="00102144" w:rsidP="00491320">
      <w:pPr>
        <w:pStyle w:val="referenceitem"/>
        <w:numPr>
          <w:ilvl w:val="0"/>
          <w:numId w:val="0"/>
        </w:numPr>
      </w:pPr>
    </w:p>
    <w:p w14:paraId="0F03A8FE" w14:textId="1A76DE42" w:rsidR="00102144" w:rsidRDefault="00102144" w:rsidP="00B83245">
      <w:pPr>
        <w:pStyle w:val="referenceitem"/>
        <w:numPr>
          <w:ilvl w:val="0"/>
          <w:numId w:val="0"/>
        </w:numPr>
      </w:pPr>
    </w:p>
    <w:p w14:paraId="5D39567A" w14:textId="5404AB4A" w:rsidR="00102144" w:rsidRDefault="00102144" w:rsidP="00B83245">
      <w:pPr>
        <w:pStyle w:val="referenceitem"/>
        <w:numPr>
          <w:ilvl w:val="0"/>
          <w:numId w:val="0"/>
        </w:numPr>
      </w:pPr>
    </w:p>
    <w:p w14:paraId="4B695C28" w14:textId="24013A56" w:rsidR="004F0050" w:rsidRDefault="004F0050" w:rsidP="00B83245">
      <w:pPr>
        <w:pStyle w:val="referenceitem"/>
        <w:numPr>
          <w:ilvl w:val="0"/>
          <w:numId w:val="0"/>
        </w:numPr>
      </w:pPr>
    </w:p>
    <w:p w14:paraId="5E27AA84" w14:textId="354E1107" w:rsidR="004F0050" w:rsidRPr="00606587" w:rsidRDefault="004F0050" w:rsidP="00B83245">
      <w:pPr>
        <w:pStyle w:val="referenceitem"/>
        <w:numPr>
          <w:ilvl w:val="0"/>
          <w:numId w:val="0"/>
        </w:numPr>
      </w:pPr>
    </w:p>
    <w:sectPr w:rsidR="004F0050" w:rsidRPr="00606587"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6049BED" w14:textId="77777777" w:rsidR="00813977" w:rsidRDefault="00813977">
      <w:r>
        <w:separator/>
      </w:r>
    </w:p>
  </w:endnote>
  <w:endnote w:type="continuationSeparator" w:id="0">
    <w:p w14:paraId="77F7916B" w14:textId="77777777" w:rsidR="00813977" w:rsidRDefault="008139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82A7199" w14:textId="77777777" w:rsidR="00813977" w:rsidRDefault="00813977" w:rsidP="009F7FCE">
      <w:pPr>
        <w:ind w:firstLine="0"/>
      </w:pPr>
      <w:r>
        <w:separator/>
      </w:r>
    </w:p>
  </w:footnote>
  <w:footnote w:type="continuationSeparator" w:id="0">
    <w:p w14:paraId="24F89E50" w14:textId="77777777" w:rsidR="00813977" w:rsidRDefault="0081397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4162A3" w:rsidRDefault="004162A3"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4162A3" w:rsidRDefault="004162A3"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7256BD"/>
    <w:multiLevelType w:val="hybridMultilevel"/>
    <w:tmpl w:val="3D6257D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271103F"/>
    <w:multiLevelType w:val="hybridMultilevel"/>
    <w:tmpl w:val="D5385F64"/>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3" w15:restartNumberingAfterBreak="0">
    <w:nsid w:val="5CFD251B"/>
    <w:multiLevelType w:val="hybridMultilevel"/>
    <w:tmpl w:val="D9D8F3E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3"/>
  </w:num>
  <w:num w:numId="11">
    <w:abstractNumId w:val="0"/>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017EC"/>
    <w:rsid w:val="00015674"/>
    <w:rsid w:val="00023F7D"/>
    <w:rsid w:val="00025940"/>
    <w:rsid w:val="000321EF"/>
    <w:rsid w:val="00041F3B"/>
    <w:rsid w:val="000441CD"/>
    <w:rsid w:val="00055F4C"/>
    <w:rsid w:val="000626CA"/>
    <w:rsid w:val="00087B4E"/>
    <w:rsid w:val="00096520"/>
    <w:rsid w:val="000A34C3"/>
    <w:rsid w:val="000A687F"/>
    <w:rsid w:val="000B0593"/>
    <w:rsid w:val="000B59BE"/>
    <w:rsid w:val="000D77CB"/>
    <w:rsid w:val="000E12CC"/>
    <w:rsid w:val="000F78E4"/>
    <w:rsid w:val="00102144"/>
    <w:rsid w:val="0010641B"/>
    <w:rsid w:val="00125CEB"/>
    <w:rsid w:val="0014237A"/>
    <w:rsid w:val="00154F98"/>
    <w:rsid w:val="0015543A"/>
    <w:rsid w:val="001621D9"/>
    <w:rsid w:val="00166FF7"/>
    <w:rsid w:val="00182C36"/>
    <w:rsid w:val="00190A4A"/>
    <w:rsid w:val="001A02F0"/>
    <w:rsid w:val="001A1C15"/>
    <w:rsid w:val="001B5AE0"/>
    <w:rsid w:val="001C3428"/>
    <w:rsid w:val="001D1134"/>
    <w:rsid w:val="001D2571"/>
    <w:rsid w:val="001D7616"/>
    <w:rsid w:val="001E36DF"/>
    <w:rsid w:val="002067E2"/>
    <w:rsid w:val="002124F3"/>
    <w:rsid w:val="00221755"/>
    <w:rsid w:val="002239C6"/>
    <w:rsid w:val="00224E74"/>
    <w:rsid w:val="00230527"/>
    <w:rsid w:val="00236F3B"/>
    <w:rsid w:val="00241C09"/>
    <w:rsid w:val="00256525"/>
    <w:rsid w:val="002602A1"/>
    <w:rsid w:val="00270683"/>
    <w:rsid w:val="0028078B"/>
    <w:rsid w:val="00286B71"/>
    <w:rsid w:val="002A6655"/>
    <w:rsid w:val="002B4CA3"/>
    <w:rsid w:val="002B5A6A"/>
    <w:rsid w:val="002D48C5"/>
    <w:rsid w:val="002E5426"/>
    <w:rsid w:val="002F4CB5"/>
    <w:rsid w:val="00304F9D"/>
    <w:rsid w:val="0030636B"/>
    <w:rsid w:val="0032027A"/>
    <w:rsid w:val="00330891"/>
    <w:rsid w:val="003316EA"/>
    <w:rsid w:val="00350FD0"/>
    <w:rsid w:val="00362D6C"/>
    <w:rsid w:val="003A0CB2"/>
    <w:rsid w:val="003A5D46"/>
    <w:rsid w:val="003B7410"/>
    <w:rsid w:val="003E717A"/>
    <w:rsid w:val="003F1024"/>
    <w:rsid w:val="00404E69"/>
    <w:rsid w:val="00413EDD"/>
    <w:rsid w:val="004162A3"/>
    <w:rsid w:val="004165CA"/>
    <w:rsid w:val="00442066"/>
    <w:rsid w:val="00472B83"/>
    <w:rsid w:val="00473A0D"/>
    <w:rsid w:val="00480E97"/>
    <w:rsid w:val="00491320"/>
    <w:rsid w:val="004926F0"/>
    <w:rsid w:val="004E143B"/>
    <w:rsid w:val="004E1C5C"/>
    <w:rsid w:val="004F0050"/>
    <w:rsid w:val="004F6155"/>
    <w:rsid w:val="004F70CF"/>
    <w:rsid w:val="004F789A"/>
    <w:rsid w:val="005137A2"/>
    <w:rsid w:val="0052705B"/>
    <w:rsid w:val="00534613"/>
    <w:rsid w:val="00537605"/>
    <w:rsid w:val="00577495"/>
    <w:rsid w:val="00582947"/>
    <w:rsid w:val="0058657D"/>
    <w:rsid w:val="005A52B4"/>
    <w:rsid w:val="005B553A"/>
    <w:rsid w:val="005D0980"/>
    <w:rsid w:val="005D52C6"/>
    <w:rsid w:val="005F58B2"/>
    <w:rsid w:val="00601240"/>
    <w:rsid w:val="0062105F"/>
    <w:rsid w:val="00632772"/>
    <w:rsid w:val="0064633D"/>
    <w:rsid w:val="006560E3"/>
    <w:rsid w:val="00661C17"/>
    <w:rsid w:val="00661FC9"/>
    <w:rsid w:val="00675E93"/>
    <w:rsid w:val="006A1F6B"/>
    <w:rsid w:val="006C2303"/>
    <w:rsid w:val="006D1994"/>
    <w:rsid w:val="006D32DA"/>
    <w:rsid w:val="006E4516"/>
    <w:rsid w:val="006F0FB4"/>
    <w:rsid w:val="00705805"/>
    <w:rsid w:val="0072217D"/>
    <w:rsid w:val="00734A20"/>
    <w:rsid w:val="0073655E"/>
    <w:rsid w:val="00736ABC"/>
    <w:rsid w:val="007448DC"/>
    <w:rsid w:val="00744A15"/>
    <w:rsid w:val="007527F0"/>
    <w:rsid w:val="007532A3"/>
    <w:rsid w:val="00755833"/>
    <w:rsid w:val="00757E52"/>
    <w:rsid w:val="00767C62"/>
    <w:rsid w:val="007907E5"/>
    <w:rsid w:val="00793F2A"/>
    <w:rsid w:val="007A3517"/>
    <w:rsid w:val="007A5C51"/>
    <w:rsid w:val="007B4B00"/>
    <w:rsid w:val="007C4521"/>
    <w:rsid w:val="007E6423"/>
    <w:rsid w:val="007F1C5C"/>
    <w:rsid w:val="0080319F"/>
    <w:rsid w:val="00813977"/>
    <w:rsid w:val="008149AA"/>
    <w:rsid w:val="00821B7C"/>
    <w:rsid w:val="00830A39"/>
    <w:rsid w:val="00831FD8"/>
    <w:rsid w:val="00841874"/>
    <w:rsid w:val="00846164"/>
    <w:rsid w:val="0084679E"/>
    <w:rsid w:val="008529AF"/>
    <w:rsid w:val="00866789"/>
    <w:rsid w:val="00871FA4"/>
    <w:rsid w:val="00880AAA"/>
    <w:rsid w:val="008A3612"/>
    <w:rsid w:val="008B798A"/>
    <w:rsid w:val="008C0C7A"/>
    <w:rsid w:val="008F2D4C"/>
    <w:rsid w:val="0090459E"/>
    <w:rsid w:val="009158F8"/>
    <w:rsid w:val="0092260F"/>
    <w:rsid w:val="00935576"/>
    <w:rsid w:val="0093626F"/>
    <w:rsid w:val="00946CBF"/>
    <w:rsid w:val="00952899"/>
    <w:rsid w:val="00953680"/>
    <w:rsid w:val="00972322"/>
    <w:rsid w:val="00974C09"/>
    <w:rsid w:val="00981310"/>
    <w:rsid w:val="009930E4"/>
    <w:rsid w:val="0099625C"/>
    <w:rsid w:val="009B2539"/>
    <w:rsid w:val="009D401D"/>
    <w:rsid w:val="009D692D"/>
    <w:rsid w:val="009F402C"/>
    <w:rsid w:val="009F7FCE"/>
    <w:rsid w:val="00A03E97"/>
    <w:rsid w:val="00A20DFA"/>
    <w:rsid w:val="00A21088"/>
    <w:rsid w:val="00A33461"/>
    <w:rsid w:val="00A372CA"/>
    <w:rsid w:val="00A418DE"/>
    <w:rsid w:val="00A5706A"/>
    <w:rsid w:val="00A64A6B"/>
    <w:rsid w:val="00A709CE"/>
    <w:rsid w:val="00A74221"/>
    <w:rsid w:val="00A76B88"/>
    <w:rsid w:val="00A81725"/>
    <w:rsid w:val="00A82041"/>
    <w:rsid w:val="00AA7701"/>
    <w:rsid w:val="00AA7B81"/>
    <w:rsid w:val="00AB6D03"/>
    <w:rsid w:val="00AD663E"/>
    <w:rsid w:val="00AE5D70"/>
    <w:rsid w:val="00AF19E4"/>
    <w:rsid w:val="00AF4CA4"/>
    <w:rsid w:val="00B0573B"/>
    <w:rsid w:val="00B23481"/>
    <w:rsid w:val="00B24D50"/>
    <w:rsid w:val="00B40BAD"/>
    <w:rsid w:val="00B46629"/>
    <w:rsid w:val="00B50CD0"/>
    <w:rsid w:val="00B510FF"/>
    <w:rsid w:val="00B640EB"/>
    <w:rsid w:val="00B70161"/>
    <w:rsid w:val="00B70E1F"/>
    <w:rsid w:val="00B74E50"/>
    <w:rsid w:val="00B83245"/>
    <w:rsid w:val="00B86B8E"/>
    <w:rsid w:val="00B91A65"/>
    <w:rsid w:val="00B97BE8"/>
    <w:rsid w:val="00BA0FD7"/>
    <w:rsid w:val="00BA1485"/>
    <w:rsid w:val="00BA7195"/>
    <w:rsid w:val="00BB02D9"/>
    <w:rsid w:val="00BB44B7"/>
    <w:rsid w:val="00BB5AAD"/>
    <w:rsid w:val="00BB7BDA"/>
    <w:rsid w:val="00BC5747"/>
    <w:rsid w:val="00BC6A6C"/>
    <w:rsid w:val="00BC7A9A"/>
    <w:rsid w:val="00BD7F1A"/>
    <w:rsid w:val="00BE5B66"/>
    <w:rsid w:val="00BF05A0"/>
    <w:rsid w:val="00BF4E73"/>
    <w:rsid w:val="00C11479"/>
    <w:rsid w:val="00C201DF"/>
    <w:rsid w:val="00C2295B"/>
    <w:rsid w:val="00C276D7"/>
    <w:rsid w:val="00C27D06"/>
    <w:rsid w:val="00C46BC4"/>
    <w:rsid w:val="00C65983"/>
    <w:rsid w:val="00C66103"/>
    <w:rsid w:val="00C73590"/>
    <w:rsid w:val="00CB12D9"/>
    <w:rsid w:val="00CE7956"/>
    <w:rsid w:val="00D0074B"/>
    <w:rsid w:val="00D141CE"/>
    <w:rsid w:val="00D366EB"/>
    <w:rsid w:val="00D47C18"/>
    <w:rsid w:val="00D91031"/>
    <w:rsid w:val="00DA0619"/>
    <w:rsid w:val="00DB0A59"/>
    <w:rsid w:val="00DC06EC"/>
    <w:rsid w:val="00DC12BA"/>
    <w:rsid w:val="00DC2CA9"/>
    <w:rsid w:val="00DC6F88"/>
    <w:rsid w:val="00DD5C31"/>
    <w:rsid w:val="00E01F5E"/>
    <w:rsid w:val="00E0267E"/>
    <w:rsid w:val="00E149AD"/>
    <w:rsid w:val="00E231B6"/>
    <w:rsid w:val="00E23B37"/>
    <w:rsid w:val="00E418E6"/>
    <w:rsid w:val="00E42AC1"/>
    <w:rsid w:val="00E45A0B"/>
    <w:rsid w:val="00E541F0"/>
    <w:rsid w:val="00E567F5"/>
    <w:rsid w:val="00E57B65"/>
    <w:rsid w:val="00E603C7"/>
    <w:rsid w:val="00E67CB8"/>
    <w:rsid w:val="00E75354"/>
    <w:rsid w:val="00E81789"/>
    <w:rsid w:val="00E91919"/>
    <w:rsid w:val="00E93F34"/>
    <w:rsid w:val="00EA35DB"/>
    <w:rsid w:val="00EB0EB5"/>
    <w:rsid w:val="00EB2FCF"/>
    <w:rsid w:val="00EB3294"/>
    <w:rsid w:val="00EC0487"/>
    <w:rsid w:val="00ED758B"/>
    <w:rsid w:val="00EE1835"/>
    <w:rsid w:val="00EE3E0B"/>
    <w:rsid w:val="00EE551E"/>
    <w:rsid w:val="00EF16E1"/>
    <w:rsid w:val="00EF6798"/>
    <w:rsid w:val="00F0728A"/>
    <w:rsid w:val="00F22CCE"/>
    <w:rsid w:val="00F2438A"/>
    <w:rsid w:val="00F24A64"/>
    <w:rsid w:val="00F317DB"/>
    <w:rsid w:val="00F321B4"/>
    <w:rsid w:val="00F324FF"/>
    <w:rsid w:val="00F32965"/>
    <w:rsid w:val="00F4400E"/>
    <w:rsid w:val="00F76855"/>
    <w:rsid w:val="00F92684"/>
    <w:rsid w:val="00FA4EED"/>
    <w:rsid w:val="00FC47D5"/>
    <w:rsid w:val="00FD44B6"/>
    <w:rsid w:val="00FF37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 w:type="paragraph" w:styleId="ListParagraph">
    <w:name w:val="List Paragraph"/>
    <w:basedOn w:val="Normal"/>
    <w:rsid w:val="00041F3B"/>
    <w:pPr>
      <w:ind w:left="720"/>
      <w:contextualSpacing/>
    </w:pPr>
  </w:style>
  <w:style w:type="character" w:styleId="UnresolvedMention">
    <w:name w:val="Unresolved Mention"/>
    <w:basedOn w:val="DefaultParagraphFont"/>
    <w:uiPriority w:val="99"/>
    <w:semiHidden/>
    <w:unhideWhenUsed/>
    <w:rsid w:val="00880AAA"/>
    <w:rPr>
      <w:color w:val="605E5C"/>
      <w:shd w:val="clear" w:color="auto" w:fill="E1DFDD"/>
    </w:rPr>
  </w:style>
  <w:style w:type="character" w:customStyle="1" w:styleId="aq">
    <w:name w:val="aq"/>
    <w:basedOn w:val="DefaultParagraphFont"/>
    <w:rsid w:val="004F005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3998999">
      <w:bodyDiv w:val="1"/>
      <w:marLeft w:val="0"/>
      <w:marRight w:val="0"/>
      <w:marTop w:val="0"/>
      <w:marBottom w:val="0"/>
      <w:divBdr>
        <w:top w:val="none" w:sz="0" w:space="0" w:color="auto"/>
        <w:left w:val="none" w:sz="0" w:space="0" w:color="auto"/>
        <w:bottom w:val="none" w:sz="0" w:space="0" w:color="auto"/>
        <w:right w:val="none" w:sz="0" w:space="0" w:color="auto"/>
      </w:divBdr>
    </w:div>
    <w:div w:id="477263689">
      <w:bodyDiv w:val="1"/>
      <w:marLeft w:val="0"/>
      <w:marRight w:val="0"/>
      <w:marTop w:val="0"/>
      <w:marBottom w:val="0"/>
      <w:divBdr>
        <w:top w:val="none" w:sz="0" w:space="0" w:color="auto"/>
        <w:left w:val="none" w:sz="0" w:space="0" w:color="auto"/>
        <w:bottom w:val="none" w:sz="0" w:space="0" w:color="auto"/>
        <w:right w:val="none" w:sz="0" w:space="0" w:color="auto"/>
      </w:divBdr>
    </w:div>
    <w:div w:id="671031783">
      <w:bodyDiv w:val="1"/>
      <w:marLeft w:val="0"/>
      <w:marRight w:val="0"/>
      <w:marTop w:val="0"/>
      <w:marBottom w:val="0"/>
      <w:divBdr>
        <w:top w:val="none" w:sz="0" w:space="0" w:color="auto"/>
        <w:left w:val="none" w:sz="0" w:space="0" w:color="auto"/>
        <w:bottom w:val="none" w:sz="0" w:space="0" w:color="auto"/>
        <w:right w:val="none" w:sz="0" w:space="0" w:color="auto"/>
      </w:divBdr>
    </w:div>
    <w:div w:id="1304654795">
      <w:bodyDiv w:val="1"/>
      <w:marLeft w:val="0"/>
      <w:marRight w:val="0"/>
      <w:marTop w:val="0"/>
      <w:marBottom w:val="0"/>
      <w:divBdr>
        <w:top w:val="none" w:sz="0" w:space="0" w:color="auto"/>
        <w:left w:val="none" w:sz="0" w:space="0" w:color="auto"/>
        <w:bottom w:val="none" w:sz="0" w:space="0" w:color="auto"/>
        <w:right w:val="none" w:sz="0" w:space="0" w:color="auto"/>
      </w:divBdr>
    </w:div>
    <w:div w:id="184735813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axismaps.com/guide/general/visual-variables/"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towardsdatascience.com/understanding-boxplots-5e2df7bcbd51" TargetMode="External"/><Relationship Id="rId2" Type="http://schemas.openxmlformats.org/officeDocument/2006/relationships/customXml" Target="../customXml/item1.xml"/><Relationship Id="rId16" Type="http://schemas.openxmlformats.org/officeDocument/2006/relationships/hyperlink" Target="https://www.khanacademy.org/math/statistics-probability/describing-relationships-quantitative-data/introduction-to-scatterplots/a/scatterplots-and-correlation-review" TargetMode="Externa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rstudio.com/wp-content/uploads/2015/03/ggplot2-cheatsheet.pdf" TargetMode="Externa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6895655-0743-4042-8B10-DF14631E60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10889</TotalTime>
  <Pages>7</Pages>
  <Words>1520</Words>
  <Characters>8665</Characters>
  <Application>Microsoft Office Word</Application>
  <DocSecurity>0</DocSecurity>
  <Lines>72</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225</cp:revision>
  <dcterms:created xsi:type="dcterms:W3CDTF">2019-10-17T14:52:00Z</dcterms:created>
  <dcterms:modified xsi:type="dcterms:W3CDTF">2019-10-31T14:16:00Z</dcterms:modified>
</cp:coreProperties>
</file>