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5E52C764" w14:textId="6BD51770" w:rsidR="008A3C0F" w:rsidRPr="00842D82" w:rsidRDefault="00842D82" w:rsidP="00842D82">
      <w:pPr>
        <w:pStyle w:val="normal0"/>
        <w:spacing w:line="240" w:lineRule="auto"/>
        <w:jc w:val="center"/>
        <w:rPr>
          <w:b/>
        </w:rPr>
      </w:pPr>
      <w:r w:rsidRPr="00842D82">
        <w:rPr>
          <w:rFonts w:ascii="Times New Roman" w:eastAsia="Times New Roman" w:hAnsi="Times New Roman" w:cs="Times New Roman"/>
          <w:b/>
          <w:sz w:val="24"/>
        </w:rPr>
        <w:t>Reducing Annotation Cost and Uncertainty in Computer-Aided Diagnosis through Selective Iterative Classification</w:t>
      </w:r>
    </w:p>
    <w:p w14:paraId="28B834CD" w14:textId="05D83521" w:rsidR="008A3C0F" w:rsidRDefault="00842D82" w:rsidP="00842D82">
      <w:pPr>
        <w:pStyle w:val="normal0"/>
        <w:spacing w:line="240" w:lineRule="auto"/>
        <w:jc w:val="center"/>
      </w:pPr>
      <w:r>
        <w:rPr>
          <w:rFonts w:ascii="Times New Roman" w:eastAsia="Times New Roman" w:hAnsi="Times New Roman" w:cs="Times New Roman"/>
          <w:sz w:val="24"/>
        </w:rPr>
        <w:t xml:space="preserve">Amelia Riely, Kyle </w:t>
      </w:r>
      <w:proofErr w:type="spellStart"/>
      <w:r>
        <w:rPr>
          <w:rFonts w:ascii="Times New Roman" w:eastAsia="Times New Roman" w:hAnsi="Times New Roman" w:cs="Times New Roman"/>
          <w:sz w:val="24"/>
        </w:rPr>
        <w:t>Sablan</w:t>
      </w:r>
      <w:proofErr w:type="spellEnd"/>
      <w:r>
        <w:rPr>
          <w:rFonts w:ascii="Times New Roman" w:eastAsia="Times New Roman" w:hAnsi="Times New Roman" w:cs="Times New Roman"/>
          <w:sz w:val="24"/>
        </w:rPr>
        <w:t xml:space="preserve">, </w:t>
      </w:r>
      <w:proofErr w:type="spellStart"/>
      <w:r w:rsidR="00E012E8">
        <w:rPr>
          <w:rFonts w:ascii="Times New Roman" w:eastAsia="Times New Roman" w:hAnsi="Times New Roman" w:cs="Times New Roman"/>
          <w:sz w:val="24"/>
        </w:rPr>
        <w:t>Xiaotao</w:t>
      </w:r>
      <w:proofErr w:type="spellEnd"/>
      <w:r w:rsidR="00E012E8">
        <w:rPr>
          <w:rFonts w:ascii="Times New Roman" w:eastAsia="Times New Roman" w:hAnsi="Times New Roman" w:cs="Times New Roman"/>
          <w:sz w:val="24"/>
        </w:rPr>
        <w:t xml:space="preserve"> Fang,</w:t>
      </w:r>
      <w:r w:rsidR="00E012E8">
        <w:t xml:space="preserve"> </w:t>
      </w:r>
      <w:r w:rsidR="00E012E8">
        <w:rPr>
          <w:rFonts w:ascii="Times New Roman" w:eastAsia="Times New Roman" w:hAnsi="Times New Roman" w:cs="Times New Roman"/>
          <w:sz w:val="24"/>
        </w:rPr>
        <w:t xml:space="preserve">Jacob </w:t>
      </w:r>
      <w:proofErr w:type="spellStart"/>
      <w:r w:rsidR="00E012E8">
        <w:rPr>
          <w:rFonts w:ascii="Times New Roman" w:eastAsia="Times New Roman" w:hAnsi="Times New Roman" w:cs="Times New Roman"/>
          <w:sz w:val="24"/>
        </w:rPr>
        <w:t>Furst</w:t>
      </w:r>
      <w:proofErr w:type="spellEnd"/>
      <w:r w:rsidR="00E012E8">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and Daniela </w:t>
      </w:r>
      <w:proofErr w:type="spellStart"/>
      <w:r>
        <w:rPr>
          <w:rFonts w:ascii="Times New Roman" w:eastAsia="Times New Roman" w:hAnsi="Times New Roman" w:cs="Times New Roman"/>
          <w:sz w:val="24"/>
        </w:rPr>
        <w:t>Raicu</w:t>
      </w:r>
      <w:proofErr w:type="spellEnd"/>
    </w:p>
    <w:p w14:paraId="3DCE5E69" w14:textId="77777777" w:rsidR="008A3C0F" w:rsidRDefault="008A3C0F">
      <w:pPr>
        <w:pStyle w:val="normal0"/>
        <w:spacing w:line="240" w:lineRule="auto"/>
        <w:ind w:firstLine="720"/>
        <w:jc w:val="both"/>
      </w:pPr>
    </w:p>
    <w:p w14:paraId="3108B5FE" w14:textId="77777777" w:rsidR="008A3C0F" w:rsidRDefault="00842D82">
      <w:pPr>
        <w:pStyle w:val="normal0"/>
        <w:spacing w:line="240" w:lineRule="auto"/>
        <w:ind w:firstLine="720"/>
        <w:jc w:val="both"/>
      </w:pPr>
      <w:r>
        <w:rPr>
          <w:rFonts w:ascii="Times New Roman" w:eastAsia="Times New Roman" w:hAnsi="Times New Roman" w:cs="Times New Roman"/>
          <w:b/>
          <w:sz w:val="24"/>
        </w:rPr>
        <w:t xml:space="preserve">Abstract: </w:t>
      </w:r>
      <w:bookmarkStart w:id="0" w:name="_GoBack"/>
      <w:r>
        <w:rPr>
          <w:rFonts w:ascii="Times New Roman" w:eastAsia="Times New Roman" w:hAnsi="Times New Roman" w:cs="Times New Roman"/>
          <w:sz w:val="24"/>
        </w:rPr>
        <w:t xml:space="preserve">Advances in medical imaging technology have expanded the need for Computer-Aided Diagnosis (CAD) systems to assist radiologists in analyzing image data. However, where there is no ground truth diagnosis, experts in CAD systems often turn to multiple annotations to approximate a reference truth. Especially in the medical field, each of these annotations is expensive, and may not necessarily add to the quality of the classification model. This paper outlines a </w:t>
      </w:r>
      <w:r>
        <w:rPr>
          <w:rFonts w:ascii="Times New Roman" w:eastAsia="Times New Roman" w:hAnsi="Times New Roman" w:cs="Times New Roman"/>
          <w:i/>
          <w:sz w:val="24"/>
        </w:rPr>
        <w:t>selective iterative</w:t>
      </w:r>
      <w:r>
        <w:rPr>
          <w:rFonts w:ascii="Times New Roman" w:eastAsia="Times New Roman" w:hAnsi="Times New Roman" w:cs="Times New Roman"/>
          <w:sz w:val="24"/>
        </w:rPr>
        <w:t xml:space="preserve"> CAD system to minimize the number of annotations required to obtain desirable accuracy, by requesting additional labels only for cases that could benefit from them. This approach simultaneously increases accuracy over a non-selective system, since it reduces noise and uncertainty in the labels. In the case of the LIDC dataset, our results show that using only 46.91% of the original label set, we can achieve 81.17% accuracy, as opposed to only 70.86% when 100% labels are used.</w:t>
      </w:r>
    </w:p>
    <w:bookmarkEnd w:id="0"/>
    <w:p w14:paraId="363A8E91" w14:textId="77777777" w:rsidR="008A3C0F" w:rsidRDefault="008A3C0F">
      <w:pPr>
        <w:pStyle w:val="normal0"/>
        <w:spacing w:line="240" w:lineRule="auto"/>
      </w:pPr>
    </w:p>
    <w:p w14:paraId="7F7C1A7A" w14:textId="77777777" w:rsidR="008A3C0F" w:rsidRDefault="00842D82">
      <w:pPr>
        <w:pStyle w:val="normal0"/>
        <w:spacing w:line="240" w:lineRule="auto"/>
        <w:jc w:val="center"/>
      </w:pPr>
      <w:r>
        <w:rPr>
          <w:rFonts w:ascii="Times New Roman" w:eastAsia="Times New Roman" w:hAnsi="Times New Roman" w:cs="Times New Roman"/>
          <w:b/>
          <w:sz w:val="24"/>
        </w:rPr>
        <w:t>Description of Purpose</w:t>
      </w:r>
    </w:p>
    <w:p w14:paraId="5710B74D" w14:textId="77777777" w:rsidR="008A3C0F" w:rsidRDefault="00842D82">
      <w:pPr>
        <w:pStyle w:val="normal0"/>
        <w:spacing w:line="240" w:lineRule="auto"/>
        <w:ind w:firstLine="720"/>
        <w:jc w:val="both"/>
      </w:pPr>
      <w:r>
        <w:rPr>
          <w:rFonts w:ascii="Times New Roman" w:eastAsia="Times New Roman" w:hAnsi="Times New Roman" w:cs="Times New Roman"/>
          <w:sz w:val="24"/>
        </w:rPr>
        <w:t xml:space="preserve">Lung cancer is the leading cause of cancer death and the second most common cancer among both men and women [1], causing a critical need to find ways to diagnose malignant lung nodules early on. Computer-aided diagnosis (CAD) systems have been developed to assist radiologists by providing an additional opinion. To create these CAD systems, it requires label data from radiologists representing their diagnosis interpretations. However, annotations from multiple radiologists are very costly, both in time and money, and are often uncertain because of the subjectivity of the interpretation process and the variability among annotators.   We propose an approach that minimizes the number annotations needed to correctly classify or diagnose a case, and therefore, benefiting cost and label uncertainty reduction. </w:t>
      </w:r>
      <w:r>
        <w:rPr>
          <w:rFonts w:ascii="Times New Roman" w:eastAsia="Times New Roman" w:hAnsi="Times New Roman" w:cs="Times New Roman"/>
          <w:b/>
          <w:sz w:val="24"/>
        </w:rPr>
        <w:tab/>
      </w:r>
    </w:p>
    <w:p w14:paraId="3754DDEA" w14:textId="77777777" w:rsidR="008A3C0F" w:rsidRDefault="008A3C0F">
      <w:pPr>
        <w:pStyle w:val="normal0"/>
        <w:spacing w:line="240" w:lineRule="auto"/>
        <w:jc w:val="both"/>
      </w:pPr>
    </w:p>
    <w:p w14:paraId="4DD224C9" w14:textId="77777777" w:rsidR="008A3C0F" w:rsidRDefault="00842D82">
      <w:pPr>
        <w:pStyle w:val="normal0"/>
        <w:spacing w:line="240" w:lineRule="auto"/>
        <w:jc w:val="center"/>
      </w:pPr>
      <w:r>
        <w:rPr>
          <w:rFonts w:ascii="Times New Roman" w:eastAsia="Times New Roman" w:hAnsi="Times New Roman" w:cs="Times New Roman"/>
          <w:b/>
          <w:sz w:val="24"/>
        </w:rPr>
        <w:t>Method(s)</w:t>
      </w:r>
    </w:p>
    <w:p w14:paraId="11DA1780" w14:textId="77777777" w:rsidR="008A3C0F" w:rsidRDefault="00842D82">
      <w:pPr>
        <w:pStyle w:val="normal0"/>
        <w:spacing w:line="240" w:lineRule="auto"/>
        <w:jc w:val="both"/>
      </w:pPr>
      <w:r>
        <w:rPr>
          <w:rFonts w:ascii="Times New Roman" w:eastAsia="Times New Roman" w:hAnsi="Times New Roman" w:cs="Times New Roman"/>
          <w:i/>
          <w:sz w:val="24"/>
        </w:rPr>
        <w:t>A. Lung Image Database Consortium (LIDC)</w:t>
      </w:r>
    </w:p>
    <w:p w14:paraId="76C4533A" w14:textId="2C54268F" w:rsidR="008A3C0F" w:rsidRDefault="00842D82">
      <w:pPr>
        <w:pStyle w:val="normal0"/>
        <w:spacing w:line="240" w:lineRule="auto"/>
        <w:ind w:firstLine="720"/>
        <w:jc w:val="both"/>
      </w:pPr>
      <w:r>
        <w:rPr>
          <w:rFonts w:ascii="Times New Roman" w:eastAsia="Times New Roman" w:hAnsi="Times New Roman" w:cs="Times New Roman"/>
          <w:sz w:val="24"/>
        </w:rPr>
        <w:t xml:space="preserve">The LIDC dataset (available at </w:t>
      </w:r>
      <w:hyperlink r:id="rId7">
        <w:r>
          <w:rPr>
            <w:rFonts w:ascii="Times New Roman" w:eastAsia="Times New Roman" w:hAnsi="Times New Roman" w:cs="Times New Roman"/>
            <w:color w:val="1155CC"/>
            <w:sz w:val="24"/>
            <w:u w:val="single"/>
          </w:rPr>
          <w:t>http://ncia.nci.nih.ogv</w:t>
        </w:r>
      </w:hyperlink>
      <w:r>
        <w:rPr>
          <w:rFonts w:ascii="Times New Roman" w:eastAsia="Times New Roman" w:hAnsi="Times New Roman" w:cs="Times New Roman"/>
          <w:sz w:val="24"/>
        </w:rPr>
        <w:t>) used in this study is a diverse collection of Computed Tomography (CT) scans interpreted by up to four radiologists [2]. Each radiologist outlined a boundary for the nodule or nodules present in the scan, as well as provided ratings on various semantic characteristics (such as malignancy, texture, margin</w:t>
      </w:r>
      <w:r w:rsidR="00D600E7">
        <w:rPr>
          <w:rFonts w:ascii="Times New Roman" w:eastAsia="Times New Roman" w:hAnsi="Times New Roman" w:cs="Times New Roman"/>
          <w:sz w:val="24"/>
        </w:rPr>
        <w:t xml:space="preserve">, </w:t>
      </w:r>
      <w:proofErr w:type="spellStart"/>
      <w:r w:rsidR="00D600E7">
        <w:rPr>
          <w:rFonts w:ascii="Times New Roman" w:eastAsia="Times New Roman" w:hAnsi="Times New Roman" w:cs="Times New Roman"/>
          <w:sz w:val="24"/>
        </w:rPr>
        <w:t>spiculation</w:t>
      </w:r>
      <w:proofErr w:type="spellEnd"/>
      <w:r w:rsidR="00D600E7">
        <w:rPr>
          <w:rFonts w:ascii="Times New Roman" w:eastAsia="Times New Roman" w:hAnsi="Times New Roman" w:cs="Times New Roman"/>
          <w:sz w:val="24"/>
        </w:rPr>
        <w:t xml:space="preserve">, and </w:t>
      </w:r>
      <w:proofErr w:type="spellStart"/>
      <w:r w:rsidR="00D600E7">
        <w:rPr>
          <w:rFonts w:ascii="Times New Roman" w:eastAsia="Times New Roman" w:hAnsi="Times New Roman" w:cs="Times New Roman"/>
          <w:sz w:val="24"/>
        </w:rPr>
        <w:t>lobulation</w:t>
      </w:r>
      <w:proofErr w:type="spellEnd"/>
      <w:r w:rsidR="00D600E7">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for the nodule as a whole.  The challenges of the LIDC data including the disagreement among radiologists, the multi-class label (for example there are five ratings for malignancy rather than the traditional two class problem - malignant versus benign), and lack of ground truth make the LIDC data a good candidate to demonstrate our iterative selective approach for CAD systems. While in this study we focus only on the malignancy ratings, the same approach can be applied for the other semantic characteristics.  Further, to analyze the variability among annotators, we consider only the 810 nodules out of the 2,600 nodules for which all four radiologists provided a rating for malignancy. </w:t>
      </w:r>
    </w:p>
    <w:p w14:paraId="64B9CE15" w14:textId="77777777" w:rsidR="008A3C0F" w:rsidRDefault="00842D82">
      <w:pPr>
        <w:pStyle w:val="normal0"/>
        <w:spacing w:line="240" w:lineRule="auto"/>
        <w:ind w:firstLine="720"/>
        <w:jc w:val="both"/>
      </w:pPr>
      <w:r>
        <w:rPr>
          <w:rFonts w:ascii="Times New Roman" w:eastAsia="Times New Roman" w:hAnsi="Times New Roman" w:cs="Times New Roman"/>
          <w:i/>
          <w:sz w:val="24"/>
        </w:rPr>
        <w:t>B. Feature Extraction</w:t>
      </w:r>
    </w:p>
    <w:p w14:paraId="4723D8C4" w14:textId="2E43A825" w:rsidR="008A3C0F" w:rsidRDefault="00842D82">
      <w:pPr>
        <w:pStyle w:val="normal0"/>
        <w:spacing w:line="240" w:lineRule="auto"/>
        <w:ind w:firstLine="720"/>
        <w:jc w:val="both"/>
      </w:pPr>
      <w:r>
        <w:rPr>
          <w:rFonts w:ascii="Times New Roman" w:eastAsia="Times New Roman" w:hAnsi="Times New Roman" w:cs="Times New Roman"/>
          <w:sz w:val="24"/>
        </w:rPr>
        <w:t>Based on our previous work for CAD systems [</w:t>
      </w:r>
      <w:r w:rsidR="004218B1">
        <w:rPr>
          <w:rFonts w:ascii="Times New Roman" w:eastAsia="Times New Roman" w:hAnsi="Times New Roman" w:cs="Times New Roman"/>
          <w:sz w:val="24"/>
        </w:rPr>
        <w:t>3</w:t>
      </w:r>
      <w:r>
        <w:rPr>
          <w:rFonts w:ascii="Times New Roman" w:eastAsia="Times New Roman" w:hAnsi="Times New Roman" w:cs="Times New Roman"/>
          <w:sz w:val="24"/>
        </w:rPr>
        <w:t xml:space="preserve">], we extracted 64 low-level image features for each nodule instance delineated by the largest radiologist outline across all slices in which the nodule appeared. Eight shape features included circularity, roughness, elongation, compactness, eccentricity, solidity, extent, and standard deviation of the radial distance. Seven size features included area, </w:t>
      </w:r>
      <w:proofErr w:type="spellStart"/>
      <w:r>
        <w:rPr>
          <w:rFonts w:ascii="Times New Roman" w:eastAsia="Times New Roman" w:hAnsi="Times New Roman" w:cs="Times New Roman"/>
          <w:sz w:val="24"/>
        </w:rPr>
        <w:t>ConvexArea</w:t>
      </w:r>
      <w:proofErr w:type="spellEnd"/>
      <w:r>
        <w:rPr>
          <w:rFonts w:ascii="Times New Roman" w:eastAsia="Times New Roman" w:hAnsi="Times New Roman" w:cs="Times New Roman"/>
          <w:sz w:val="24"/>
        </w:rPr>
        <w:t xml:space="preserve">, perimeter, </w:t>
      </w:r>
      <w:proofErr w:type="spellStart"/>
      <w:r>
        <w:rPr>
          <w:rFonts w:ascii="Times New Roman" w:eastAsia="Times New Roman" w:hAnsi="Times New Roman" w:cs="Times New Roman"/>
          <w:sz w:val="24"/>
        </w:rPr>
        <w:t>ConvexPerimeter</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EquivDiameter</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lastRenderedPageBreak/>
        <w:t>MajorAxisLength</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MinorAxisLength</w:t>
      </w:r>
      <w:proofErr w:type="spellEnd"/>
      <w:r>
        <w:rPr>
          <w:rFonts w:ascii="Times New Roman" w:eastAsia="Times New Roman" w:hAnsi="Times New Roman" w:cs="Times New Roman"/>
          <w:sz w:val="24"/>
        </w:rPr>
        <w:t>. Intensity features were minimum, maximum, mean, and standard deviation of the gray-level intensity for the segmented image and its background. Texture features included five Markov features and twenty-four Gabor features.</w:t>
      </w:r>
    </w:p>
    <w:p w14:paraId="453FA893" w14:textId="77777777" w:rsidR="008A3C0F" w:rsidRDefault="00842D82">
      <w:pPr>
        <w:pStyle w:val="normal0"/>
        <w:spacing w:line="240" w:lineRule="auto"/>
        <w:ind w:firstLine="720"/>
        <w:jc w:val="both"/>
      </w:pPr>
      <w:r>
        <w:rPr>
          <w:rFonts w:ascii="Times New Roman" w:eastAsia="Times New Roman" w:hAnsi="Times New Roman" w:cs="Times New Roman"/>
          <w:sz w:val="24"/>
        </w:rPr>
        <w:t>Each nodule instance also has four malignancy ratings associated with it in the range from 1 to 5, where 1 is “</w:t>
      </w:r>
      <w:r>
        <w:rPr>
          <w:rFonts w:ascii="Times New Roman" w:eastAsia="Times New Roman" w:hAnsi="Times New Roman" w:cs="Times New Roman"/>
          <w:i/>
          <w:sz w:val="24"/>
        </w:rPr>
        <w:t xml:space="preserve">Highly Unlikely,” </w:t>
      </w:r>
      <w:r>
        <w:rPr>
          <w:rFonts w:ascii="Times New Roman" w:eastAsia="Times New Roman" w:hAnsi="Times New Roman" w:cs="Times New Roman"/>
          <w:sz w:val="24"/>
        </w:rPr>
        <w:t>3 is</w:t>
      </w:r>
      <w:r>
        <w:rPr>
          <w:rFonts w:ascii="Times New Roman" w:eastAsia="Times New Roman" w:hAnsi="Times New Roman" w:cs="Times New Roman"/>
          <w:i/>
          <w:sz w:val="24"/>
        </w:rPr>
        <w:t xml:space="preserve"> “Indeterminate,” </w:t>
      </w:r>
      <w:r>
        <w:rPr>
          <w:rFonts w:ascii="Times New Roman" w:eastAsia="Times New Roman" w:hAnsi="Times New Roman" w:cs="Times New Roman"/>
          <w:sz w:val="24"/>
        </w:rPr>
        <w:t>and 5 is</w:t>
      </w:r>
      <w:r>
        <w:rPr>
          <w:rFonts w:ascii="Times New Roman" w:eastAsia="Times New Roman" w:hAnsi="Times New Roman" w:cs="Times New Roman"/>
          <w:i/>
          <w:sz w:val="24"/>
        </w:rPr>
        <w:t xml:space="preserve"> “Highly Suspicious</w:t>
      </w:r>
      <w:r>
        <w:rPr>
          <w:rFonts w:ascii="Times New Roman" w:eastAsia="Times New Roman" w:hAnsi="Times New Roman" w:cs="Times New Roman"/>
          <w:sz w:val="24"/>
        </w:rPr>
        <w:t xml:space="preserve">.” However, since the ratings 2 and 4 were underrepresented in the dataset, we rescaled the labels from a 1-5 rating to a 1-3 rating, where the original 1 &amp; 2 became 1, the original 3 becomes 2, and the original 4 &amp; 5 become 3. This created a more even distribution of ratings and also decreased the complexity of the multi-label problem. </w:t>
      </w:r>
    </w:p>
    <w:p w14:paraId="3632F348" w14:textId="77777777" w:rsidR="008A3C0F" w:rsidRDefault="00842D82">
      <w:pPr>
        <w:pStyle w:val="normal0"/>
        <w:spacing w:line="240" w:lineRule="auto"/>
      </w:pPr>
      <w:r>
        <w:rPr>
          <w:rFonts w:ascii="Times New Roman" w:eastAsia="Times New Roman" w:hAnsi="Times New Roman" w:cs="Times New Roman"/>
          <w:i/>
          <w:sz w:val="24"/>
        </w:rPr>
        <w:t>C. Classification Models</w:t>
      </w:r>
    </w:p>
    <w:p w14:paraId="5BABEFDD" w14:textId="77777777" w:rsidR="008A3C0F" w:rsidRDefault="00842D82">
      <w:pPr>
        <w:pStyle w:val="normal0"/>
        <w:spacing w:line="240" w:lineRule="auto"/>
        <w:ind w:firstLine="720"/>
        <w:jc w:val="both"/>
      </w:pPr>
      <w:r>
        <w:rPr>
          <w:rFonts w:ascii="Times New Roman" w:eastAsia="Times New Roman" w:hAnsi="Times New Roman" w:cs="Times New Roman"/>
          <w:sz w:val="24"/>
        </w:rPr>
        <w:t xml:space="preserve">Our classification method involved the creation of two sets of four decision trees (given the four annotators). We used Classification and Regression Tree (CRT/CART) decision trees introduced by </w:t>
      </w:r>
      <w:proofErr w:type="spellStart"/>
      <w:r>
        <w:rPr>
          <w:rFonts w:ascii="Times New Roman" w:eastAsia="Times New Roman" w:hAnsi="Times New Roman" w:cs="Times New Roman"/>
          <w:sz w:val="24"/>
        </w:rPr>
        <w:t>Breiman</w:t>
      </w:r>
      <w:proofErr w:type="spellEnd"/>
      <w:r>
        <w:rPr>
          <w:rFonts w:ascii="Times New Roman" w:eastAsia="Times New Roman" w:hAnsi="Times New Roman" w:cs="Times New Roman"/>
          <w:sz w:val="24"/>
        </w:rPr>
        <w:t xml:space="preserve"> [4] because of their simplicity and because they make no assumptions </w:t>
      </w:r>
      <w:proofErr w:type="gramStart"/>
      <w:r>
        <w:rPr>
          <w:rFonts w:ascii="Times New Roman" w:eastAsia="Times New Roman" w:hAnsi="Times New Roman" w:cs="Times New Roman"/>
          <w:sz w:val="24"/>
        </w:rPr>
        <w:t>about</w:t>
      </w:r>
      <w:proofErr w:type="gramEnd"/>
      <w:r>
        <w:rPr>
          <w:rFonts w:ascii="Times New Roman" w:eastAsia="Times New Roman" w:hAnsi="Times New Roman" w:cs="Times New Roman"/>
          <w:sz w:val="24"/>
        </w:rPr>
        <w:t xml:space="preserve"> the distribution of the data. To build the model, the data was split into training (60%), testing (30%) and validation (10%). The validation dataset was kept separate from other data during the entire process and used for evaluation to simulate how completely new data will be classified by the iterative approach. The process was repeated for twenty trials to take into account the variation in the accuracy as well as with different label permutations to eliminate the process of getting additional labels and eliminate any potential label bias. </w:t>
      </w:r>
    </w:p>
    <w:p w14:paraId="6E1DE1E6" w14:textId="77777777" w:rsidR="008A3C0F" w:rsidRDefault="00842D82">
      <w:pPr>
        <w:pStyle w:val="normal0"/>
        <w:spacing w:line="240" w:lineRule="auto"/>
        <w:ind w:firstLine="720"/>
      </w:pPr>
      <w:r>
        <w:rPr>
          <w:rFonts w:ascii="Times New Roman" w:eastAsia="Times New Roman" w:hAnsi="Times New Roman" w:cs="Times New Roman"/>
          <w:i/>
          <w:sz w:val="24"/>
        </w:rPr>
        <w:t>C.1 Selective Iterative Classification</w:t>
      </w:r>
    </w:p>
    <w:p w14:paraId="0B7034FC" w14:textId="5F984F54" w:rsidR="008A3C0F" w:rsidRDefault="00842D82">
      <w:pPr>
        <w:pStyle w:val="normal0"/>
        <w:spacing w:line="240" w:lineRule="auto"/>
        <w:ind w:firstLine="720"/>
        <w:jc w:val="both"/>
      </w:pPr>
      <w:r>
        <w:rPr>
          <w:rFonts w:ascii="Times New Roman" w:eastAsia="Times New Roman" w:hAnsi="Times New Roman" w:cs="Times New Roman"/>
          <w:sz w:val="24"/>
        </w:rPr>
        <w:t xml:space="preserve">We call our approach selective iterative classification because the four classification models, </w:t>
      </w:r>
      <w:r>
        <w:rPr>
          <w:rFonts w:ascii="Times New Roman" w:eastAsia="Times New Roman" w:hAnsi="Times New Roman" w:cs="Times New Roman"/>
          <w:i/>
          <w:sz w:val="24"/>
        </w:rPr>
        <w:t>M</w:t>
      </w:r>
      <w:r>
        <w:rPr>
          <w:rFonts w:ascii="Times New Roman" w:eastAsia="Times New Roman" w:hAnsi="Times New Roman" w:cs="Times New Roman"/>
          <w:i/>
          <w:sz w:val="24"/>
          <w:vertAlign w:val="subscript"/>
        </w:rPr>
        <w:t>k</w:t>
      </w:r>
      <w:r>
        <w:rPr>
          <w:rFonts w:ascii="Times New Roman" w:eastAsia="Times New Roman" w:hAnsi="Times New Roman" w:cs="Times New Roman"/>
          <w:sz w:val="24"/>
        </w:rPr>
        <w:t xml:space="preserve"> (</w:t>
      </w:r>
      <w:r>
        <w:rPr>
          <w:rFonts w:ascii="Times New Roman" w:eastAsia="Times New Roman" w:hAnsi="Times New Roman" w:cs="Times New Roman"/>
          <w:i/>
          <w:sz w:val="24"/>
        </w:rPr>
        <w:t>k</w:t>
      </w:r>
      <w:r>
        <w:rPr>
          <w:rFonts w:ascii="Times New Roman" w:eastAsia="Times New Roman" w:hAnsi="Times New Roman" w:cs="Times New Roman"/>
          <w:sz w:val="24"/>
        </w:rPr>
        <w:t xml:space="preserve"> = 1:4, 4 being the number of annotators) we create are built off of each other so that the labels used to create one model depend on which cases were misclassified in the previous model. For example, the first classification model, </w:t>
      </w:r>
      <w:r>
        <w:rPr>
          <w:rFonts w:ascii="Times New Roman" w:eastAsia="Times New Roman" w:hAnsi="Times New Roman" w:cs="Times New Roman"/>
          <w:i/>
          <w:sz w:val="24"/>
        </w:rPr>
        <w:t>M</w:t>
      </w:r>
      <w:r>
        <w:rPr>
          <w:rFonts w:ascii="Times New Roman" w:eastAsia="Times New Roman" w:hAnsi="Times New Roman" w:cs="Times New Roman"/>
          <w:i/>
          <w:sz w:val="24"/>
          <w:vertAlign w:val="subscript"/>
        </w:rPr>
        <w:t>1</w:t>
      </w:r>
      <w:r>
        <w:rPr>
          <w:rFonts w:ascii="Times New Roman" w:eastAsia="Times New Roman" w:hAnsi="Times New Roman" w:cs="Times New Roman"/>
          <w:sz w:val="24"/>
        </w:rPr>
        <w:t xml:space="preserve">, is trained using only one randomly selected label among the four labels provided by LIDC radiologists as the reference truth. The label for an instance </w:t>
      </w:r>
      <w:r>
        <w:rPr>
          <w:rFonts w:ascii="Times New Roman" w:eastAsia="Times New Roman" w:hAnsi="Times New Roman" w:cs="Times New Roman"/>
          <w:i/>
          <w:sz w:val="24"/>
        </w:rPr>
        <w:t>I</w:t>
      </w:r>
      <w:r>
        <w:rPr>
          <w:rFonts w:ascii="Times New Roman" w:eastAsia="Times New Roman" w:hAnsi="Times New Roman" w:cs="Times New Roman"/>
          <w:sz w:val="24"/>
        </w:rPr>
        <w:t xml:space="preserve">, </w:t>
      </w:r>
      <m:oMath>
        <m:sSubSup>
          <m:sSubSupPr>
            <m:ctrlPr>
              <w:rPr>
                <w:rFonts w:ascii="Times New Roman" w:eastAsia="Times New Roman" w:hAnsi="Times New Roman" w:cs="Times New Roman"/>
                <w:sz w:val="24"/>
              </w:rPr>
            </m:ctrlPr>
          </m:sSubSupPr>
          <m:e>
            <m:r>
              <w:rPr>
                <w:rFonts w:ascii="Cambria Math" w:eastAsia="Times New Roman" w:hAnsi="Cambria Math" w:cs="Cambria Math"/>
                <w:sz w:val="24"/>
              </w:rPr>
              <m:t>l</m:t>
            </m:r>
          </m:e>
          <m:sub>
            <m:r>
              <w:rPr>
                <w:rFonts w:ascii="Cambria Math" w:eastAsia="Times New Roman" w:hAnsi="Cambria Math" w:cs="Cambria Math"/>
                <w:sz w:val="24"/>
              </w:rPr>
              <m:t>M</m:t>
            </m:r>
            <m:r>
              <w:rPr>
                <w:rFonts w:ascii="Times New Roman" w:eastAsia="Times New Roman" w:hAnsi="Times New Roman" w:cs="Times New Roman"/>
                <w:sz w:val="24"/>
              </w:rPr>
              <m:t>1</m:t>
            </m:r>
          </m:sub>
          <m:sup>
            <m:r>
              <w:rPr>
                <w:rFonts w:ascii="Cambria Math" w:eastAsia="Times New Roman" w:hAnsi="Cambria Math" w:cs="Cambria Math"/>
                <w:sz w:val="24"/>
              </w:rPr>
              <m:t>I</m:t>
            </m:r>
          </m:sup>
        </m:sSubSup>
      </m:oMath>
      <w:r w:rsidR="00D600E7">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is selected randomly out of the set of all available labels for that case, </w:t>
      </w:r>
      <m:oMath>
        <m:sSubSup>
          <m:sSubSupPr>
            <m:ctrlPr>
              <w:rPr>
                <w:rFonts w:ascii="Times New Roman" w:eastAsia="Times New Roman" w:hAnsi="Times New Roman" w:cs="Times New Roman"/>
                <w:sz w:val="24"/>
              </w:rPr>
            </m:ctrlPr>
          </m:sSubSupPr>
          <m:e>
            <m:r>
              <w:rPr>
                <w:rFonts w:ascii="Cambria Math" w:eastAsia="Times New Roman" w:hAnsi="Cambria Math" w:cs="Cambria Math"/>
                <w:sz w:val="24"/>
              </w:rPr>
              <m:t>l</m:t>
            </m:r>
          </m:e>
          <m:sub/>
          <m:sup>
            <m:r>
              <w:rPr>
                <w:rFonts w:ascii="Cambria Math" w:eastAsia="Times New Roman" w:hAnsi="Cambria Math" w:cs="Cambria Math"/>
                <w:sz w:val="24"/>
              </w:rPr>
              <m:t>I</m:t>
            </m:r>
          </m:sup>
        </m:sSubSup>
        <m:r>
          <w:rPr>
            <w:rFonts w:ascii="Times New Roman" w:eastAsia="Times New Roman" w:hAnsi="Times New Roman" w:cs="Times New Roman"/>
            <w:sz w:val="24"/>
          </w:rPr>
          <m:t>=</m:t>
        </m:r>
        <m:d>
          <m:dPr>
            <m:begChr m:val="{"/>
            <m:endChr m:val="}"/>
            <m:ctrlPr>
              <w:rPr>
                <w:rFonts w:ascii="Times New Roman" w:eastAsia="Times New Roman" w:hAnsi="Times New Roman" w:cs="Times New Roman"/>
                <w:sz w:val="24"/>
              </w:rPr>
            </m:ctrlPr>
          </m:dPr>
          <m:e>
            <m:sSubSup>
              <m:sSubSupPr>
                <m:ctrlPr>
                  <w:rPr>
                    <w:rFonts w:ascii="Times New Roman" w:eastAsia="Times New Roman" w:hAnsi="Times New Roman" w:cs="Times New Roman"/>
                    <w:sz w:val="24"/>
                  </w:rPr>
                </m:ctrlPr>
              </m:sSubSupPr>
              <m:e>
                <m:r>
                  <w:rPr>
                    <w:rFonts w:ascii="Cambria Math" w:eastAsia="Times New Roman" w:hAnsi="Cambria Math" w:cs="Cambria Math"/>
                    <w:sz w:val="24"/>
                  </w:rPr>
                  <m:t>l</m:t>
                </m:r>
              </m:e>
              <m:sub>
                <m:r>
                  <w:rPr>
                    <w:rFonts w:ascii="Cambria Math" w:eastAsia="Times New Roman" w:hAnsi="Cambria Math" w:cs="Cambria Math"/>
                    <w:sz w:val="24"/>
                  </w:rPr>
                  <m:t>x</m:t>
                </m:r>
                <m:r>
                  <w:rPr>
                    <w:rFonts w:ascii="Times New Roman" w:eastAsia="Times New Roman" w:hAnsi="Times New Roman" w:cs="Times New Roman"/>
                    <w:sz w:val="24"/>
                  </w:rPr>
                  <m:t>1</m:t>
                </m:r>
              </m:sub>
              <m:sup>
                <m:r>
                  <w:rPr>
                    <w:rFonts w:ascii="Cambria Math" w:eastAsia="Times New Roman" w:hAnsi="Cambria Math" w:cs="Cambria Math"/>
                    <w:sz w:val="24"/>
                  </w:rPr>
                  <m:t>I</m:t>
                </m:r>
              </m:sup>
            </m:sSubSup>
            <m:r>
              <w:rPr>
                <w:rFonts w:ascii="Times New Roman" w:eastAsia="Times New Roman" w:hAnsi="Times New Roman" w:cs="Times New Roman"/>
                <w:sz w:val="24"/>
              </w:rPr>
              <m:t xml:space="preserve">, </m:t>
            </m:r>
            <m:sSubSup>
              <m:sSubSupPr>
                <m:ctrlPr>
                  <w:rPr>
                    <w:rFonts w:ascii="Times New Roman" w:eastAsia="Times New Roman" w:hAnsi="Times New Roman" w:cs="Times New Roman"/>
                    <w:sz w:val="24"/>
                  </w:rPr>
                </m:ctrlPr>
              </m:sSubSupPr>
              <m:e>
                <m:r>
                  <w:rPr>
                    <w:rFonts w:ascii="Cambria Math" w:eastAsia="Times New Roman" w:hAnsi="Cambria Math" w:cs="Cambria Math"/>
                    <w:sz w:val="24"/>
                  </w:rPr>
                  <m:t>l</m:t>
                </m:r>
              </m:e>
              <m:sub>
                <m:r>
                  <w:rPr>
                    <w:rFonts w:ascii="Cambria Math" w:eastAsia="Times New Roman" w:hAnsi="Cambria Math" w:cs="Cambria Math"/>
                    <w:sz w:val="24"/>
                  </w:rPr>
                  <m:t>x</m:t>
                </m:r>
                <m:r>
                  <w:rPr>
                    <w:rFonts w:ascii="Times New Roman" w:eastAsia="Times New Roman" w:hAnsi="Times New Roman" w:cs="Times New Roman"/>
                    <w:sz w:val="24"/>
                  </w:rPr>
                  <m:t>2</m:t>
                </m:r>
              </m:sub>
              <m:sup>
                <m:r>
                  <w:rPr>
                    <w:rFonts w:ascii="Cambria Math" w:eastAsia="Times New Roman" w:hAnsi="Cambria Math" w:cs="Cambria Math"/>
                    <w:sz w:val="24"/>
                  </w:rPr>
                  <m:t>I</m:t>
                </m:r>
              </m:sup>
            </m:sSubSup>
            <w:proofErr w:type="gramStart"/>
            <m:r>
              <w:rPr>
                <w:rFonts w:ascii="Times New Roman" w:eastAsia="Times New Roman" w:hAnsi="Times New Roman" w:cs="Times New Roman"/>
                <w:sz w:val="24"/>
              </w:rPr>
              <m:t>,...</m:t>
            </m:r>
            <w:proofErr w:type="gramEnd"/>
            <m:r>
              <w:rPr>
                <w:rFonts w:ascii="Times New Roman" w:eastAsia="Times New Roman" w:hAnsi="Times New Roman" w:cs="Times New Roman"/>
                <w:sz w:val="24"/>
              </w:rPr>
              <m:t xml:space="preserve"> ,</m:t>
            </m:r>
            <m:sSubSup>
              <m:sSubSupPr>
                <m:ctrlPr>
                  <w:rPr>
                    <w:rFonts w:ascii="Cambria Math" w:eastAsia="Times New Roman" w:hAnsi="Cambria Math" w:cs="Times New Roman"/>
                    <w:sz w:val="24"/>
                  </w:rPr>
                </m:ctrlPr>
              </m:sSubSupPr>
              <m:e>
                <m:r>
                  <w:rPr>
                    <w:rFonts w:ascii="Cambria Math" w:eastAsia="Times New Roman" w:hAnsi="Cambria Math" w:cs="Cambria Math"/>
                    <w:sz w:val="24"/>
                  </w:rPr>
                  <m:t>l</m:t>
                </m:r>
              </m:e>
              <m:sub>
                <m:r>
                  <w:rPr>
                    <w:rFonts w:ascii="Cambria Math" w:eastAsia="Times New Roman" w:hAnsi="Cambria Math" w:cs="Cambria Math"/>
                    <w:sz w:val="24"/>
                  </w:rPr>
                  <m:t>x</m:t>
                </m:r>
                <m:r>
                  <w:rPr>
                    <w:rFonts w:ascii="Cambria Math" w:eastAsia="Times New Roman" w:hAnsi="Cambria Math" w:cs="Times New Roman"/>
                    <w:sz w:val="24"/>
                  </w:rPr>
                  <m:t>p</m:t>
                </m:r>
              </m:sub>
              <m:sup>
                <m:r>
                  <w:rPr>
                    <w:rFonts w:ascii="Cambria Math" w:eastAsia="Times New Roman" w:hAnsi="Cambria Math" w:cs="Cambria Math"/>
                    <w:sz w:val="24"/>
                  </w:rPr>
                  <m:t>I</m:t>
                </m:r>
              </m:sup>
            </m:sSubSup>
          </m:e>
        </m:d>
      </m:oMath>
      <w:r>
        <w:rPr>
          <w:rFonts w:ascii="Times New Roman" w:eastAsia="Times New Roman" w:hAnsi="Times New Roman" w:cs="Times New Roman"/>
          <w:sz w:val="24"/>
        </w:rPr>
        <w:t xml:space="preserve">, and removed from the set to simulate the process of acquiring a new annotation from an expert. If the instance </w:t>
      </w:r>
      <w:r>
        <w:rPr>
          <w:rFonts w:ascii="Times New Roman" w:eastAsia="Times New Roman" w:hAnsi="Times New Roman" w:cs="Times New Roman"/>
          <w:i/>
          <w:sz w:val="24"/>
        </w:rPr>
        <w:t xml:space="preserve">I </w:t>
      </w:r>
      <w:r>
        <w:rPr>
          <w:rFonts w:ascii="Times New Roman" w:eastAsia="Times New Roman" w:hAnsi="Times New Roman" w:cs="Times New Roman"/>
          <w:sz w:val="24"/>
        </w:rPr>
        <w:t xml:space="preserve">is misclassified at the by the first model, the label used for the second model, </w:t>
      </w:r>
      <m:oMath>
        <m:sSubSup>
          <m:sSubSupPr>
            <m:ctrlPr>
              <w:rPr>
                <w:rFonts w:ascii="Cambria Math" w:eastAsia="Times New Roman" w:hAnsi="Cambria Math" w:cs="Times New Roman"/>
                <w:sz w:val="24"/>
              </w:rPr>
            </m:ctrlPr>
          </m:sSubSupPr>
          <m:e>
            <m:r>
              <w:rPr>
                <w:rFonts w:ascii="Cambria Math" w:eastAsia="Times New Roman" w:hAnsi="Cambria Math" w:cs="Cambria Math"/>
                <w:sz w:val="24"/>
              </w:rPr>
              <m:t>l</m:t>
            </m:r>
          </m:e>
          <m:sub>
            <m:r>
              <w:rPr>
                <w:rFonts w:ascii="Cambria Math" w:eastAsia="Times New Roman" w:hAnsi="Cambria Math" w:cs="Cambria Math"/>
                <w:sz w:val="24"/>
              </w:rPr>
              <m:t>M</m:t>
            </m:r>
            <m:r>
              <w:rPr>
                <w:rFonts w:ascii="Cambria Math" w:eastAsia="Times New Roman" w:hAnsi="Cambria Math" w:cs="Times New Roman"/>
                <w:sz w:val="24"/>
              </w:rPr>
              <m:t>2</m:t>
            </m:r>
          </m:sub>
          <m:sup>
            <m:r>
              <w:rPr>
                <w:rFonts w:ascii="Cambria Math" w:eastAsia="Times New Roman" w:hAnsi="Cambria Math" w:cs="Cambria Math"/>
                <w:sz w:val="24"/>
              </w:rPr>
              <m:t>I</m:t>
            </m:r>
          </m:sup>
        </m:sSubSup>
      </m:oMath>
      <w:r w:rsidR="00784438">
        <w:rPr>
          <w:rFonts w:ascii="Times New Roman" w:eastAsia="Times New Roman" w:hAnsi="Times New Roman" w:cs="Times New Roman"/>
          <w:sz w:val="24"/>
        </w:rPr>
        <w:t xml:space="preserve">, </w:t>
      </w:r>
      <w:r>
        <w:rPr>
          <w:rFonts w:ascii="Times New Roman" w:eastAsia="Times New Roman" w:hAnsi="Times New Roman" w:cs="Times New Roman"/>
          <w:sz w:val="24"/>
        </w:rPr>
        <w:t>will be the mode of label from the first iteration and a new label selected out of the set of all available labels. If the instance, is not misclassified by the first model, then the reference truth used to create the second model</w:t>
      </w:r>
      <w:proofErr w:type="gramStart"/>
      <w:r>
        <w:rPr>
          <w:rFonts w:ascii="Times New Roman" w:eastAsia="Times New Roman" w:hAnsi="Times New Roman" w:cs="Times New Roman"/>
          <w:sz w:val="24"/>
        </w:rPr>
        <w:t xml:space="preserve">, </w:t>
      </w:r>
      <w:r w:rsidR="00784438">
        <w:rPr>
          <w:rFonts w:ascii="Times New Roman" w:eastAsia="Times New Roman" w:hAnsi="Times New Roman" w:cs="Times New Roman"/>
          <w:sz w:val="24"/>
        </w:rPr>
        <w:t xml:space="preserve"> </w:t>
      </w:r>
      <w:proofErr w:type="gramEnd"/>
      <m:oMath>
        <m:sSubSup>
          <m:sSubSupPr>
            <m:ctrlPr>
              <w:rPr>
                <w:rFonts w:ascii="Cambria Math" w:eastAsia="Times New Roman" w:hAnsi="Cambria Math" w:cs="Times New Roman"/>
                <w:sz w:val="24"/>
              </w:rPr>
            </m:ctrlPr>
          </m:sSubSupPr>
          <m:e>
            <m:r>
              <w:rPr>
                <w:rFonts w:ascii="Cambria Math" w:eastAsia="Times New Roman" w:hAnsi="Cambria Math" w:cs="Cambria Math"/>
                <w:sz w:val="24"/>
              </w:rPr>
              <m:t>l</m:t>
            </m:r>
          </m:e>
          <m:sub>
            <m:r>
              <w:rPr>
                <w:rFonts w:ascii="Cambria Math" w:eastAsia="Times New Roman" w:hAnsi="Cambria Math" w:cs="Cambria Math"/>
                <w:sz w:val="24"/>
              </w:rPr>
              <m:t>M</m:t>
            </m:r>
            <m:r>
              <w:rPr>
                <w:rFonts w:ascii="Cambria Math" w:eastAsia="Times New Roman" w:hAnsi="Cambria Math" w:cs="Times New Roman"/>
                <w:sz w:val="24"/>
              </w:rPr>
              <m:t>2</m:t>
            </m:r>
          </m:sub>
          <m:sup>
            <m:r>
              <w:rPr>
                <w:rFonts w:ascii="Cambria Math" w:eastAsia="Times New Roman" w:hAnsi="Cambria Math" w:cs="Cambria Math"/>
                <w:sz w:val="24"/>
              </w:rPr>
              <m:t>I</m:t>
            </m:r>
          </m:sup>
        </m:sSubSup>
      </m:oMath>
      <w:r w:rsidR="00784438">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will not change from the reference truth of the first model, </w:t>
      </w:r>
      <w:r w:rsidR="00784438">
        <w:rPr>
          <w:rFonts w:ascii="Times New Roman" w:eastAsia="Times New Roman" w:hAnsi="Times New Roman" w:cs="Times New Roman"/>
          <w:sz w:val="24"/>
        </w:rPr>
        <w:t xml:space="preserve"> </w:t>
      </w:r>
      <m:oMath>
        <m:sSubSup>
          <m:sSubSupPr>
            <m:ctrlPr>
              <w:rPr>
                <w:rFonts w:ascii="Cambria Math" w:eastAsia="Times New Roman" w:hAnsi="Cambria Math" w:cs="Times New Roman"/>
                <w:sz w:val="24"/>
              </w:rPr>
            </m:ctrlPr>
          </m:sSubSupPr>
          <m:e>
            <m:r>
              <w:rPr>
                <w:rFonts w:ascii="Cambria Math" w:eastAsia="Times New Roman" w:hAnsi="Cambria Math" w:cs="Cambria Math"/>
                <w:sz w:val="24"/>
              </w:rPr>
              <m:t>l</m:t>
            </m:r>
          </m:e>
          <m:sub>
            <m:r>
              <w:rPr>
                <w:rFonts w:ascii="Cambria Math" w:eastAsia="Times New Roman" w:hAnsi="Cambria Math" w:cs="Cambria Math"/>
                <w:sz w:val="24"/>
              </w:rPr>
              <m:t>M1</m:t>
            </m:r>
          </m:sub>
          <m:sup>
            <m:r>
              <w:rPr>
                <w:rFonts w:ascii="Cambria Math" w:eastAsia="Times New Roman" w:hAnsi="Cambria Math" w:cs="Cambria Math"/>
                <w:sz w:val="24"/>
              </w:rPr>
              <m:t>I</m:t>
            </m:r>
          </m:sup>
        </m:sSubSup>
      </m:oMath>
      <w:r w:rsidR="00784438">
        <w:rPr>
          <w:rFonts w:ascii="Times New Roman" w:eastAsia="Times New Roman" w:hAnsi="Times New Roman" w:cs="Times New Roman"/>
          <w:sz w:val="24"/>
        </w:rPr>
        <w:t>.</w:t>
      </w:r>
    </w:p>
    <w:p w14:paraId="6AAD67E8" w14:textId="77777777" w:rsidR="008A3C0F" w:rsidRDefault="00842D82">
      <w:pPr>
        <w:pStyle w:val="normal0"/>
        <w:spacing w:line="240" w:lineRule="auto"/>
        <w:ind w:firstLine="720"/>
        <w:jc w:val="both"/>
      </w:pPr>
      <w:r>
        <w:rPr>
          <w:rFonts w:ascii="Times New Roman" w:eastAsia="Times New Roman" w:hAnsi="Times New Roman" w:cs="Times New Roman"/>
          <w:i/>
          <w:sz w:val="24"/>
        </w:rPr>
        <w:t>C.2 Non-Selective Iterative Classification</w:t>
      </w:r>
    </w:p>
    <w:p w14:paraId="1978309C" w14:textId="77777777" w:rsidR="008A3C0F" w:rsidRDefault="00842D82">
      <w:pPr>
        <w:pStyle w:val="normal0"/>
        <w:spacing w:line="240" w:lineRule="auto"/>
        <w:ind w:firstLine="720"/>
        <w:jc w:val="both"/>
      </w:pPr>
      <w:r>
        <w:rPr>
          <w:rFonts w:ascii="Times New Roman" w:eastAsia="Times New Roman" w:hAnsi="Times New Roman" w:cs="Times New Roman"/>
          <w:sz w:val="24"/>
        </w:rPr>
        <w:t xml:space="preserve">We compared our proposed approach with a non-selective iterative approach [3] in which additional labels are required iteratively for all cases instead of just the miss-classified ones.  Thus, in the general case of </w:t>
      </w:r>
      <w:r>
        <w:rPr>
          <w:rFonts w:ascii="Times New Roman" w:eastAsia="Times New Roman" w:hAnsi="Times New Roman" w:cs="Times New Roman"/>
          <w:i/>
          <w:sz w:val="24"/>
        </w:rPr>
        <w:t xml:space="preserve">p annotators, </w:t>
      </w:r>
      <w:r>
        <w:rPr>
          <w:rFonts w:ascii="Times New Roman" w:eastAsia="Times New Roman" w:hAnsi="Times New Roman" w:cs="Times New Roman"/>
          <w:sz w:val="24"/>
        </w:rPr>
        <w:t xml:space="preserve">the number of used labels </w:t>
      </w:r>
      <w:r>
        <w:rPr>
          <w:rFonts w:ascii="Times New Roman" w:eastAsia="Times New Roman" w:hAnsi="Times New Roman" w:cs="Times New Roman"/>
          <w:i/>
          <w:sz w:val="24"/>
        </w:rPr>
        <w:t>t</w:t>
      </w:r>
      <w:r>
        <w:rPr>
          <w:rFonts w:ascii="Times New Roman" w:eastAsia="Times New Roman" w:hAnsi="Times New Roman" w:cs="Times New Roman"/>
          <w:sz w:val="24"/>
        </w:rPr>
        <w:t xml:space="preserve">, is always equal to </w:t>
      </w:r>
      <w:r>
        <w:rPr>
          <w:rFonts w:ascii="Times New Roman" w:eastAsia="Times New Roman" w:hAnsi="Times New Roman" w:cs="Times New Roman"/>
          <w:i/>
          <w:sz w:val="24"/>
        </w:rPr>
        <w:t>k</w:t>
      </w:r>
      <w:r>
        <w:rPr>
          <w:rFonts w:ascii="Times New Roman" w:eastAsia="Times New Roman" w:hAnsi="Times New Roman" w:cs="Times New Roman"/>
          <w:sz w:val="24"/>
        </w:rPr>
        <w:t xml:space="preserve">, the number of the iteration and all instances will receive their maximum number of labels, </w:t>
      </w:r>
      <w:r>
        <w:rPr>
          <w:rFonts w:ascii="Times New Roman" w:eastAsia="Times New Roman" w:hAnsi="Times New Roman" w:cs="Times New Roman"/>
          <w:i/>
          <w:sz w:val="24"/>
        </w:rPr>
        <w:t>p</w:t>
      </w:r>
      <w:r>
        <w:rPr>
          <w:rFonts w:ascii="Times New Roman" w:eastAsia="Times New Roman" w:hAnsi="Times New Roman" w:cs="Times New Roman"/>
          <w:sz w:val="24"/>
        </w:rPr>
        <w:t xml:space="preserve">, by the end of the algorithm. </w:t>
      </w:r>
    </w:p>
    <w:p w14:paraId="32ED97C8" w14:textId="77777777" w:rsidR="008A3C0F" w:rsidRDefault="008A3C0F">
      <w:pPr>
        <w:pStyle w:val="normal0"/>
        <w:spacing w:line="240" w:lineRule="auto"/>
        <w:jc w:val="both"/>
      </w:pPr>
    </w:p>
    <w:p w14:paraId="5FE49597" w14:textId="77777777" w:rsidR="008A3C0F" w:rsidRDefault="00842D82">
      <w:pPr>
        <w:pStyle w:val="normal0"/>
        <w:spacing w:line="240" w:lineRule="auto"/>
        <w:jc w:val="center"/>
      </w:pPr>
      <w:r>
        <w:rPr>
          <w:rFonts w:ascii="Times New Roman" w:eastAsia="Times New Roman" w:hAnsi="Times New Roman" w:cs="Times New Roman"/>
          <w:b/>
          <w:sz w:val="24"/>
        </w:rPr>
        <w:t>Results</w:t>
      </w:r>
    </w:p>
    <w:p w14:paraId="5F4BBC10" w14:textId="77777777" w:rsidR="008A3C0F" w:rsidRDefault="00842D82">
      <w:pPr>
        <w:pStyle w:val="normal0"/>
        <w:spacing w:line="240" w:lineRule="auto"/>
        <w:ind w:firstLine="720"/>
        <w:jc w:val="both"/>
      </w:pPr>
      <w:r>
        <w:rPr>
          <w:rFonts w:ascii="Times New Roman" w:eastAsia="Times New Roman" w:hAnsi="Times New Roman" w:cs="Times New Roman"/>
          <w:sz w:val="24"/>
        </w:rPr>
        <w:t xml:space="preserve">In Table I, we report the accuracy in predicting malignancy for the validation set </w:t>
      </w:r>
      <w:proofErr w:type="gramStart"/>
      <w:r>
        <w:rPr>
          <w:rFonts w:ascii="Times New Roman" w:eastAsia="Times New Roman" w:hAnsi="Times New Roman" w:cs="Times New Roman"/>
          <w:sz w:val="24"/>
        </w:rPr>
        <w:t>at each iteration</w:t>
      </w:r>
      <w:proofErr w:type="gramEnd"/>
      <w:r>
        <w:rPr>
          <w:rFonts w:ascii="Times New Roman" w:eastAsia="Times New Roman" w:hAnsi="Times New Roman" w:cs="Times New Roman"/>
          <w:sz w:val="24"/>
        </w:rPr>
        <w:t xml:space="preserve"> for both iterative approaches above. Accuracy was calculated as the mean accuracy over all 20 trials. The reported label count is for the most representative trial, and represents the total number of labels used to form any given model (other trials show a similar distribution). Marginal benefit is calculated as change in accuracy between iterations. Cost-based marginal benefit was calculated as marginal benefit over the increase in label count. The parameters for </w:t>
      </w:r>
      <w:r>
        <w:rPr>
          <w:rFonts w:ascii="Times New Roman" w:eastAsia="Times New Roman" w:hAnsi="Times New Roman" w:cs="Times New Roman"/>
          <w:sz w:val="24"/>
        </w:rPr>
        <w:lastRenderedPageBreak/>
        <w:t xml:space="preserve">the decision trees that were used to report the results from Table I </w:t>
      </w:r>
      <w:proofErr w:type="gramStart"/>
      <w:r>
        <w:rPr>
          <w:rFonts w:ascii="Times New Roman" w:eastAsia="Times New Roman" w:hAnsi="Times New Roman" w:cs="Times New Roman"/>
          <w:sz w:val="24"/>
        </w:rPr>
        <w:t>were</w:t>
      </w:r>
      <w:proofErr w:type="gramEnd"/>
      <w:r>
        <w:rPr>
          <w:rFonts w:ascii="Times New Roman" w:eastAsia="Times New Roman" w:hAnsi="Times New Roman" w:cs="Times New Roman"/>
          <w:sz w:val="24"/>
        </w:rPr>
        <w:t xml:space="preserve"> empirically determined as 250 for the minimum case per parent and 58 for the minimum per child.</w:t>
      </w:r>
    </w:p>
    <w:p w14:paraId="777A9577" w14:textId="77777777" w:rsidR="008A3C0F" w:rsidRDefault="008A3C0F">
      <w:pPr>
        <w:pStyle w:val="normal0"/>
        <w:spacing w:line="240" w:lineRule="auto"/>
      </w:pPr>
    </w:p>
    <w:tbl>
      <w:tblPr>
        <w:tblStyle w:val="a"/>
        <w:tblW w:w="783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00"/>
        <w:gridCol w:w="930"/>
        <w:gridCol w:w="1080"/>
        <w:gridCol w:w="990"/>
        <w:gridCol w:w="1125"/>
        <w:gridCol w:w="1185"/>
        <w:gridCol w:w="1320"/>
      </w:tblGrid>
      <w:tr w:rsidR="008A3C0F" w14:paraId="33BDBA4D" w14:textId="77777777">
        <w:trPr>
          <w:jc w:val="center"/>
        </w:trPr>
        <w:tc>
          <w:tcPr>
            <w:tcW w:w="1200" w:type="dxa"/>
            <w:tcMar>
              <w:top w:w="40" w:type="dxa"/>
              <w:left w:w="40" w:type="dxa"/>
              <w:bottom w:w="40" w:type="dxa"/>
              <w:right w:w="40" w:type="dxa"/>
            </w:tcMar>
            <w:vAlign w:val="bottom"/>
          </w:tcPr>
          <w:p w14:paraId="34C4E666" w14:textId="77777777" w:rsidR="008A3C0F" w:rsidRDefault="00842D82">
            <w:pPr>
              <w:pStyle w:val="normal0"/>
              <w:spacing w:line="240" w:lineRule="auto"/>
              <w:jc w:val="center"/>
            </w:pPr>
            <w:r>
              <w:rPr>
                <w:rFonts w:ascii="Times New Roman" w:eastAsia="Times New Roman" w:hAnsi="Times New Roman" w:cs="Times New Roman"/>
                <w:b/>
                <w:sz w:val="20"/>
              </w:rPr>
              <w:t>Approach</w:t>
            </w:r>
          </w:p>
        </w:tc>
        <w:tc>
          <w:tcPr>
            <w:tcW w:w="930" w:type="dxa"/>
            <w:tcMar>
              <w:top w:w="40" w:type="dxa"/>
              <w:left w:w="40" w:type="dxa"/>
              <w:bottom w:w="40" w:type="dxa"/>
              <w:right w:w="40" w:type="dxa"/>
            </w:tcMar>
            <w:vAlign w:val="bottom"/>
          </w:tcPr>
          <w:p w14:paraId="00C7ADC0" w14:textId="77777777" w:rsidR="008A3C0F" w:rsidRDefault="00842D82">
            <w:pPr>
              <w:pStyle w:val="normal0"/>
              <w:spacing w:line="240" w:lineRule="auto"/>
              <w:jc w:val="center"/>
            </w:pPr>
            <w:r>
              <w:rPr>
                <w:rFonts w:ascii="Times New Roman" w:eastAsia="Times New Roman" w:hAnsi="Times New Roman" w:cs="Times New Roman"/>
                <w:b/>
                <w:sz w:val="20"/>
              </w:rPr>
              <w:t>Iteration</w:t>
            </w:r>
          </w:p>
        </w:tc>
        <w:tc>
          <w:tcPr>
            <w:tcW w:w="1080" w:type="dxa"/>
            <w:tcMar>
              <w:top w:w="40" w:type="dxa"/>
              <w:left w:w="40" w:type="dxa"/>
              <w:bottom w:w="40" w:type="dxa"/>
              <w:right w:w="40" w:type="dxa"/>
            </w:tcMar>
            <w:vAlign w:val="bottom"/>
          </w:tcPr>
          <w:p w14:paraId="0761584C" w14:textId="77777777" w:rsidR="008A3C0F" w:rsidRDefault="00842D82">
            <w:pPr>
              <w:pStyle w:val="normal0"/>
              <w:spacing w:line="240" w:lineRule="auto"/>
              <w:jc w:val="center"/>
            </w:pPr>
            <w:r>
              <w:rPr>
                <w:rFonts w:ascii="Times New Roman" w:eastAsia="Times New Roman" w:hAnsi="Times New Roman" w:cs="Times New Roman"/>
                <w:b/>
                <w:sz w:val="20"/>
              </w:rPr>
              <w:t>Accuracy</w:t>
            </w:r>
          </w:p>
        </w:tc>
        <w:tc>
          <w:tcPr>
            <w:tcW w:w="990" w:type="dxa"/>
            <w:tcMar>
              <w:top w:w="40" w:type="dxa"/>
              <w:left w:w="40" w:type="dxa"/>
              <w:bottom w:w="40" w:type="dxa"/>
              <w:right w:w="40" w:type="dxa"/>
            </w:tcMar>
            <w:vAlign w:val="bottom"/>
          </w:tcPr>
          <w:p w14:paraId="3C852245" w14:textId="77777777" w:rsidR="008A3C0F" w:rsidRDefault="00842D82">
            <w:pPr>
              <w:pStyle w:val="normal0"/>
              <w:spacing w:line="240" w:lineRule="auto"/>
              <w:jc w:val="center"/>
            </w:pPr>
            <w:r>
              <w:rPr>
                <w:rFonts w:ascii="Times New Roman" w:eastAsia="Times New Roman" w:hAnsi="Times New Roman" w:cs="Times New Roman"/>
                <w:b/>
                <w:sz w:val="20"/>
              </w:rPr>
              <w:t>Margin of Error</w:t>
            </w:r>
          </w:p>
        </w:tc>
        <w:tc>
          <w:tcPr>
            <w:tcW w:w="1125" w:type="dxa"/>
            <w:tcMar>
              <w:top w:w="40" w:type="dxa"/>
              <w:left w:w="40" w:type="dxa"/>
              <w:bottom w:w="40" w:type="dxa"/>
              <w:right w:w="40" w:type="dxa"/>
            </w:tcMar>
            <w:vAlign w:val="bottom"/>
          </w:tcPr>
          <w:p w14:paraId="5A807B0F" w14:textId="77777777" w:rsidR="008A3C0F" w:rsidRDefault="00842D82">
            <w:pPr>
              <w:pStyle w:val="normal0"/>
              <w:spacing w:line="240" w:lineRule="auto"/>
              <w:jc w:val="center"/>
            </w:pPr>
            <w:r>
              <w:rPr>
                <w:rFonts w:ascii="Times New Roman" w:eastAsia="Times New Roman" w:hAnsi="Times New Roman" w:cs="Times New Roman"/>
                <w:b/>
                <w:sz w:val="20"/>
              </w:rPr>
              <w:t>Marginal Benefit</w:t>
            </w:r>
          </w:p>
        </w:tc>
        <w:tc>
          <w:tcPr>
            <w:tcW w:w="1185" w:type="dxa"/>
            <w:tcMar>
              <w:top w:w="40" w:type="dxa"/>
              <w:left w:w="40" w:type="dxa"/>
              <w:bottom w:w="40" w:type="dxa"/>
              <w:right w:w="40" w:type="dxa"/>
            </w:tcMar>
            <w:vAlign w:val="bottom"/>
          </w:tcPr>
          <w:p w14:paraId="0DFDC345" w14:textId="77777777" w:rsidR="008A3C0F" w:rsidRDefault="00842D82">
            <w:pPr>
              <w:pStyle w:val="normal0"/>
              <w:spacing w:line="240" w:lineRule="auto"/>
              <w:jc w:val="center"/>
            </w:pPr>
            <w:r>
              <w:rPr>
                <w:rFonts w:ascii="Times New Roman" w:eastAsia="Times New Roman" w:hAnsi="Times New Roman" w:cs="Times New Roman"/>
                <w:b/>
                <w:sz w:val="20"/>
              </w:rPr>
              <w:t>Cumulative Label Count</w:t>
            </w:r>
          </w:p>
        </w:tc>
        <w:tc>
          <w:tcPr>
            <w:tcW w:w="1320" w:type="dxa"/>
            <w:tcMar>
              <w:top w:w="40" w:type="dxa"/>
              <w:left w:w="40" w:type="dxa"/>
              <w:bottom w:w="40" w:type="dxa"/>
              <w:right w:w="40" w:type="dxa"/>
            </w:tcMar>
            <w:vAlign w:val="bottom"/>
          </w:tcPr>
          <w:p w14:paraId="5B38F938" w14:textId="77777777" w:rsidR="008A3C0F" w:rsidRDefault="00842D82">
            <w:pPr>
              <w:pStyle w:val="normal0"/>
              <w:spacing w:line="240" w:lineRule="auto"/>
              <w:jc w:val="center"/>
            </w:pPr>
            <w:r>
              <w:rPr>
                <w:rFonts w:ascii="Times New Roman" w:eastAsia="Times New Roman" w:hAnsi="Times New Roman" w:cs="Times New Roman"/>
                <w:b/>
                <w:sz w:val="20"/>
              </w:rPr>
              <w:t>Cost-Based Marginal Benefit</w:t>
            </w:r>
          </w:p>
        </w:tc>
      </w:tr>
      <w:tr w:rsidR="008A3C0F" w14:paraId="0E5863C8" w14:textId="77777777">
        <w:trPr>
          <w:jc w:val="center"/>
        </w:trPr>
        <w:tc>
          <w:tcPr>
            <w:tcW w:w="1200" w:type="dxa"/>
            <w:tcMar>
              <w:top w:w="40" w:type="dxa"/>
              <w:left w:w="40" w:type="dxa"/>
              <w:bottom w:w="40" w:type="dxa"/>
              <w:right w:w="40" w:type="dxa"/>
            </w:tcMar>
            <w:vAlign w:val="bottom"/>
          </w:tcPr>
          <w:p w14:paraId="10A0F777" w14:textId="77777777" w:rsidR="008A3C0F" w:rsidRDefault="00842D82">
            <w:pPr>
              <w:pStyle w:val="normal0"/>
              <w:spacing w:line="240" w:lineRule="auto"/>
              <w:jc w:val="center"/>
            </w:pPr>
            <w:r>
              <w:rPr>
                <w:rFonts w:ascii="Times New Roman" w:eastAsia="Times New Roman" w:hAnsi="Times New Roman" w:cs="Times New Roman"/>
                <w:i/>
                <w:sz w:val="20"/>
              </w:rPr>
              <w:t>Selective</w:t>
            </w:r>
          </w:p>
        </w:tc>
        <w:tc>
          <w:tcPr>
            <w:tcW w:w="930" w:type="dxa"/>
            <w:tcMar>
              <w:top w:w="40" w:type="dxa"/>
              <w:left w:w="40" w:type="dxa"/>
              <w:bottom w:w="40" w:type="dxa"/>
              <w:right w:w="40" w:type="dxa"/>
            </w:tcMar>
            <w:vAlign w:val="bottom"/>
          </w:tcPr>
          <w:p w14:paraId="0A423B65" w14:textId="77777777" w:rsidR="008A3C0F" w:rsidRDefault="00842D82">
            <w:pPr>
              <w:pStyle w:val="normal0"/>
              <w:spacing w:line="240" w:lineRule="auto"/>
              <w:jc w:val="right"/>
            </w:pPr>
            <w:r>
              <w:rPr>
                <w:rFonts w:ascii="Times New Roman" w:eastAsia="Times New Roman" w:hAnsi="Times New Roman" w:cs="Times New Roman"/>
                <w:sz w:val="20"/>
              </w:rPr>
              <w:t>1</w:t>
            </w:r>
          </w:p>
        </w:tc>
        <w:tc>
          <w:tcPr>
            <w:tcW w:w="1080" w:type="dxa"/>
            <w:tcMar>
              <w:top w:w="40" w:type="dxa"/>
              <w:left w:w="40" w:type="dxa"/>
              <w:bottom w:w="40" w:type="dxa"/>
              <w:right w:w="40" w:type="dxa"/>
            </w:tcMar>
            <w:vAlign w:val="bottom"/>
          </w:tcPr>
          <w:p w14:paraId="29ED36C8" w14:textId="77777777" w:rsidR="008A3C0F" w:rsidRDefault="00842D82">
            <w:pPr>
              <w:pStyle w:val="normal0"/>
              <w:spacing w:line="240" w:lineRule="auto"/>
              <w:jc w:val="right"/>
            </w:pPr>
            <w:r>
              <w:rPr>
                <w:rFonts w:ascii="Times New Roman" w:eastAsia="Times New Roman" w:hAnsi="Times New Roman" w:cs="Times New Roman"/>
                <w:sz w:val="20"/>
              </w:rPr>
              <w:t>52.59%</w:t>
            </w:r>
          </w:p>
        </w:tc>
        <w:tc>
          <w:tcPr>
            <w:tcW w:w="99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0C5B6D21" w14:textId="77777777" w:rsidR="008A3C0F" w:rsidRDefault="00842D82">
            <w:pPr>
              <w:pStyle w:val="normal0"/>
              <w:spacing w:line="240" w:lineRule="auto"/>
              <w:jc w:val="right"/>
            </w:pPr>
            <w:r>
              <w:rPr>
                <w:rFonts w:ascii="Times New Roman" w:eastAsia="Times New Roman" w:hAnsi="Times New Roman" w:cs="Times New Roman"/>
                <w:sz w:val="20"/>
              </w:rPr>
              <w:t>2.35%</w:t>
            </w:r>
          </w:p>
        </w:tc>
        <w:tc>
          <w:tcPr>
            <w:tcW w:w="112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2A762FA1" w14:textId="77777777" w:rsidR="008A3C0F" w:rsidRDefault="008A3C0F">
            <w:pPr>
              <w:pStyle w:val="normal0"/>
              <w:spacing w:line="240" w:lineRule="auto"/>
              <w:jc w:val="right"/>
            </w:pPr>
          </w:p>
        </w:tc>
        <w:tc>
          <w:tcPr>
            <w:tcW w:w="1185" w:type="dxa"/>
            <w:tcMar>
              <w:top w:w="40" w:type="dxa"/>
              <w:left w:w="40" w:type="dxa"/>
              <w:bottom w:w="40" w:type="dxa"/>
              <w:right w:w="40" w:type="dxa"/>
            </w:tcMar>
            <w:vAlign w:val="bottom"/>
          </w:tcPr>
          <w:p w14:paraId="130E0683" w14:textId="77777777" w:rsidR="008A3C0F" w:rsidRDefault="00842D82">
            <w:pPr>
              <w:pStyle w:val="normal0"/>
              <w:spacing w:line="240" w:lineRule="auto"/>
              <w:jc w:val="right"/>
            </w:pPr>
            <w:r>
              <w:rPr>
                <w:rFonts w:ascii="Times New Roman" w:eastAsia="Times New Roman" w:hAnsi="Times New Roman" w:cs="Times New Roman"/>
                <w:sz w:val="20"/>
              </w:rPr>
              <w:t>810</w:t>
            </w:r>
          </w:p>
        </w:tc>
        <w:tc>
          <w:tcPr>
            <w:tcW w:w="1320" w:type="dxa"/>
            <w:tcMar>
              <w:top w:w="40" w:type="dxa"/>
              <w:left w:w="40" w:type="dxa"/>
              <w:bottom w:w="40" w:type="dxa"/>
              <w:right w:w="40" w:type="dxa"/>
            </w:tcMar>
            <w:vAlign w:val="bottom"/>
          </w:tcPr>
          <w:p w14:paraId="1C1C8CF5" w14:textId="77777777" w:rsidR="008A3C0F" w:rsidRDefault="008A3C0F">
            <w:pPr>
              <w:pStyle w:val="normal0"/>
              <w:spacing w:line="240" w:lineRule="auto"/>
              <w:jc w:val="right"/>
            </w:pPr>
          </w:p>
        </w:tc>
      </w:tr>
      <w:tr w:rsidR="008A3C0F" w14:paraId="11457B24" w14:textId="77777777">
        <w:trPr>
          <w:jc w:val="center"/>
        </w:trPr>
        <w:tc>
          <w:tcPr>
            <w:tcW w:w="1200" w:type="dxa"/>
            <w:tcMar>
              <w:top w:w="40" w:type="dxa"/>
              <w:left w:w="40" w:type="dxa"/>
              <w:bottom w:w="40" w:type="dxa"/>
              <w:right w:w="40" w:type="dxa"/>
            </w:tcMar>
            <w:vAlign w:val="bottom"/>
          </w:tcPr>
          <w:p w14:paraId="6FF89BC9" w14:textId="77777777" w:rsidR="008A3C0F" w:rsidRDefault="008A3C0F">
            <w:pPr>
              <w:pStyle w:val="normal0"/>
              <w:spacing w:line="240" w:lineRule="auto"/>
              <w:jc w:val="right"/>
            </w:pPr>
          </w:p>
        </w:tc>
        <w:tc>
          <w:tcPr>
            <w:tcW w:w="930" w:type="dxa"/>
            <w:tcMar>
              <w:top w:w="40" w:type="dxa"/>
              <w:left w:w="40" w:type="dxa"/>
              <w:bottom w:w="40" w:type="dxa"/>
              <w:right w:w="40" w:type="dxa"/>
            </w:tcMar>
            <w:vAlign w:val="bottom"/>
          </w:tcPr>
          <w:p w14:paraId="2F7D6DB3" w14:textId="77777777" w:rsidR="008A3C0F" w:rsidRDefault="00842D82">
            <w:pPr>
              <w:pStyle w:val="normal0"/>
              <w:spacing w:line="240" w:lineRule="auto"/>
              <w:jc w:val="right"/>
            </w:pPr>
            <w:r>
              <w:rPr>
                <w:rFonts w:ascii="Times New Roman" w:eastAsia="Times New Roman" w:hAnsi="Times New Roman" w:cs="Times New Roman"/>
                <w:sz w:val="20"/>
              </w:rPr>
              <w:t>2</w:t>
            </w:r>
          </w:p>
        </w:tc>
        <w:tc>
          <w:tcPr>
            <w:tcW w:w="1080" w:type="dxa"/>
            <w:tcMar>
              <w:top w:w="40" w:type="dxa"/>
              <w:left w:w="40" w:type="dxa"/>
              <w:bottom w:w="40" w:type="dxa"/>
              <w:right w:w="40" w:type="dxa"/>
            </w:tcMar>
            <w:vAlign w:val="bottom"/>
          </w:tcPr>
          <w:p w14:paraId="79E63348" w14:textId="77777777" w:rsidR="008A3C0F" w:rsidRDefault="00842D82">
            <w:pPr>
              <w:pStyle w:val="normal0"/>
              <w:spacing w:line="240" w:lineRule="auto"/>
              <w:jc w:val="right"/>
            </w:pPr>
            <w:r>
              <w:rPr>
                <w:rFonts w:ascii="Times New Roman" w:eastAsia="Times New Roman" w:hAnsi="Times New Roman" w:cs="Times New Roman"/>
                <w:sz w:val="20"/>
              </w:rPr>
              <w:t>70.62%</w:t>
            </w:r>
          </w:p>
        </w:tc>
        <w:tc>
          <w:tcPr>
            <w:tcW w:w="990"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14:paraId="0F4A4765" w14:textId="77777777" w:rsidR="008A3C0F" w:rsidRDefault="00842D82">
            <w:pPr>
              <w:pStyle w:val="normal0"/>
              <w:spacing w:line="240" w:lineRule="auto"/>
              <w:jc w:val="right"/>
            </w:pPr>
            <w:r>
              <w:rPr>
                <w:rFonts w:ascii="Times New Roman" w:eastAsia="Times New Roman" w:hAnsi="Times New Roman" w:cs="Times New Roman"/>
                <w:sz w:val="20"/>
              </w:rPr>
              <w:t>2.65%</w:t>
            </w:r>
          </w:p>
        </w:tc>
        <w:tc>
          <w:tcPr>
            <w:tcW w:w="1125"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14:paraId="2FA1B972" w14:textId="77777777" w:rsidR="008A3C0F" w:rsidRDefault="00842D82">
            <w:pPr>
              <w:pStyle w:val="normal0"/>
              <w:spacing w:line="240" w:lineRule="auto"/>
              <w:jc w:val="right"/>
            </w:pPr>
            <w:r>
              <w:rPr>
                <w:rFonts w:ascii="Times New Roman" w:eastAsia="Times New Roman" w:hAnsi="Times New Roman" w:cs="Times New Roman"/>
                <w:sz w:val="20"/>
              </w:rPr>
              <w:t>18.03%</w:t>
            </w:r>
          </w:p>
        </w:tc>
        <w:tc>
          <w:tcPr>
            <w:tcW w:w="1185" w:type="dxa"/>
            <w:tcMar>
              <w:top w:w="40" w:type="dxa"/>
              <w:left w:w="40" w:type="dxa"/>
              <w:bottom w:w="40" w:type="dxa"/>
              <w:right w:w="40" w:type="dxa"/>
            </w:tcMar>
            <w:vAlign w:val="bottom"/>
          </w:tcPr>
          <w:p w14:paraId="6A541664" w14:textId="77777777" w:rsidR="008A3C0F" w:rsidRDefault="00842D82">
            <w:pPr>
              <w:pStyle w:val="normal0"/>
              <w:spacing w:line="240" w:lineRule="auto"/>
              <w:jc w:val="right"/>
            </w:pPr>
            <w:r>
              <w:rPr>
                <w:rFonts w:ascii="Times New Roman" w:eastAsia="Times New Roman" w:hAnsi="Times New Roman" w:cs="Times New Roman"/>
                <w:sz w:val="20"/>
              </w:rPr>
              <w:t>1165</w:t>
            </w:r>
          </w:p>
        </w:tc>
        <w:tc>
          <w:tcPr>
            <w:tcW w:w="1320" w:type="dxa"/>
            <w:tcMar>
              <w:top w:w="40" w:type="dxa"/>
              <w:left w:w="40" w:type="dxa"/>
              <w:bottom w:w="40" w:type="dxa"/>
              <w:right w:w="40" w:type="dxa"/>
            </w:tcMar>
            <w:vAlign w:val="bottom"/>
          </w:tcPr>
          <w:p w14:paraId="36EBDB36" w14:textId="77777777" w:rsidR="008A3C0F" w:rsidRDefault="00842D82">
            <w:pPr>
              <w:pStyle w:val="normal0"/>
              <w:spacing w:line="240" w:lineRule="auto"/>
              <w:jc w:val="right"/>
            </w:pPr>
            <w:r>
              <w:rPr>
                <w:rFonts w:ascii="Times New Roman" w:eastAsia="Times New Roman" w:hAnsi="Times New Roman" w:cs="Times New Roman"/>
                <w:sz w:val="20"/>
              </w:rPr>
              <w:t>0.051%</w:t>
            </w:r>
          </w:p>
        </w:tc>
      </w:tr>
      <w:tr w:rsidR="008A3C0F" w14:paraId="010C8A5D" w14:textId="77777777">
        <w:trPr>
          <w:jc w:val="center"/>
        </w:trPr>
        <w:tc>
          <w:tcPr>
            <w:tcW w:w="1200" w:type="dxa"/>
            <w:tcMar>
              <w:top w:w="40" w:type="dxa"/>
              <w:left w:w="40" w:type="dxa"/>
              <w:bottom w:w="40" w:type="dxa"/>
              <w:right w:w="40" w:type="dxa"/>
            </w:tcMar>
            <w:vAlign w:val="bottom"/>
          </w:tcPr>
          <w:p w14:paraId="3191C35C" w14:textId="77777777" w:rsidR="008A3C0F" w:rsidRDefault="008A3C0F">
            <w:pPr>
              <w:pStyle w:val="normal0"/>
              <w:spacing w:line="240" w:lineRule="auto"/>
              <w:jc w:val="right"/>
            </w:pPr>
          </w:p>
        </w:tc>
        <w:tc>
          <w:tcPr>
            <w:tcW w:w="930" w:type="dxa"/>
            <w:tcMar>
              <w:top w:w="40" w:type="dxa"/>
              <w:left w:w="40" w:type="dxa"/>
              <w:bottom w:w="40" w:type="dxa"/>
              <w:right w:w="40" w:type="dxa"/>
            </w:tcMar>
            <w:vAlign w:val="bottom"/>
          </w:tcPr>
          <w:p w14:paraId="40006B80" w14:textId="77777777" w:rsidR="008A3C0F" w:rsidRDefault="00842D82">
            <w:pPr>
              <w:pStyle w:val="normal0"/>
              <w:spacing w:line="240" w:lineRule="auto"/>
              <w:jc w:val="right"/>
            </w:pPr>
            <w:r>
              <w:rPr>
                <w:rFonts w:ascii="Times New Roman" w:eastAsia="Times New Roman" w:hAnsi="Times New Roman" w:cs="Times New Roman"/>
                <w:sz w:val="20"/>
              </w:rPr>
              <w:t>3</w:t>
            </w:r>
          </w:p>
        </w:tc>
        <w:tc>
          <w:tcPr>
            <w:tcW w:w="1080" w:type="dxa"/>
            <w:tcMar>
              <w:top w:w="40" w:type="dxa"/>
              <w:left w:w="40" w:type="dxa"/>
              <w:bottom w:w="40" w:type="dxa"/>
              <w:right w:w="40" w:type="dxa"/>
            </w:tcMar>
            <w:vAlign w:val="bottom"/>
          </w:tcPr>
          <w:p w14:paraId="6B28E77D" w14:textId="77777777" w:rsidR="008A3C0F" w:rsidRDefault="00842D82">
            <w:pPr>
              <w:pStyle w:val="normal0"/>
              <w:spacing w:line="240" w:lineRule="auto"/>
              <w:jc w:val="right"/>
            </w:pPr>
            <w:r>
              <w:rPr>
                <w:rFonts w:ascii="Times New Roman" w:eastAsia="Times New Roman" w:hAnsi="Times New Roman" w:cs="Times New Roman"/>
                <w:sz w:val="20"/>
              </w:rPr>
              <w:t>77.35%</w:t>
            </w:r>
          </w:p>
        </w:tc>
        <w:tc>
          <w:tcPr>
            <w:tcW w:w="990"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14:paraId="1B458605" w14:textId="77777777" w:rsidR="008A3C0F" w:rsidRDefault="00842D82">
            <w:pPr>
              <w:pStyle w:val="normal0"/>
              <w:spacing w:line="240" w:lineRule="auto"/>
              <w:jc w:val="right"/>
            </w:pPr>
            <w:r>
              <w:rPr>
                <w:rFonts w:ascii="Times New Roman" w:eastAsia="Times New Roman" w:hAnsi="Times New Roman" w:cs="Times New Roman"/>
                <w:sz w:val="20"/>
              </w:rPr>
              <w:t>2.45%</w:t>
            </w:r>
          </w:p>
        </w:tc>
        <w:tc>
          <w:tcPr>
            <w:tcW w:w="1125"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14:paraId="55333EF6" w14:textId="77777777" w:rsidR="008A3C0F" w:rsidRDefault="00842D82">
            <w:pPr>
              <w:pStyle w:val="normal0"/>
              <w:spacing w:line="240" w:lineRule="auto"/>
              <w:jc w:val="right"/>
            </w:pPr>
            <w:r>
              <w:rPr>
                <w:rFonts w:ascii="Times New Roman" w:eastAsia="Times New Roman" w:hAnsi="Times New Roman" w:cs="Times New Roman"/>
                <w:sz w:val="20"/>
              </w:rPr>
              <w:t>6.73%</w:t>
            </w:r>
          </w:p>
        </w:tc>
        <w:tc>
          <w:tcPr>
            <w:tcW w:w="1185" w:type="dxa"/>
            <w:tcMar>
              <w:top w:w="40" w:type="dxa"/>
              <w:left w:w="40" w:type="dxa"/>
              <w:bottom w:w="40" w:type="dxa"/>
              <w:right w:w="40" w:type="dxa"/>
            </w:tcMar>
            <w:vAlign w:val="bottom"/>
          </w:tcPr>
          <w:p w14:paraId="2A0358B5" w14:textId="77777777" w:rsidR="008A3C0F" w:rsidRDefault="00842D82">
            <w:pPr>
              <w:pStyle w:val="normal0"/>
              <w:spacing w:line="240" w:lineRule="auto"/>
              <w:jc w:val="right"/>
            </w:pPr>
            <w:r>
              <w:rPr>
                <w:rFonts w:ascii="Times New Roman" w:eastAsia="Times New Roman" w:hAnsi="Times New Roman" w:cs="Times New Roman"/>
                <w:sz w:val="20"/>
              </w:rPr>
              <w:t>1366</w:t>
            </w:r>
          </w:p>
        </w:tc>
        <w:tc>
          <w:tcPr>
            <w:tcW w:w="1320" w:type="dxa"/>
            <w:tcMar>
              <w:top w:w="40" w:type="dxa"/>
              <w:left w:w="40" w:type="dxa"/>
              <w:bottom w:w="40" w:type="dxa"/>
              <w:right w:w="40" w:type="dxa"/>
            </w:tcMar>
            <w:vAlign w:val="bottom"/>
          </w:tcPr>
          <w:p w14:paraId="5D6EDC76" w14:textId="77777777" w:rsidR="008A3C0F" w:rsidRDefault="00842D82">
            <w:pPr>
              <w:pStyle w:val="normal0"/>
              <w:spacing w:line="240" w:lineRule="auto"/>
              <w:jc w:val="right"/>
            </w:pPr>
            <w:r>
              <w:rPr>
                <w:rFonts w:ascii="Times New Roman" w:eastAsia="Times New Roman" w:hAnsi="Times New Roman" w:cs="Times New Roman"/>
                <w:sz w:val="20"/>
              </w:rPr>
              <w:t>0.033%</w:t>
            </w:r>
          </w:p>
        </w:tc>
      </w:tr>
      <w:tr w:rsidR="008A3C0F" w14:paraId="6DD14974" w14:textId="77777777">
        <w:trPr>
          <w:jc w:val="center"/>
        </w:trPr>
        <w:tc>
          <w:tcPr>
            <w:tcW w:w="1200" w:type="dxa"/>
            <w:tcMar>
              <w:top w:w="40" w:type="dxa"/>
              <w:left w:w="40" w:type="dxa"/>
              <w:bottom w:w="40" w:type="dxa"/>
              <w:right w:w="40" w:type="dxa"/>
            </w:tcMar>
            <w:vAlign w:val="bottom"/>
          </w:tcPr>
          <w:p w14:paraId="5924D00D" w14:textId="77777777" w:rsidR="008A3C0F" w:rsidRDefault="008A3C0F">
            <w:pPr>
              <w:pStyle w:val="normal0"/>
              <w:spacing w:line="240" w:lineRule="auto"/>
              <w:jc w:val="right"/>
            </w:pPr>
          </w:p>
        </w:tc>
        <w:tc>
          <w:tcPr>
            <w:tcW w:w="930" w:type="dxa"/>
            <w:tcMar>
              <w:top w:w="40" w:type="dxa"/>
              <w:left w:w="40" w:type="dxa"/>
              <w:bottom w:w="40" w:type="dxa"/>
              <w:right w:w="40" w:type="dxa"/>
            </w:tcMar>
            <w:vAlign w:val="bottom"/>
          </w:tcPr>
          <w:p w14:paraId="744E5A63" w14:textId="77777777" w:rsidR="008A3C0F" w:rsidRDefault="00842D82">
            <w:pPr>
              <w:pStyle w:val="normal0"/>
              <w:spacing w:line="240" w:lineRule="auto"/>
              <w:jc w:val="right"/>
            </w:pPr>
            <w:r>
              <w:rPr>
                <w:rFonts w:ascii="Times New Roman" w:eastAsia="Times New Roman" w:hAnsi="Times New Roman" w:cs="Times New Roman"/>
                <w:sz w:val="20"/>
              </w:rPr>
              <w:t>4</w:t>
            </w:r>
          </w:p>
        </w:tc>
        <w:tc>
          <w:tcPr>
            <w:tcW w:w="1080" w:type="dxa"/>
            <w:tcMar>
              <w:top w:w="40" w:type="dxa"/>
              <w:left w:w="40" w:type="dxa"/>
              <w:bottom w:w="40" w:type="dxa"/>
              <w:right w:w="40" w:type="dxa"/>
            </w:tcMar>
            <w:vAlign w:val="bottom"/>
          </w:tcPr>
          <w:p w14:paraId="7CEE8132" w14:textId="77777777" w:rsidR="008A3C0F" w:rsidRDefault="00842D82">
            <w:pPr>
              <w:pStyle w:val="normal0"/>
              <w:spacing w:line="240" w:lineRule="auto"/>
              <w:jc w:val="right"/>
            </w:pPr>
            <w:r>
              <w:rPr>
                <w:rFonts w:ascii="Times New Roman" w:eastAsia="Times New Roman" w:hAnsi="Times New Roman" w:cs="Times New Roman"/>
                <w:sz w:val="20"/>
              </w:rPr>
              <w:t>81.17%</w:t>
            </w:r>
          </w:p>
        </w:tc>
        <w:tc>
          <w:tcPr>
            <w:tcW w:w="990"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14:paraId="64DF5778" w14:textId="77777777" w:rsidR="008A3C0F" w:rsidRDefault="00842D82">
            <w:pPr>
              <w:pStyle w:val="normal0"/>
              <w:spacing w:line="240" w:lineRule="auto"/>
              <w:jc w:val="right"/>
            </w:pPr>
            <w:r>
              <w:rPr>
                <w:rFonts w:ascii="Times New Roman" w:eastAsia="Times New Roman" w:hAnsi="Times New Roman" w:cs="Times New Roman"/>
                <w:sz w:val="20"/>
              </w:rPr>
              <w:t>2.99%</w:t>
            </w:r>
          </w:p>
        </w:tc>
        <w:tc>
          <w:tcPr>
            <w:tcW w:w="1125"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14:paraId="672B7D9E" w14:textId="77777777" w:rsidR="008A3C0F" w:rsidRDefault="00842D82">
            <w:pPr>
              <w:pStyle w:val="normal0"/>
              <w:spacing w:line="240" w:lineRule="auto"/>
              <w:jc w:val="right"/>
            </w:pPr>
            <w:r>
              <w:rPr>
                <w:rFonts w:ascii="Times New Roman" w:eastAsia="Times New Roman" w:hAnsi="Times New Roman" w:cs="Times New Roman"/>
                <w:sz w:val="20"/>
              </w:rPr>
              <w:t>3.82%</w:t>
            </w:r>
          </w:p>
        </w:tc>
        <w:tc>
          <w:tcPr>
            <w:tcW w:w="1185" w:type="dxa"/>
            <w:tcMar>
              <w:top w:w="40" w:type="dxa"/>
              <w:left w:w="40" w:type="dxa"/>
              <w:bottom w:w="40" w:type="dxa"/>
              <w:right w:w="40" w:type="dxa"/>
            </w:tcMar>
            <w:vAlign w:val="bottom"/>
          </w:tcPr>
          <w:p w14:paraId="0A7F0D3D" w14:textId="77777777" w:rsidR="008A3C0F" w:rsidRDefault="00842D82">
            <w:pPr>
              <w:pStyle w:val="normal0"/>
              <w:spacing w:line="240" w:lineRule="auto"/>
              <w:jc w:val="right"/>
            </w:pPr>
            <w:r>
              <w:rPr>
                <w:rFonts w:ascii="Times New Roman" w:eastAsia="Times New Roman" w:hAnsi="Times New Roman" w:cs="Times New Roman"/>
                <w:sz w:val="20"/>
              </w:rPr>
              <w:t>1520</w:t>
            </w:r>
          </w:p>
        </w:tc>
        <w:tc>
          <w:tcPr>
            <w:tcW w:w="1320" w:type="dxa"/>
            <w:tcMar>
              <w:top w:w="40" w:type="dxa"/>
              <w:left w:w="40" w:type="dxa"/>
              <w:bottom w:w="40" w:type="dxa"/>
              <w:right w:w="40" w:type="dxa"/>
            </w:tcMar>
            <w:vAlign w:val="bottom"/>
          </w:tcPr>
          <w:p w14:paraId="472B93C8" w14:textId="77777777" w:rsidR="008A3C0F" w:rsidRDefault="00842D82">
            <w:pPr>
              <w:pStyle w:val="normal0"/>
              <w:spacing w:line="240" w:lineRule="auto"/>
              <w:jc w:val="right"/>
            </w:pPr>
            <w:r>
              <w:rPr>
                <w:rFonts w:ascii="Times New Roman" w:eastAsia="Times New Roman" w:hAnsi="Times New Roman" w:cs="Times New Roman"/>
                <w:sz w:val="20"/>
              </w:rPr>
              <w:t>0.025%</w:t>
            </w:r>
          </w:p>
        </w:tc>
      </w:tr>
      <w:tr w:rsidR="008A3C0F" w14:paraId="25AA0864" w14:textId="77777777">
        <w:trPr>
          <w:jc w:val="center"/>
        </w:trPr>
        <w:tc>
          <w:tcPr>
            <w:tcW w:w="1200" w:type="dxa"/>
            <w:tcMar>
              <w:top w:w="40" w:type="dxa"/>
              <w:left w:w="40" w:type="dxa"/>
              <w:bottom w:w="40" w:type="dxa"/>
              <w:right w:w="40" w:type="dxa"/>
            </w:tcMar>
            <w:vAlign w:val="bottom"/>
          </w:tcPr>
          <w:p w14:paraId="10FBD344" w14:textId="77777777" w:rsidR="008A3C0F" w:rsidRDefault="00842D82">
            <w:pPr>
              <w:pStyle w:val="normal0"/>
              <w:spacing w:line="240" w:lineRule="auto"/>
              <w:jc w:val="center"/>
            </w:pPr>
            <w:r>
              <w:rPr>
                <w:rFonts w:ascii="Times New Roman" w:eastAsia="Times New Roman" w:hAnsi="Times New Roman" w:cs="Times New Roman"/>
                <w:i/>
                <w:sz w:val="20"/>
              </w:rPr>
              <w:t>Non-Selective</w:t>
            </w:r>
          </w:p>
        </w:tc>
        <w:tc>
          <w:tcPr>
            <w:tcW w:w="930" w:type="dxa"/>
            <w:tcMar>
              <w:top w:w="40" w:type="dxa"/>
              <w:left w:w="40" w:type="dxa"/>
              <w:bottom w:w="40" w:type="dxa"/>
              <w:right w:w="40" w:type="dxa"/>
            </w:tcMar>
            <w:vAlign w:val="bottom"/>
          </w:tcPr>
          <w:p w14:paraId="27E48F60" w14:textId="77777777" w:rsidR="008A3C0F" w:rsidRDefault="00842D82">
            <w:pPr>
              <w:pStyle w:val="normal0"/>
              <w:spacing w:line="240" w:lineRule="auto"/>
              <w:jc w:val="right"/>
            </w:pPr>
            <w:r>
              <w:rPr>
                <w:rFonts w:ascii="Times New Roman" w:eastAsia="Times New Roman" w:hAnsi="Times New Roman" w:cs="Times New Roman"/>
                <w:sz w:val="20"/>
              </w:rPr>
              <w:t>1</w:t>
            </w:r>
          </w:p>
        </w:tc>
        <w:tc>
          <w:tcPr>
            <w:tcW w:w="108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065D2E25" w14:textId="77777777" w:rsidR="008A3C0F" w:rsidRDefault="00842D82">
            <w:pPr>
              <w:pStyle w:val="normal0"/>
              <w:spacing w:line="240" w:lineRule="auto"/>
              <w:jc w:val="right"/>
            </w:pPr>
            <w:r>
              <w:rPr>
                <w:rFonts w:ascii="Times New Roman" w:eastAsia="Times New Roman" w:hAnsi="Times New Roman" w:cs="Times New Roman"/>
                <w:sz w:val="20"/>
              </w:rPr>
              <w:t>52.59%</w:t>
            </w:r>
          </w:p>
        </w:tc>
        <w:tc>
          <w:tcPr>
            <w:tcW w:w="99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3FBFF3DE" w14:textId="77777777" w:rsidR="008A3C0F" w:rsidRDefault="00842D82">
            <w:pPr>
              <w:pStyle w:val="normal0"/>
              <w:spacing w:line="240" w:lineRule="auto"/>
              <w:jc w:val="right"/>
            </w:pPr>
            <w:r>
              <w:rPr>
                <w:rFonts w:ascii="Times New Roman" w:eastAsia="Times New Roman" w:hAnsi="Times New Roman" w:cs="Times New Roman"/>
                <w:sz w:val="20"/>
              </w:rPr>
              <w:t>2.35%</w:t>
            </w:r>
          </w:p>
        </w:tc>
        <w:tc>
          <w:tcPr>
            <w:tcW w:w="112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41FB6EDB" w14:textId="77777777" w:rsidR="008A3C0F" w:rsidRDefault="008A3C0F">
            <w:pPr>
              <w:pStyle w:val="normal0"/>
              <w:spacing w:line="240" w:lineRule="auto"/>
              <w:jc w:val="right"/>
            </w:pPr>
          </w:p>
        </w:tc>
        <w:tc>
          <w:tcPr>
            <w:tcW w:w="1185" w:type="dxa"/>
            <w:tcBorders>
              <w:top w:val="single" w:sz="6" w:space="0" w:color="000000"/>
              <w:bottom w:val="single" w:sz="6" w:space="0" w:color="000000"/>
              <w:right w:val="single" w:sz="6" w:space="0" w:color="000000"/>
            </w:tcBorders>
            <w:tcMar>
              <w:top w:w="40" w:type="dxa"/>
              <w:left w:w="40" w:type="dxa"/>
              <w:bottom w:w="40" w:type="dxa"/>
              <w:right w:w="40" w:type="dxa"/>
            </w:tcMar>
            <w:vAlign w:val="bottom"/>
          </w:tcPr>
          <w:p w14:paraId="65D88DEA" w14:textId="77777777" w:rsidR="008A3C0F" w:rsidRDefault="00842D82">
            <w:pPr>
              <w:pStyle w:val="normal0"/>
              <w:spacing w:line="240" w:lineRule="auto"/>
              <w:jc w:val="right"/>
            </w:pPr>
            <w:r>
              <w:rPr>
                <w:rFonts w:ascii="Times New Roman" w:eastAsia="Times New Roman" w:hAnsi="Times New Roman" w:cs="Times New Roman"/>
                <w:sz w:val="20"/>
              </w:rPr>
              <w:t>810</w:t>
            </w:r>
          </w:p>
        </w:tc>
        <w:tc>
          <w:tcPr>
            <w:tcW w:w="1320" w:type="dxa"/>
            <w:tcMar>
              <w:top w:w="40" w:type="dxa"/>
              <w:left w:w="40" w:type="dxa"/>
              <w:bottom w:w="40" w:type="dxa"/>
              <w:right w:w="40" w:type="dxa"/>
            </w:tcMar>
            <w:vAlign w:val="bottom"/>
          </w:tcPr>
          <w:p w14:paraId="3FC9395A" w14:textId="77777777" w:rsidR="008A3C0F" w:rsidRDefault="008A3C0F">
            <w:pPr>
              <w:pStyle w:val="normal0"/>
              <w:spacing w:line="240" w:lineRule="auto"/>
              <w:jc w:val="right"/>
            </w:pPr>
          </w:p>
        </w:tc>
      </w:tr>
      <w:tr w:rsidR="008A3C0F" w14:paraId="321AEA3A" w14:textId="77777777">
        <w:trPr>
          <w:jc w:val="center"/>
        </w:trPr>
        <w:tc>
          <w:tcPr>
            <w:tcW w:w="1200" w:type="dxa"/>
            <w:tcMar>
              <w:top w:w="40" w:type="dxa"/>
              <w:left w:w="40" w:type="dxa"/>
              <w:bottom w:w="40" w:type="dxa"/>
              <w:right w:w="40" w:type="dxa"/>
            </w:tcMar>
            <w:vAlign w:val="bottom"/>
          </w:tcPr>
          <w:p w14:paraId="07109DE0" w14:textId="77777777" w:rsidR="008A3C0F" w:rsidRDefault="008A3C0F">
            <w:pPr>
              <w:pStyle w:val="normal0"/>
              <w:spacing w:line="240" w:lineRule="auto"/>
              <w:jc w:val="right"/>
            </w:pPr>
          </w:p>
        </w:tc>
        <w:tc>
          <w:tcPr>
            <w:tcW w:w="930" w:type="dxa"/>
            <w:tcMar>
              <w:top w:w="40" w:type="dxa"/>
              <w:left w:w="40" w:type="dxa"/>
              <w:bottom w:w="40" w:type="dxa"/>
              <w:right w:w="40" w:type="dxa"/>
            </w:tcMar>
            <w:vAlign w:val="bottom"/>
          </w:tcPr>
          <w:p w14:paraId="23856109" w14:textId="77777777" w:rsidR="008A3C0F" w:rsidRDefault="00842D82">
            <w:pPr>
              <w:pStyle w:val="normal0"/>
              <w:spacing w:line="240" w:lineRule="auto"/>
              <w:jc w:val="right"/>
            </w:pPr>
            <w:r>
              <w:rPr>
                <w:rFonts w:ascii="Times New Roman" w:eastAsia="Times New Roman" w:hAnsi="Times New Roman" w:cs="Times New Roman"/>
                <w:sz w:val="20"/>
              </w:rPr>
              <w:t>2</w:t>
            </w:r>
          </w:p>
        </w:tc>
        <w:tc>
          <w:tcPr>
            <w:tcW w:w="1080"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14:paraId="4EE854C2" w14:textId="77777777" w:rsidR="008A3C0F" w:rsidRDefault="00842D82">
            <w:pPr>
              <w:pStyle w:val="normal0"/>
              <w:spacing w:line="240" w:lineRule="auto"/>
              <w:jc w:val="right"/>
            </w:pPr>
            <w:r>
              <w:rPr>
                <w:rFonts w:ascii="Times New Roman" w:eastAsia="Times New Roman" w:hAnsi="Times New Roman" w:cs="Times New Roman"/>
                <w:sz w:val="20"/>
              </w:rPr>
              <w:t>66.23%</w:t>
            </w:r>
          </w:p>
        </w:tc>
        <w:tc>
          <w:tcPr>
            <w:tcW w:w="990"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14:paraId="4208830C" w14:textId="77777777" w:rsidR="008A3C0F" w:rsidRDefault="00842D82">
            <w:pPr>
              <w:pStyle w:val="normal0"/>
              <w:spacing w:line="240" w:lineRule="auto"/>
              <w:jc w:val="right"/>
            </w:pPr>
            <w:r>
              <w:rPr>
                <w:rFonts w:ascii="Times New Roman" w:eastAsia="Times New Roman" w:hAnsi="Times New Roman" w:cs="Times New Roman"/>
                <w:sz w:val="20"/>
              </w:rPr>
              <w:t>3.26%</w:t>
            </w:r>
          </w:p>
        </w:tc>
        <w:tc>
          <w:tcPr>
            <w:tcW w:w="1125"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14:paraId="5B9844C4" w14:textId="77777777" w:rsidR="008A3C0F" w:rsidRDefault="00842D82">
            <w:pPr>
              <w:pStyle w:val="normal0"/>
              <w:spacing w:line="240" w:lineRule="auto"/>
              <w:jc w:val="right"/>
            </w:pPr>
            <w:r>
              <w:rPr>
                <w:rFonts w:ascii="Times New Roman" w:eastAsia="Times New Roman" w:hAnsi="Times New Roman" w:cs="Times New Roman"/>
                <w:sz w:val="20"/>
              </w:rPr>
              <w:t>13.64%</w:t>
            </w:r>
          </w:p>
        </w:tc>
        <w:tc>
          <w:tcPr>
            <w:tcW w:w="1185" w:type="dxa"/>
            <w:tcBorders>
              <w:bottom w:val="single" w:sz="6" w:space="0" w:color="000000"/>
              <w:right w:val="single" w:sz="6" w:space="0" w:color="000000"/>
            </w:tcBorders>
            <w:tcMar>
              <w:top w:w="40" w:type="dxa"/>
              <w:left w:w="40" w:type="dxa"/>
              <w:bottom w:w="40" w:type="dxa"/>
              <w:right w:w="40" w:type="dxa"/>
            </w:tcMar>
            <w:vAlign w:val="bottom"/>
          </w:tcPr>
          <w:p w14:paraId="7B92F222" w14:textId="77777777" w:rsidR="008A3C0F" w:rsidRDefault="00842D82">
            <w:pPr>
              <w:pStyle w:val="normal0"/>
              <w:spacing w:line="240" w:lineRule="auto"/>
              <w:jc w:val="right"/>
            </w:pPr>
            <w:r>
              <w:rPr>
                <w:rFonts w:ascii="Times New Roman" w:eastAsia="Times New Roman" w:hAnsi="Times New Roman" w:cs="Times New Roman"/>
                <w:sz w:val="20"/>
              </w:rPr>
              <w:t>1620</w:t>
            </w:r>
          </w:p>
        </w:tc>
        <w:tc>
          <w:tcPr>
            <w:tcW w:w="1320" w:type="dxa"/>
            <w:tcMar>
              <w:top w:w="40" w:type="dxa"/>
              <w:left w:w="40" w:type="dxa"/>
              <w:bottom w:w="40" w:type="dxa"/>
              <w:right w:w="40" w:type="dxa"/>
            </w:tcMar>
            <w:vAlign w:val="bottom"/>
          </w:tcPr>
          <w:p w14:paraId="4F6007E0" w14:textId="77777777" w:rsidR="008A3C0F" w:rsidRDefault="00842D82">
            <w:pPr>
              <w:pStyle w:val="normal0"/>
              <w:spacing w:line="240" w:lineRule="auto"/>
              <w:jc w:val="right"/>
            </w:pPr>
            <w:r>
              <w:rPr>
                <w:rFonts w:ascii="Times New Roman" w:eastAsia="Times New Roman" w:hAnsi="Times New Roman" w:cs="Times New Roman"/>
                <w:sz w:val="20"/>
              </w:rPr>
              <w:t>0.017%</w:t>
            </w:r>
          </w:p>
        </w:tc>
      </w:tr>
      <w:tr w:rsidR="008A3C0F" w14:paraId="38CD655D" w14:textId="77777777">
        <w:trPr>
          <w:jc w:val="center"/>
        </w:trPr>
        <w:tc>
          <w:tcPr>
            <w:tcW w:w="1200" w:type="dxa"/>
            <w:tcMar>
              <w:top w:w="40" w:type="dxa"/>
              <w:left w:w="40" w:type="dxa"/>
              <w:bottom w:w="40" w:type="dxa"/>
              <w:right w:w="40" w:type="dxa"/>
            </w:tcMar>
            <w:vAlign w:val="bottom"/>
          </w:tcPr>
          <w:p w14:paraId="4D988258" w14:textId="77777777" w:rsidR="008A3C0F" w:rsidRDefault="008A3C0F">
            <w:pPr>
              <w:pStyle w:val="normal0"/>
              <w:spacing w:line="240" w:lineRule="auto"/>
              <w:jc w:val="right"/>
            </w:pPr>
          </w:p>
        </w:tc>
        <w:tc>
          <w:tcPr>
            <w:tcW w:w="930" w:type="dxa"/>
            <w:tcMar>
              <w:top w:w="40" w:type="dxa"/>
              <w:left w:w="40" w:type="dxa"/>
              <w:bottom w:w="40" w:type="dxa"/>
              <w:right w:w="40" w:type="dxa"/>
            </w:tcMar>
            <w:vAlign w:val="bottom"/>
          </w:tcPr>
          <w:p w14:paraId="6ECD4A8C" w14:textId="77777777" w:rsidR="008A3C0F" w:rsidRDefault="00842D82">
            <w:pPr>
              <w:pStyle w:val="normal0"/>
              <w:spacing w:line="240" w:lineRule="auto"/>
              <w:jc w:val="right"/>
            </w:pPr>
            <w:r>
              <w:rPr>
                <w:rFonts w:ascii="Times New Roman" w:eastAsia="Times New Roman" w:hAnsi="Times New Roman" w:cs="Times New Roman"/>
                <w:sz w:val="20"/>
              </w:rPr>
              <w:t>3</w:t>
            </w:r>
          </w:p>
        </w:tc>
        <w:tc>
          <w:tcPr>
            <w:tcW w:w="1080"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14:paraId="54B1E23B" w14:textId="77777777" w:rsidR="008A3C0F" w:rsidRDefault="00842D82">
            <w:pPr>
              <w:pStyle w:val="normal0"/>
              <w:spacing w:line="240" w:lineRule="auto"/>
              <w:jc w:val="right"/>
            </w:pPr>
            <w:r>
              <w:rPr>
                <w:rFonts w:ascii="Times New Roman" w:eastAsia="Times New Roman" w:hAnsi="Times New Roman" w:cs="Times New Roman"/>
                <w:sz w:val="20"/>
              </w:rPr>
              <w:t>65.80%</w:t>
            </w:r>
          </w:p>
        </w:tc>
        <w:tc>
          <w:tcPr>
            <w:tcW w:w="990"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14:paraId="4740D790" w14:textId="77777777" w:rsidR="008A3C0F" w:rsidRDefault="00842D82">
            <w:pPr>
              <w:pStyle w:val="normal0"/>
              <w:spacing w:line="240" w:lineRule="auto"/>
              <w:jc w:val="right"/>
            </w:pPr>
            <w:r>
              <w:rPr>
                <w:rFonts w:ascii="Times New Roman" w:eastAsia="Times New Roman" w:hAnsi="Times New Roman" w:cs="Times New Roman"/>
                <w:sz w:val="20"/>
              </w:rPr>
              <w:t>2.50%</w:t>
            </w:r>
          </w:p>
        </w:tc>
        <w:tc>
          <w:tcPr>
            <w:tcW w:w="1125"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14:paraId="1D9A78E5" w14:textId="77777777" w:rsidR="008A3C0F" w:rsidRDefault="00842D82">
            <w:pPr>
              <w:pStyle w:val="normal0"/>
              <w:spacing w:line="240" w:lineRule="auto"/>
              <w:jc w:val="right"/>
            </w:pPr>
            <w:r>
              <w:rPr>
                <w:rFonts w:ascii="Times New Roman" w:eastAsia="Times New Roman" w:hAnsi="Times New Roman" w:cs="Times New Roman"/>
                <w:sz w:val="20"/>
              </w:rPr>
              <w:t>-0.43%</w:t>
            </w:r>
          </w:p>
        </w:tc>
        <w:tc>
          <w:tcPr>
            <w:tcW w:w="1185" w:type="dxa"/>
            <w:tcBorders>
              <w:bottom w:val="single" w:sz="6" w:space="0" w:color="000000"/>
              <w:right w:val="single" w:sz="6" w:space="0" w:color="000000"/>
            </w:tcBorders>
            <w:tcMar>
              <w:top w:w="40" w:type="dxa"/>
              <w:left w:w="40" w:type="dxa"/>
              <w:bottom w:w="40" w:type="dxa"/>
              <w:right w:w="40" w:type="dxa"/>
            </w:tcMar>
            <w:vAlign w:val="bottom"/>
          </w:tcPr>
          <w:p w14:paraId="4A1CAAE7" w14:textId="77777777" w:rsidR="008A3C0F" w:rsidRDefault="00842D82">
            <w:pPr>
              <w:pStyle w:val="normal0"/>
              <w:spacing w:line="240" w:lineRule="auto"/>
              <w:jc w:val="right"/>
            </w:pPr>
            <w:r>
              <w:rPr>
                <w:rFonts w:ascii="Times New Roman" w:eastAsia="Times New Roman" w:hAnsi="Times New Roman" w:cs="Times New Roman"/>
                <w:sz w:val="20"/>
              </w:rPr>
              <w:t>2430</w:t>
            </w:r>
          </w:p>
        </w:tc>
        <w:tc>
          <w:tcPr>
            <w:tcW w:w="1320" w:type="dxa"/>
            <w:tcMar>
              <w:top w:w="40" w:type="dxa"/>
              <w:left w:w="40" w:type="dxa"/>
              <w:bottom w:w="40" w:type="dxa"/>
              <w:right w:w="40" w:type="dxa"/>
            </w:tcMar>
            <w:vAlign w:val="bottom"/>
          </w:tcPr>
          <w:p w14:paraId="48D54539" w14:textId="77777777" w:rsidR="008A3C0F" w:rsidRDefault="00842D82">
            <w:pPr>
              <w:pStyle w:val="normal0"/>
              <w:spacing w:line="240" w:lineRule="auto"/>
              <w:jc w:val="right"/>
            </w:pPr>
            <w:r>
              <w:rPr>
                <w:rFonts w:ascii="Times New Roman" w:eastAsia="Times New Roman" w:hAnsi="Times New Roman" w:cs="Times New Roman"/>
                <w:sz w:val="20"/>
              </w:rPr>
              <w:t>-0.001%</w:t>
            </w:r>
          </w:p>
        </w:tc>
      </w:tr>
      <w:tr w:rsidR="008A3C0F" w14:paraId="3A3E1B77" w14:textId="77777777">
        <w:trPr>
          <w:jc w:val="center"/>
        </w:trPr>
        <w:tc>
          <w:tcPr>
            <w:tcW w:w="1200" w:type="dxa"/>
            <w:tcMar>
              <w:top w:w="40" w:type="dxa"/>
              <w:left w:w="40" w:type="dxa"/>
              <w:bottom w:w="40" w:type="dxa"/>
              <w:right w:w="40" w:type="dxa"/>
            </w:tcMar>
            <w:vAlign w:val="bottom"/>
          </w:tcPr>
          <w:p w14:paraId="3AB66977" w14:textId="77777777" w:rsidR="008A3C0F" w:rsidRDefault="008A3C0F">
            <w:pPr>
              <w:pStyle w:val="normal0"/>
              <w:spacing w:line="240" w:lineRule="auto"/>
              <w:jc w:val="right"/>
            </w:pPr>
          </w:p>
        </w:tc>
        <w:tc>
          <w:tcPr>
            <w:tcW w:w="930" w:type="dxa"/>
            <w:tcMar>
              <w:top w:w="40" w:type="dxa"/>
              <w:left w:w="40" w:type="dxa"/>
              <w:bottom w:w="40" w:type="dxa"/>
              <w:right w:w="40" w:type="dxa"/>
            </w:tcMar>
            <w:vAlign w:val="bottom"/>
          </w:tcPr>
          <w:p w14:paraId="02F8DB6B" w14:textId="77777777" w:rsidR="008A3C0F" w:rsidRDefault="00842D82">
            <w:pPr>
              <w:pStyle w:val="normal0"/>
              <w:spacing w:line="240" w:lineRule="auto"/>
              <w:jc w:val="right"/>
            </w:pPr>
            <w:r>
              <w:rPr>
                <w:rFonts w:ascii="Times New Roman" w:eastAsia="Times New Roman" w:hAnsi="Times New Roman" w:cs="Times New Roman"/>
                <w:sz w:val="20"/>
              </w:rPr>
              <w:t>4</w:t>
            </w:r>
          </w:p>
        </w:tc>
        <w:tc>
          <w:tcPr>
            <w:tcW w:w="1080"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14:paraId="20063B8A" w14:textId="77777777" w:rsidR="008A3C0F" w:rsidRDefault="00842D82">
            <w:pPr>
              <w:pStyle w:val="normal0"/>
              <w:spacing w:line="240" w:lineRule="auto"/>
              <w:jc w:val="right"/>
            </w:pPr>
            <w:r>
              <w:rPr>
                <w:rFonts w:ascii="Times New Roman" w:eastAsia="Times New Roman" w:hAnsi="Times New Roman" w:cs="Times New Roman"/>
                <w:sz w:val="20"/>
              </w:rPr>
              <w:t>70.86%</w:t>
            </w:r>
          </w:p>
        </w:tc>
        <w:tc>
          <w:tcPr>
            <w:tcW w:w="990"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14:paraId="2A26E24C" w14:textId="77777777" w:rsidR="008A3C0F" w:rsidRDefault="00842D82">
            <w:pPr>
              <w:pStyle w:val="normal0"/>
              <w:spacing w:line="240" w:lineRule="auto"/>
              <w:jc w:val="right"/>
            </w:pPr>
            <w:r>
              <w:rPr>
                <w:rFonts w:ascii="Times New Roman" w:eastAsia="Times New Roman" w:hAnsi="Times New Roman" w:cs="Times New Roman"/>
                <w:sz w:val="20"/>
              </w:rPr>
              <w:t>2.23%</w:t>
            </w:r>
          </w:p>
        </w:tc>
        <w:tc>
          <w:tcPr>
            <w:tcW w:w="1125"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14:paraId="30C43AD4" w14:textId="77777777" w:rsidR="008A3C0F" w:rsidRDefault="00842D82">
            <w:pPr>
              <w:pStyle w:val="normal0"/>
              <w:spacing w:line="240" w:lineRule="auto"/>
              <w:jc w:val="right"/>
            </w:pPr>
            <w:r>
              <w:rPr>
                <w:rFonts w:ascii="Times New Roman" w:eastAsia="Times New Roman" w:hAnsi="Times New Roman" w:cs="Times New Roman"/>
                <w:sz w:val="20"/>
              </w:rPr>
              <w:t>5.06%</w:t>
            </w:r>
          </w:p>
        </w:tc>
        <w:tc>
          <w:tcPr>
            <w:tcW w:w="1185" w:type="dxa"/>
            <w:tcBorders>
              <w:bottom w:val="single" w:sz="6" w:space="0" w:color="000000"/>
              <w:right w:val="single" w:sz="6" w:space="0" w:color="000000"/>
            </w:tcBorders>
            <w:tcMar>
              <w:top w:w="40" w:type="dxa"/>
              <w:left w:w="40" w:type="dxa"/>
              <w:bottom w:w="40" w:type="dxa"/>
              <w:right w:w="40" w:type="dxa"/>
            </w:tcMar>
            <w:vAlign w:val="bottom"/>
          </w:tcPr>
          <w:p w14:paraId="731199D9" w14:textId="77777777" w:rsidR="008A3C0F" w:rsidRDefault="00842D82">
            <w:pPr>
              <w:pStyle w:val="normal0"/>
              <w:spacing w:line="240" w:lineRule="auto"/>
              <w:jc w:val="right"/>
            </w:pPr>
            <w:r>
              <w:rPr>
                <w:rFonts w:ascii="Times New Roman" w:eastAsia="Times New Roman" w:hAnsi="Times New Roman" w:cs="Times New Roman"/>
                <w:sz w:val="20"/>
              </w:rPr>
              <w:t>3240</w:t>
            </w:r>
          </w:p>
        </w:tc>
        <w:tc>
          <w:tcPr>
            <w:tcW w:w="1320" w:type="dxa"/>
            <w:tcMar>
              <w:top w:w="40" w:type="dxa"/>
              <w:left w:w="40" w:type="dxa"/>
              <w:bottom w:w="40" w:type="dxa"/>
              <w:right w:w="40" w:type="dxa"/>
            </w:tcMar>
            <w:vAlign w:val="bottom"/>
          </w:tcPr>
          <w:p w14:paraId="05481AF0" w14:textId="77777777" w:rsidR="008A3C0F" w:rsidRDefault="00842D82">
            <w:pPr>
              <w:pStyle w:val="normal0"/>
              <w:spacing w:line="240" w:lineRule="auto"/>
              <w:jc w:val="right"/>
            </w:pPr>
            <w:r>
              <w:rPr>
                <w:rFonts w:ascii="Times New Roman" w:eastAsia="Times New Roman" w:hAnsi="Times New Roman" w:cs="Times New Roman"/>
                <w:sz w:val="20"/>
              </w:rPr>
              <w:t>0.006%</w:t>
            </w:r>
          </w:p>
        </w:tc>
      </w:tr>
    </w:tbl>
    <w:p w14:paraId="7BB0797F" w14:textId="77777777" w:rsidR="008A3C0F" w:rsidRDefault="00842D82">
      <w:pPr>
        <w:pStyle w:val="normal0"/>
        <w:spacing w:line="240" w:lineRule="auto"/>
        <w:jc w:val="center"/>
      </w:pPr>
      <w:r>
        <w:rPr>
          <w:rFonts w:ascii="Times New Roman" w:eastAsia="Times New Roman" w:hAnsi="Times New Roman" w:cs="Times New Roman"/>
        </w:rPr>
        <w:t>Table I: Performance comparisons for validation set.</w:t>
      </w:r>
    </w:p>
    <w:p w14:paraId="3C31F21A" w14:textId="77777777" w:rsidR="008A3C0F" w:rsidRDefault="008A3C0F">
      <w:pPr>
        <w:pStyle w:val="normal0"/>
        <w:spacing w:line="240" w:lineRule="auto"/>
        <w:ind w:firstLine="720"/>
        <w:jc w:val="both"/>
      </w:pPr>
    </w:p>
    <w:p w14:paraId="632197C0" w14:textId="77777777" w:rsidR="008A3C0F" w:rsidRDefault="00842D82">
      <w:pPr>
        <w:pStyle w:val="normal0"/>
        <w:ind w:firstLine="720"/>
        <w:jc w:val="both"/>
      </w:pPr>
      <w:r>
        <w:rPr>
          <w:rFonts w:ascii="Times New Roman" w:eastAsia="Times New Roman" w:hAnsi="Times New Roman" w:cs="Times New Roman"/>
          <w:sz w:val="24"/>
        </w:rPr>
        <w:t xml:space="preserve">As one would expect, in both approaches the marginal benefit of additional labels decreases in the later iterations. Further, the selective approach achieved much higher accuracy even in early iterations than the non-selective approach, using far fewer labels. If each label corresponds to a fix price of acquisition, the selective approach after four iterations cost 46.91% of what the non-selective approach cost at the same point and achieved 10.31% higher accuracy. This gain in accuracy is related to the reduction in label uncertainty that occurs when labels are judged as adequate or inadequate based on other labels that may be more certain and are linked to a large set of image features. </w:t>
      </w:r>
    </w:p>
    <w:p w14:paraId="1AC78575" w14:textId="77777777" w:rsidR="008A3C0F" w:rsidRDefault="008A3C0F">
      <w:pPr>
        <w:pStyle w:val="normal0"/>
        <w:spacing w:line="240" w:lineRule="auto"/>
        <w:ind w:firstLine="720"/>
        <w:jc w:val="both"/>
      </w:pPr>
    </w:p>
    <w:p w14:paraId="735791C6" w14:textId="533717E2" w:rsidR="008A3C0F" w:rsidRDefault="00842D82">
      <w:pPr>
        <w:pStyle w:val="normal0"/>
        <w:spacing w:line="240" w:lineRule="auto"/>
        <w:ind w:firstLine="720"/>
        <w:jc w:val="center"/>
      </w:pPr>
      <w:r>
        <w:rPr>
          <w:rFonts w:ascii="Times New Roman" w:eastAsia="Times New Roman" w:hAnsi="Times New Roman" w:cs="Times New Roman"/>
          <w:sz w:val="20"/>
        </w:rPr>
        <w:t xml:space="preserve">Figure I:  </w:t>
      </w:r>
      <w:r w:rsidR="00F33D07">
        <w:rPr>
          <w:rFonts w:ascii="Times New Roman" w:eastAsia="Times New Roman" w:hAnsi="Times New Roman" w:cs="Times New Roman"/>
          <w:b/>
          <w:sz w:val="20"/>
        </w:rPr>
        <w:t>left</w:t>
      </w:r>
      <w:r>
        <w:rPr>
          <w:rFonts w:ascii="Times New Roman" w:eastAsia="Times New Roman" w:hAnsi="Times New Roman" w:cs="Times New Roman"/>
          <w:b/>
          <w:sz w:val="20"/>
        </w:rPr>
        <w:t>)</w:t>
      </w:r>
      <w:r>
        <w:rPr>
          <w:rFonts w:ascii="Times New Roman" w:eastAsia="Times New Roman" w:hAnsi="Times New Roman" w:cs="Times New Roman"/>
          <w:sz w:val="20"/>
        </w:rPr>
        <w:t xml:space="preserve"> Label variances for cases receiving one label, two labels, three labels, and four labels respectively;</w:t>
      </w:r>
      <w:r w:rsidR="00F33D07">
        <w:rPr>
          <w:rFonts w:ascii="Times New Roman" w:eastAsia="Times New Roman" w:hAnsi="Times New Roman" w:cs="Times New Roman"/>
          <w:b/>
          <w:sz w:val="20"/>
        </w:rPr>
        <w:t xml:space="preserve"> right</w:t>
      </w:r>
      <w:r>
        <w:rPr>
          <w:rFonts w:ascii="Times New Roman" w:eastAsia="Times New Roman" w:hAnsi="Times New Roman" w:cs="Times New Roman"/>
          <w:b/>
          <w:sz w:val="20"/>
        </w:rPr>
        <w:t>)</w:t>
      </w:r>
      <w:r>
        <w:rPr>
          <w:rFonts w:ascii="Times New Roman" w:eastAsia="Times New Roman" w:hAnsi="Times New Roman" w:cs="Times New Roman"/>
          <w:sz w:val="20"/>
        </w:rPr>
        <w:t xml:space="preserve"> Label variances at each selective iteration and for all possible labels provided by radiologists.</w:t>
      </w:r>
      <w:r>
        <w:rPr>
          <w:noProof/>
        </w:rPr>
        <w:drawing>
          <wp:anchor distT="57150" distB="57150" distL="57150" distR="57150" simplePos="0" relativeHeight="251658240" behindDoc="0" locked="0" layoutInCell="0" hidden="0" allowOverlap="0" wp14:anchorId="338B53CD" wp14:editId="031AB485">
            <wp:simplePos x="0" y="0"/>
            <wp:positionH relativeFrom="margin">
              <wp:posOffset>85725</wp:posOffset>
            </wp:positionH>
            <wp:positionV relativeFrom="paragraph">
              <wp:posOffset>104775</wp:posOffset>
            </wp:positionV>
            <wp:extent cx="2266950" cy="1786357"/>
            <wp:effectExtent l="0" t="0" r="0" b="0"/>
            <wp:wrapTopAndBottom distT="57150" distB="57150"/>
            <wp:docPr id="2" name="image01.png" descr="plotplotplot.png"/>
            <wp:cNvGraphicFramePr/>
            <a:graphic xmlns:a="http://schemas.openxmlformats.org/drawingml/2006/main">
              <a:graphicData uri="http://schemas.openxmlformats.org/drawingml/2006/picture">
                <pic:pic xmlns:pic="http://schemas.openxmlformats.org/drawingml/2006/picture">
                  <pic:nvPicPr>
                    <pic:cNvPr id="0" name="image01.png" descr="plotplotplot.png"/>
                    <pic:cNvPicPr preferRelativeResize="0"/>
                  </pic:nvPicPr>
                  <pic:blipFill>
                    <a:blip r:embed="rId8"/>
                    <a:srcRect t="17056" r="7478" b="3037"/>
                    <a:stretch>
                      <a:fillRect/>
                    </a:stretch>
                  </pic:blipFill>
                  <pic:spPr>
                    <a:xfrm>
                      <a:off x="0" y="0"/>
                      <a:ext cx="2266950" cy="1786357"/>
                    </a:xfrm>
                    <a:prstGeom prst="rect">
                      <a:avLst/>
                    </a:prstGeom>
                    <a:ln/>
                  </pic:spPr>
                </pic:pic>
              </a:graphicData>
            </a:graphic>
          </wp:anchor>
        </w:drawing>
      </w:r>
      <w:r>
        <w:rPr>
          <w:noProof/>
        </w:rPr>
        <w:drawing>
          <wp:anchor distT="57150" distB="57150" distL="57150" distR="57150" simplePos="0" relativeHeight="251659264" behindDoc="0" locked="0" layoutInCell="0" hidden="0" allowOverlap="0" wp14:anchorId="328C0C03" wp14:editId="41B5A3B0">
            <wp:simplePos x="0" y="0"/>
            <wp:positionH relativeFrom="margin">
              <wp:posOffset>3181350</wp:posOffset>
            </wp:positionH>
            <wp:positionV relativeFrom="paragraph">
              <wp:posOffset>104775</wp:posOffset>
            </wp:positionV>
            <wp:extent cx="2347913" cy="1852650"/>
            <wp:effectExtent l="0" t="0" r="0" b="0"/>
            <wp:wrapTopAndBottom distT="57150" distB="57150"/>
            <wp:docPr id="1" name="image00.png" descr="SelectiveAndAll.png"/>
            <wp:cNvGraphicFramePr/>
            <a:graphic xmlns:a="http://schemas.openxmlformats.org/drawingml/2006/main">
              <a:graphicData uri="http://schemas.openxmlformats.org/drawingml/2006/picture">
                <pic:pic xmlns:pic="http://schemas.openxmlformats.org/drawingml/2006/picture">
                  <pic:nvPicPr>
                    <pic:cNvPr id="0" name="image00.png" descr="SelectiveAndAll.png"/>
                    <pic:cNvPicPr preferRelativeResize="0"/>
                  </pic:nvPicPr>
                  <pic:blipFill>
                    <a:blip r:embed="rId9"/>
                    <a:srcRect t="16121" r="7051" b="3271"/>
                    <a:stretch>
                      <a:fillRect/>
                    </a:stretch>
                  </pic:blipFill>
                  <pic:spPr>
                    <a:xfrm>
                      <a:off x="0" y="0"/>
                      <a:ext cx="2347913" cy="1852650"/>
                    </a:xfrm>
                    <a:prstGeom prst="rect">
                      <a:avLst/>
                    </a:prstGeom>
                    <a:ln/>
                  </pic:spPr>
                </pic:pic>
              </a:graphicData>
            </a:graphic>
          </wp:anchor>
        </w:drawing>
      </w:r>
    </w:p>
    <w:p w14:paraId="01804295" w14:textId="77777777" w:rsidR="008A3C0F" w:rsidRDefault="008A3C0F">
      <w:pPr>
        <w:pStyle w:val="normal0"/>
        <w:spacing w:line="240" w:lineRule="auto"/>
        <w:ind w:firstLine="720"/>
        <w:jc w:val="both"/>
      </w:pPr>
    </w:p>
    <w:p w14:paraId="3087061A" w14:textId="745CFFEE" w:rsidR="008A3C0F" w:rsidRDefault="00B64640">
      <w:pPr>
        <w:pStyle w:val="normal0"/>
        <w:spacing w:line="240" w:lineRule="auto"/>
        <w:ind w:firstLine="720"/>
        <w:jc w:val="both"/>
      </w:pPr>
      <w:r>
        <w:rPr>
          <w:rFonts w:ascii="Times New Roman" w:eastAsia="Times New Roman" w:hAnsi="Times New Roman" w:cs="Times New Roman"/>
          <w:sz w:val="24"/>
        </w:rPr>
        <w:t xml:space="preserve">Figure </w:t>
      </w:r>
      <w:proofErr w:type="spellStart"/>
      <w:r>
        <w:rPr>
          <w:rFonts w:ascii="Times New Roman" w:eastAsia="Times New Roman" w:hAnsi="Times New Roman" w:cs="Times New Roman"/>
          <w:sz w:val="24"/>
        </w:rPr>
        <w:t>I.left</w:t>
      </w:r>
      <w:proofErr w:type="spellEnd"/>
      <w:r w:rsidR="00842D82">
        <w:rPr>
          <w:rFonts w:ascii="Times New Roman" w:eastAsia="Times New Roman" w:hAnsi="Times New Roman" w:cs="Times New Roman"/>
          <w:sz w:val="24"/>
        </w:rPr>
        <w:t xml:space="preserve"> shows a boxplot of the variances per case of all radiologist labels, separated by the total number of labels required at the final iteration of the selective algorithm. A higher variance indicates more radiologist disagreement and a harder to diagnose case. Cases that required more labels from the algorithm had higher variances on average than cases that required </w:t>
      </w:r>
      <w:r w:rsidR="00842D82">
        <w:rPr>
          <w:rFonts w:ascii="Times New Roman" w:eastAsia="Times New Roman" w:hAnsi="Times New Roman" w:cs="Times New Roman"/>
          <w:sz w:val="24"/>
        </w:rPr>
        <w:lastRenderedPageBreak/>
        <w:t>fewer labels. This tendency to agree with radiologists on which cases are harder to diagnose makes the selective iterative algorithm a strong candidate for a future easy vs. hard differentiation as described in [3].</w:t>
      </w:r>
    </w:p>
    <w:p w14:paraId="4701E139" w14:textId="6C6296DC" w:rsidR="008A3C0F" w:rsidRDefault="00842D82">
      <w:pPr>
        <w:pStyle w:val="normal0"/>
        <w:spacing w:line="240" w:lineRule="auto"/>
        <w:ind w:firstLine="720"/>
        <w:jc w:val="both"/>
      </w:pPr>
      <w:r>
        <w:rPr>
          <w:rFonts w:ascii="Times New Roman" w:eastAsia="Times New Roman" w:hAnsi="Times New Roman" w:cs="Times New Roman"/>
          <w:sz w:val="24"/>
        </w:rPr>
        <w:t>We can further quantify the reduction in uncertainty by looking at the variance of the labels u</w:t>
      </w:r>
      <w:r w:rsidR="00B64640">
        <w:rPr>
          <w:rFonts w:ascii="Times New Roman" w:eastAsia="Times New Roman" w:hAnsi="Times New Roman" w:cs="Times New Roman"/>
          <w:sz w:val="24"/>
        </w:rPr>
        <w:t xml:space="preserve">sed </w:t>
      </w:r>
      <w:proofErr w:type="gramStart"/>
      <w:r w:rsidR="00B64640">
        <w:rPr>
          <w:rFonts w:ascii="Times New Roman" w:eastAsia="Times New Roman" w:hAnsi="Times New Roman" w:cs="Times New Roman"/>
          <w:sz w:val="24"/>
        </w:rPr>
        <w:t>in each iteration</w:t>
      </w:r>
      <w:proofErr w:type="gramEnd"/>
      <w:r w:rsidR="00B64640">
        <w:rPr>
          <w:rFonts w:ascii="Times New Roman" w:eastAsia="Times New Roman" w:hAnsi="Times New Roman" w:cs="Times New Roman"/>
          <w:sz w:val="24"/>
        </w:rPr>
        <w:t xml:space="preserve"> of the</w:t>
      </w:r>
      <w:r>
        <w:rPr>
          <w:rFonts w:ascii="Times New Roman" w:eastAsia="Times New Roman" w:hAnsi="Times New Roman" w:cs="Times New Roman"/>
          <w:sz w:val="24"/>
        </w:rPr>
        <w:t xml:space="preserve"> selective approach in comparison with the variance of all four labels, which would be used in a traditional all-labe</w:t>
      </w:r>
      <w:r w:rsidR="00B64640">
        <w:rPr>
          <w:rFonts w:ascii="Times New Roman" w:eastAsia="Times New Roman" w:hAnsi="Times New Roman" w:cs="Times New Roman"/>
          <w:sz w:val="24"/>
        </w:rPr>
        <w:t xml:space="preserve">l consensus approach. Figure </w:t>
      </w:r>
      <w:proofErr w:type="spellStart"/>
      <w:r w:rsidR="00B64640">
        <w:rPr>
          <w:rFonts w:ascii="Times New Roman" w:eastAsia="Times New Roman" w:hAnsi="Times New Roman" w:cs="Times New Roman"/>
          <w:sz w:val="24"/>
        </w:rPr>
        <w:t>I.right</w:t>
      </w:r>
      <w:proofErr w:type="spellEnd"/>
      <w:r>
        <w:rPr>
          <w:rFonts w:ascii="Times New Roman" w:eastAsia="Times New Roman" w:hAnsi="Times New Roman" w:cs="Times New Roman"/>
          <w:sz w:val="24"/>
        </w:rPr>
        <w:t xml:space="preserve"> shows that the variance even at the fourth iteration of the selective iterative model is much lower overall than the variance of all radiologist labels, which have a high degree of uncertainty. This </w:t>
      </w:r>
      <w:r w:rsidR="00B64640">
        <w:rPr>
          <w:rFonts w:ascii="Times New Roman" w:eastAsia="Times New Roman" w:hAnsi="Times New Roman" w:cs="Times New Roman"/>
          <w:sz w:val="24"/>
        </w:rPr>
        <w:t>u</w:t>
      </w:r>
      <w:r w:rsidR="00C27EF6">
        <w:rPr>
          <w:rFonts w:ascii="Times New Roman" w:eastAsia="Times New Roman" w:hAnsi="Times New Roman" w:cs="Times New Roman"/>
          <w:sz w:val="24"/>
        </w:rPr>
        <w:tab/>
      </w:r>
      <w:proofErr w:type="spellStart"/>
      <w:r>
        <w:rPr>
          <w:rFonts w:ascii="Times New Roman" w:eastAsia="Times New Roman" w:hAnsi="Times New Roman" w:cs="Times New Roman"/>
          <w:sz w:val="24"/>
        </w:rPr>
        <w:t>ncertainty</w:t>
      </w:r>
      <w:proofErr w:type="spellEnd"/>
      <w:r>
        <w:rPr>
          <w:rFonts w:ascii="Times New Roman" w:eastAsia="Times New Roman" w:hAnsi="Times New Roman" w:cs="Times New Roman"/>
          <w:sz w:val="24"/>
        </w:rPr>
        <w:t xml:space="preserve"> from the labels is transferred to the classification model and results in lower accuracy numbers, as seen in Table I. With the iterative selective approach, we use the image features from all instances to determine whether the image features support the diagnosis of the current label. If they do not agree, we ask for another opinion until the model and the label agree under the assumption that the current label has a high degree of uncertainty. If they do agree, no further labels are </w:t>
      </w:r>
      <w:proofErr w:type="gramStart"/>
      <w:r>
        <w:rPr>
          <w:rFonts w:ascii="Times New Roman" w:eastAsia="Times New Roman" w:hAnsi="Times New Roman" w:cs="Times New Roman"/>
          <w:sz w:val="24"/>
        </w:rPr>
        <w:t>requested,</w:t>
      </w:r>
      <w:proofErr w:type="gramEnd"/>
      <w:r>
        <w:rPr>
          <w:rFonts w:ascii="Times New Roman" w:eastAsia="Times New Roman" w:hAnsi="Times New Roman" w:cs="Times New Roman"/>
          <w:sz w:val="24"/>
        </w:rPr>
        <w:t xml:space="preserve"> avoiding the possibility of acquiring new labels that increase cost and only add uncertainty, unless the instance is misclassified in a later iteration. </w:t>
      </w:r>
    </w:p>
    <w:p w14:paraId="2E2A1B84" w14:textId="77777777" w:rsidR="008A3C0F" w:rsidRDefault="00842D82">
      <w:pPr>
        <w:pStyle w:val="normal0"/>
        <w:spacing w:line="240" w:lineRule="auto"/>
        <w:jc w:val="center"/>
      </w:pPr>
      <w:r>
        <w:rPr>
          <w:rFonts w:ascii="Times New Roman" w:eastAsia="Times New Roman" w:hAnsi="Times New Roman" w:cs="Times New Roman"/>
          <w:b/>
          <w:sz w:val="24"/>
        </w:rPr>
        <w:br/>
        <w:t>New or breakthrough work to be presented</w:t>
      </w:r>
    </w:p>
    <w:p w14:paraId="206E63FB" w14:textId="77777777" w:rsidR="008A3C0F" w:rsidRDefault="00842D82">
      <w:pPr>
        <w:pStyle w:val="normal0"/>
        <w:spacing w:after="240" w:line="240" w:lineRule="auto"/>
        <w:ind w:firstLine="720"/>
        <w:jc w:val="both"/>
      </w:pPr>
      <w:r>
        <w:rPr>
          <w:rFonts w:ascii="Times New Roman" w:eastAsia="Times New Roman" w:hAnsi="Times New Roman" w:cs="Times New Roman"/>
          <w:sz w:val="24"/>
        </w:rPr>
        <w:t xml:space="preserve">While there are some studies that present iterative approaches for other domains such as optical character recognition [5], violence risk assessment [6], and ranking of networks [7], this study is the first study to look at iterative cost reduction and uncertainty when selectively obtaining annotations for building computer-aided diagnosis systems. Furthermore, all related work from the other domains assume knowledge about annotator quality, as well as a ground truth, both of which are </w:t>
      </w:r>
      <w:proofErr w:type="spellStart"/>
      <w:r>
        <w:rPr>
          <w:rFonts w:ascii="Times New Roman" w:eastAsia="Times New Roman" w:hAnsi="Times New Roman" w:cs="Times New Roman"/>
          <w:sz w:val="24"/>
        </w:rPr>
        <w:t>unavailble</w:t>
      </w:r>
      <w:proofErr w:type="spellEnd"/>
      <w:r>
        <w:rPr>
          <w:rFonts w:ascii="Times New Roman" w:eastAsia="Times New Roman" w:hAnsi="Times New Roman" w:cs="Times New Roman"/>
          <w:sz w:val="24"/>
        </w:rPr>
        <w:t xml:space="preserve"> with the LIDC and many other medical datasets. </w:t>
      </w:r>
    </w:p>
    <w:p w14:paraId="45FE6388" w14:textId="77777777" w:rsidR="008A3C0F" w:rsidRDefault="00842D82">
      <w:pPr>
        <w:pStyle w:val="normal0"/>
        <w:spacing w:line="240" w:lineRule="auto"/>
        <w:jc w:val="center"/>
      </w:pPr>
      <w:r>
        <w:rPr>
          <w:rFonts w:ascii="Times New Roman" w:eastAsia="Times New Roman" w:hAnsi="Times New Roman" w:cs="Times New Roman"/>
          <w:b/>
          <w:sz w:val="24"/>
        </w:rPr>
        <w:t>Conclusions</w:t>
      </w:r>
    </w:p>
    <w:p w14:paraId="4B3D3FF5" w14:textId="77777777" w:rsidR="008A3C0F" w:rsidRDefault="00842D82">
      <w:pPr>
        <w:pStyle w:val="normal0"/>
        <w:spacing w:line="240" w:lineRule="auto"/>
        <w:jc w:val="both"/>
      </w:pPr>
      <w:r>
        <w:rPr>
          <w:rFonts w:ascii="Times New Roman" w:eastAsia="Times New Roman" w:hAnsi="Times New Roman" w:cs="Times New Roman"/>
          <w:b/>
          <w:sz w:val="24"/>
        </w:rPr>
        <w:tab/>
      </w:r>
      <w:r>
        <w:rPr>
          <w:rFonts w:ascii="Times New Roman" w:eastAsia="Times New Roman" w:hAnsi="Times New Roman" w:cs="Times New Roman"/>
          <w:sz w:val="24"/>
        </w:rPr>
        <w:t xml:space="preserve">From our preliminary results, our selective iterative classification method used less than half of the labels of a traditional consensus based CAD system, as in [3], and achieved significantly better accuracy than the non-selective iterative approach. Selectively allocating additional labels using our algorithm reduces cost and uncertainty in CAD systems. </w:t>
      </w:r>
    </w:p>
    <w:p w14:paraId="07CB74E5" w14:textId="77777777" w:rsidR="008A3C0F" w:rsidRDefault="008A3C0F">
      <w:pPr>
        <w:pStyle w:val="normal0"/>
        <w:spacing w:line="240" w:lineRule="auto"/>
        <w:jc w:val="both"/>
      </w:pPr>
    </w:p>
    <w:p w14:paraId="23503555" w14:textId="77777777" w:rsidR="008A3C0F" w:rsidRDefault="00842D82">
      <w:pPr>
        <w:pStyle w:val="normal0"/>
        <w:spacing w:line="240" w:lineRule="auto"/>
        <w:jc w:val="center"/>
      </w:pPr>
      <w:r>
        <w:rPr>
          <w:rFonts w:ascii="Times New Roman" w:eastAsia="Times New Roman" w:hAnsi="Times New Roman" w:cs="Times New Roman"/>
          <w:b/>
          <w:sz w:val="24"/>
        </w:rPr>
        <w:t>References</w:t>
      </w:r>
    </w:p>
    <w:p w14:paraId="571AC3F0" w14:textId="77777777" w:rsidR="008A3C0F" w:rsidRDefault="00842D82">
      <w:pPr>
        <w:pStyle w:val="normal0"/>
        <w:spacing w:line="240" w:lineRule="auto"/>
        <w:jc w:val="both"/>
      </w:pPr>
      <w:proofErr w:type="gramStart"/>
      <w:r>
        <w:rPr>
          <w:rFonts w:ascii="Times New Roman" w:eastAsia="Times New Roman" w:hAnsi="Times New Roman" w:cs="Times New Roman"/>
          <w:sz w:val="20"/>
        </w:rPr>
        <w:t xml:space="preserve">[1] </w:t>
      </w:r>
      <w:r>
        <w:rPr>
          <w:rFonts w:ascii="Times New Roman" w:eastAsia="Times New Roman" w:hAnsi="Times New Roman" w:cs="Times New Roman"/>
          <w:i/>
          <w:sz w:val="20"/>
        </w:rPr>
        <w:t>Centers for Disease Control and Prevention</w:t>
      </w:r>
      <w:r>
        <w:rPr>
          <w:rFonts w:ascii="Times New Roman" w:eastAsia="Times New Roman" w:hAnsi="Times New Roman" w:cs="Times New Roman"/>
          <w:sz w:val="20"/>
        </w:rPr>
        <w:t>.</w:t>
      </w:r>
      <w:proofErr w:type="gramEnd"/>
      <w:r>
        <w:rPr>
          <w:rFonts w:ascii="Times New Roman" w:eastAsia="Times New Roman" w:hAnsi="Times New Roman" w:cs="Times New Roman"/>
          <w:sz w:val="20"/>
        </w:rPr>
        <w:t xml:space="preserve"> Centers for Disease Control and Prevention, 15 May 2014. Web. 29 July 2014. &lt;</w:t>
      </w:r>
      <w:hyperlink r:id="rId10">
        <w:r>
          <w:rPr>
            <w:rFonts w:ascii="Times New Roman" w:eastAsia="Times New Roman" w:hAnsi="Times New Roman" w:cs="Times New Roman"/>
            <w:sz w:val="20"/>
            <w:u w:val="single"/>
          </w:rPr>
          <w:t>http://www.cdc.gov/cancer/lung/</w:t>
        </w:r>
      </w:hyperlink>
      <w:r>
        <w:rPr>
          <w:rFonts w:ascii="Times New Roman" w:eastAsia="Times New Roman" w:hAnsi="Times New Roman" w:cs="Times New Roman"/>
          <w:sz w:val="20"/>
        </w:rPr>
        <w:t>&gt;.</w:t>
      </w:r>
    </w:p>
    <w:p w14:paraId="38DBA1A9" w14:textId="77777777" w:rsidR="008A3C0F" w:rsidRDefault="00842D82">
      <w:pPr>
        <w:pStyle w:val="normal0"/>
        <w:spacing w:line="240" w:lineRule="auto"/>
        <w:jc w:val="both"/>
      </w:pPr>
      <w:r>
        <w:rPr>
          <w:rFonts w:ascii="Times New Roman" w:eastAsia="Times New Roman" w:hAnsi="Times New Roman" w:cs="Times New Roman"/>
          <w:sz w:val="20"/>
        </w:rPr>
        <w:t xml:space="preserve">[2] </w:t>
      </w:r>
      <w:proofErr w:type="spellStart"/>
      <w:r>
        <w:rPr>
          <w:rFonts w:ascii="Times New Roman" w:eastAsia="Times New Roman" w:hAnsi="Times New Roman" w:cs="Times New Roman"/>
          <w:sz w:val="20"/>
          <w:highlight w:val="white"/>
        </w:rPr>
        <w:t>Armato</w:t>
      </w:r>
      <w:proofErr w:type="spellEnd"/>
      <w:r>
        <w:rPr>
          <w:rFonts w:ascii="Times New Roman" w:eastAsia="Times New Roman" w:hAnsi="Times New Roman" w:cs="Times New Roman"/>
          <w:sz w:val="20"/>
          <w:highlight w:val="white"/>
        </w:rPr>
        <w:t xml:space="preserve"> SG III, McLennan G, </w:t>
      </w:r>
      <w:proofErr w:type="spellStart"/>
      <w:r>
        <w:rPr>
          <w:rFonts w:ascii="Times New Roman" w:eastAsia="Times New Roman" w:hAnsi="Times New Roman" w:cs="Times New Roman"/>
          <w:sz w:val="20"/>
          <w:highlight w:val="white"/>
        </w:rPr>
        <w:t>Bidaut</w:t>
      </w:r>
      <w:proofErr w:type="spellEnd"/>
      <w:r>
        <w:rPr>
          <w:rFonts w:ascii="Times New Roman" w:eastAsia="Times New Roman" w:hAnsi="Times New Roman" w:cs="Times New Roman"/>
          <w:sz w:val="20"/>
          <w:highlight w:val="white"/>
        </w:rPr>
        <w:t xml:space="preserve"> L, et al: </w:t>
      </w:r>
      <w:r>
        <w:rPr>
          <w:rFonts w:ascii="Times New Roman" w:eastAsia="Times New Roman" w:hAnsi="Times New Roman" w:cs="Times New Roman"/>
          <w:i/>
          <w:sz w:val="20"/>
          <w:highlight w:val="white"/>
        </w:rPr>
        <w:t>The Lung Image Database Consortium (LIDC) and Image Database Resource Initiative (IDRI): A completed reference database of lung nodules on CT scans</w:t>
      </w:r>
      <w:r>
        <w:rPr>
          <w:rFonts w:ascii="Times New Roman" w:eastAsia="Times New Roman" w:hAnsi="Times New Roman" w:cs="Times New Roman"/>
          <w:sz w:val="20"/>
          <w:highlight w:val="white"/>
        </w:rPr>
        <w:t xml:space="preserve">. </w:t>
      </w:r>
      <w:proofErr w:type="gramStart"/>
      <w:r>
        <w:rPr>
          <w:rFonts w:ascii="Times New Roman" w:eastAsia="Times New Roman" w:hAnsi="Times New Roman" w:cs="Times New Roman"/>
          <w:sz w:val="20"/>
          <w:highlight w:val="white"/>
        </w:rPr>
        <w:t>Med Physics, 38: 915-931, 2011.</w:t>
      </w:r>
      <w:proofErr w:type="gramEnd"/>
    </w:p>
    <w:p w14:paraId="5CD59135" w14:textId="77777777" w:rsidR="008A3C0F" w:rsidRDefault="00842D82">
      <w:pPr>
        <w:pStyle w:val="normal0"/>
        <w:spacing w:line="240" w:lineRule="auto"/>
        <w:jc w:val="both"/>
      </w:pPr>
      <w:r>
        <w:rPr>
          <w:rFonts w:ascii="Times New Roman" w:eastAsia="Times New Roman" w:hAnsi="Times New Roman" w:cs="Times New Roman"/>
          <w:sz w:val="20"/>
        </w:rPr>
        <w:t xml:space="preserve">[3] </w:t>
      </w:r>
      <w:proofErr w:type="spellStart"/>
      <w:r>
        <w:rPr>
          <w:rFonts w:ascii="Times New Roman" w:eastAsia="Times New Roman" w:hAnsi="Times New Roman" w:cs="Times New Roman"/>
          <w:sz w:val="20"/>
        </w:rPr>
        <w:t>Zamacona</w:t>
      </w:r>
      <w:proofErr w:type="spellEnd"/>
      <w:r>
        <w:rPr>
          <w:rFonts w:ascii="Times New Roman" w:eastAsia="Times New Roman" w:hAnsi="Times New Roman" w:cs="Times New Roman"/>
          <w:sz w:val="20"/>
        </w:rPr>
        <w:t xml:space="preserve">, Jose R., Alexander </w:t>
      </w:r>
      <w:proofErr w:type="spellStart"/>
      <w:r>
        <w:rPr>
          <w:rFonts w:ascii="Times New Roman" w:eastAsia="Times New Roman" w:hAnsi="Times New Roman" w:cs="Times New Roman"/>
          <w:sz w:val="20"/>
        </w:rPr>
        <w:t>Rasin</w:t>
      </w:r>
      <w:proofErr w:type="spellEnd"/>
      <w:r>
        <w:rPr>
          <w:rFonts w:ascii="Times New Roman" w:eastAsia="Times New Roman" w:hAnsi="Times New Roman" w:cs="Times New Roman"/>
          <w:sz w:val="20"/>
        </w:rPr>
        <w:t xml:space="preserve">, Jacob D. </w:t>
      </w:r>
      <w:proofErr w:type="spellStart"/>
      <w:r>
        <w:rPr>
          <w:rFonts w:ascii="Times New Roman" w:eastAsia="Times New Roman" w:hAnsi="Times New Roman" w:cs="Times New Roman"/>
          <w:sz w:val="20"/>
        </w:rPr>
        <w:t>Furst</w:t>
      </w:r>
      <w:proofErr w:type="spellEnd"/>
      <w:r>
        <w:rPr>
          <w:rFonts w:ascii="Times New Roman" w:eastAsia="Times New Roman" w:hAnsi="Times New Roman" w:cs="Times New Roman"/>
          <w:sz w:val="20"/>
        </w:rPr>
        <w:t xml:space="preserve">, and Daniela S. </w:t>
      </w:r>
      <w:proofErr w:type="spellStart"/>
      <w:r>
        <w:rPr>
          <w:rFonts w:ascii="Times New Roman" w:eastAsia="Times New Roman" w:hAnsi="Times New Roman" w:cs="Times New Roman"/>
          <w:sz w:val="20"/>
        </w:rPr>
        <w:t>Raicu</w:t>
      </w:r>
      <w:proofErr w:type="spellEnd"/>
      <w:r>
        <w:rPr>
          <w:rFonts w:ascii="Times New Roman" w:eastAsia="Times New Roman" w:hAnsi="Times New Roman" w:cs="Times New Roman"/>
          <w:sz w:val="20"/>
        </w:rPr>
        <w:t xml:space="preserve">. </w:t>
      </w:r>
      <w:r>
        <w:rPr>
          <w:rFonts w:ascii="Times New Roman" w:eastAsia="Times New Roman" w:hAnsi="Times New Roman" w:cs="Times New Roman"/>
          <w:i/>
          <w:sz w:val="20"/>
        </w:rPr>
        <w:t>Reducing Classification Cost through Strategic Annotation Assignment</w:t>
      </w:r>
      <w:r>
        <w:rPr>
          <w:rFonts w:ascii="Times New Roman" w:eastAsia="Times New Roman" w:hAnsi="Times New Roman" w:cs="Times New Roman"/>
          <w:sz w:val="20"/>
        </w:rPr>
        <w:t xml:space="preserve">. </w:t>
      </w:r>
      <w:proofErr w:type="gramStart"/>
      <w:r>
        <w:rPr>
          <w:rFonts w:ascii="Times New Roman" w:eastAsia="Times New Roman" w:hAnsi="Times New Roman" w:cs="Times New Roman"/>
          <w:sz w:val="20"/>
        </w:rPr>
        <w:t>Proc. of 2013 IEEE 13th ICDM, DMBIH Workshop, USA, Dallas, TX.</w:t>
      </w:r>
      <w:proofErr w:type="gram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N.p</w:t>
      </w:r>
      <w:proofErr w:type="spellEnd"/>
      <w:r>
        <w:rPr>
          <w:rFonts w:ascii="Times New Roman" w:eastAsia="Times New Roman" w:hAnsi="Times New Roman" w:cs="Times New Roman"/>
          <w:sz w:val="20"/>
        </w:rPr>
        <w:t>.: IEEE, 2013. 287-94.</w:t>
      </w:r>
    </w:p>
    <w:p w14:paraId="08307CAB" w14:textId="6FFC2175" w:rsidR="008A3C0F" w:rsidRDefault="00842D82">
      <w:pPr>
        <w:pStyle w:val="normal0"/>
        <w:spacing w:after="80" w:line="240" w:lineRule="auto"/>
        <w:jc w:val="both"/>
      </w:pPr>
      <w:r>
        <w:rPr>
          <w:rFonts w:ascii="Times New Roman" w:eastAsia="Times New Roman" w:hAnsi="Times New Roman" w:cs="Times New Roman"/>
          <w:sz w:val="20"/>
        </w:rPr>
        <w:t>[4</w:t>
      </w:r>
      <w:proofErr w:type="gramStart"/>
      <w:r>
        <w:rPr>
          <w:rFonts w:ascii="Times New Roman" w:eastAsia="Times New Roman" w:hAnsi="Times New Roman" w:cs="Times New Roman"/>
          <w:sz w:val="20"/>
        </w:rPr>
        <w:t xml:space="preserve">] </w:t>
      </w:r>
      <w:r>
        <w:rPr>
          <w:rFonts w:ascii="Times New Roman" w:eastAsia="Times New Roman" w:hAnsi="Times New Roman" w:cs="Times New Roman"/>
          <w:sz w:val="20"/>
          <w:highlight w:val="white"/>
        </w:rPr>
        <w:t xml:space="preserve"> </w:t>
      </w:r>
      <w:proofErr w:type="spellStart"/>
      <w:r>
        <w:rPr>
          <w:rFonts w:ascii="Times New Roman" w:eastAsia="Times New Roman" w:hAnsi="Times New Roman" w:cs="Times New Roman"/>
          <w:sz w:val="20"/>
          <w:highlight w:val="white"/>
        </w:rPr>
        <w:t>Breiman</w:t>
      </w:r>
      <w:proofErr w:type="spellEnd"/>
      <w:proofErr w:type="gramEnd"/>
      <w:r>
        <w:rPr>
          <w:rFonts w:ascii="Times New Roman" w:eastAsia="Times New Roman" w:hAnsi="Times New Roman" w:cs="Times New Roman"/>
          <w:sz w:val="20"/>
          <w:highlight w:val="white"/>
        </w:rPr>
        <w:t xml:space="preserve">, L., Friedman, J.H., </w:t>
      </w:r>
      <w:proofErr w:type="spellStart"/>
      <w:r>
        <w:rPr>
          <w:rFonts w:ascii="Times New Roman" w:eastAsia="Times New Roman" w:hAnsi="Times New Roman" w:cs="Times New Roman"/>
          <w:sz w:val="20"/>
          <w:highlight w:val="white"/>
        </w:rPr>
        <w:t>Olshen</w:t>
      </w:r>
      <w:proofErr w:type="spellEnd"/>
      <w:r>
        <w:rPr>
          <w:rFonts w:ascii="Times New Roman" w:eastAsia="Times New Roman" w:hAnsi="Times New Roman" w:cs="Times New Roman"/>
          <w:sz w:val="20"/>
          <w:highlight w:val="white"/>
        </w:rPr>
        <w:t xml:space="preserve">, R., Stone and C.J. </w:t>
      </w:r>
      <w:r>
        <w:rPr>
          <w:rFonts w:ascii="Times New Roman" w:eastAsia="Times New Roman" w:hAnsi="Times New Roman" w:cs="Times New Roman"/>
          <w:i/>
          <w:sz w:val="20"/>
          <w:highlight w:val="white"/>
        </w:rPr>
        <w:t xml:space="preserve">Classification and Regression. </w:t>
      </w:r>
      <w:proofErr w:type="gramStart"/>
      <w:r>
        <w:rPr>
          <w:rFonts w:ascii="Times New Roman" w:eastAsia="Times New Roman" w:hAnsi="Times New Roman" w:cs="Times New Roman"/>
          <w:i/>
          <w:sz w:val="20"/>
          <w:highlight w:val="white"/>
        </w:rPr>
        <w:t xml:space="preserve">Tree </w:t>
      </w:r>
      <w:r>
        <w:rPr>
          <w:rFonts w:ascii="Times New Roman" w:eastAsia="Times New Roman" w:hAnsi="Times New Roman" w:cs="Times New Roman"/>
          <w:sz w:val="20"/>
          <w:highlight w:val="white"/>
        </w:rPr>
        <w:t xml:space="preserve">Wadsworth &amp; </w:t>
      </w:r>
      <w:r>
        <w:rPr>
          <w:rFonts w:ascii="Times New Roman" w:eastAsia="Times New Roman" w:hAnsi="Times New Roman" w:cs="Times New Roman"/>
          <w:i/>
          <w:sz w:val="20"/>
          <w:highlight w:val="white"/>
        </w:rPr>
        <w:t>Brooks/Cole Advanced Books &amp; Software, Pacific California.</w:t>
      </w:r>
      <w:proofErr w:type="gramEnd"/>
      <w:r>
        <w:rPr>
          <w:rFonts w:ascii="Times New Roman" w:eastAsia="Times New Roman" w:hAnsi="Times New Roman" w:cs="Times New Roman"/>
          <w:i/>
          <w:sz w:val="20"/>
        </w:rPr>
        <w:t xml:space="preserve"> </w:t>
      </w:r>
      <w:r w:rsidRPr="00E405C3">
        <w:rPr>
          <w:rFonts w:ascii="Times New Roman" w:eastAsia="Times New Roman" w:hAnsi="Times New Roman" w:cs="Times New Roman"/>
          <w:sz w:val="20"/>
        </w:rPr>
        <w:t>1984</w:t>
      </w:r>
      <w:r w:rsidR="004218B1">
        <w:rPr>
          <w:rFonts w:ascii="Times New Roman" w:eastAsia="Times New Roman" w:hAnsi="Times New Roman" w:cs="Times New Roman"/>
          <w:sz w:val="20"/>
        </w:rPr>
        <w:t>.</w:t>
      </w:r>
    </w:p>
    <w:p w14:paraId="472B5A80" w14:textId="77777777" w:rsidR="008A3C0F" w:rsidRDefault="00842D82">
      <w:pPr>
        <w:pStyle w:val="normal0"/>
        <w:spacing w:after="80" w:line="240" w:lineRule="auto"/>
        <w:jc w:val="both"/>
      </w:pPr>
      <w:r>
        <w:rPr>
          <w:rFonts w:ascii="Times New Roman" w:eastAsia="Times New Roman" w:hAnsi="Times New Roman" w:cs="Times New Roman"/>
          <w:sz w:val="20"/>
        </w:rPr>
        <w:t xml:space="preserve">[5] </w:t>
      </w:r>
      <w:proofErr w:type="spellStart"/>
      <w:r>
        <w:rPr>
          <w:rFonts w:ascii="Times New Roman" w:eastAsia="Times New Roman" w:hAnsi="Times New Roman" w:cs="Times New Roman"/>
          <w:sz w:val="20"/>
        </w:rPr>
        <w:t>Trapeznikov</w:t>
      </w:r>
      <w:proofErr w:type="spellEnd"/>
      <w:r>
        <w:rPr>
          <w:rFonts w:ascii="Times New Roman" w:eastAsia="Times New Roman" w:hAnsi="Times New Roman" w:cs="Times New Roman"/>
          <w:sz w:val="20"/>
        </w:rPr>
        <w:t xml:space="preserve">, Kirill, and </w:t>
      </w:r>
      <w:proofErr w:type="spellStart"/>
      <w:r>
        <w:rPr>
          <w:rFonts w:ascii="Times New Roman" w:eastAsia="Times New Roman" w:hAnsi="Times New Roman" w:cs="Times New Roman"/>
          <w:sz w:val="20"/>
        </w:rPr>
        <w:t>Venkatesh</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Saligrama</w:t>
      </w:r>
      <w:proofErr w:type="spellEnd"/>
      <w:r>
        <w:rPr>
          <w:rFonts w:ascii="Times New Roman" w:eastAsia="Times New Roman" w:hAnsi="Times New Roman" w:cs="Times New Roman"/>
          <w:sz w:val="20"/>
        </w:rPr>
        <w:t xml:space="preserve">. </w:t>
      </w:r>
      <w:r>
        <w:rPr>
          <w:rFonts w:ascii="Times New Roman" w:eastAsia="Times New Roman" w:hAnsi="Times New Roman" w:cs="Times New Roman"/>
          <w:i/>
          <w:sz w:val="20"/>
        </w:rPr>
        <w:t>Supervised Sequential Classification Under Budget Constraints</w:t>
      </w:r>
      <w:r>
        <w:rPr>
          <w:rFonts w:ascii="Times New Roman" w:eastAsia="Times New Roman" w:hAnsi="Times New Roman" w:cs="Times New Roman"/>
          <w:sz w:val="20"/>
        </w:rPr>
        <w:t xml:space="preserve">. </w:t>
      </w:r>
      <w:proofErr w:type="gramStart"/>
      <w:r>
        <w:rPr>
          <w:rFonts w:ascii="Times New Roman" w:eastAsia="Times New Roman" w:hAnsi="Times New Roman" w:cs="Times New Roman"/>
          <w:sz w:val="20"/>
        </w:rPr>
        <w:t>Proc. of 16th International Conference on Artificial Intelligence and Statistics (AISTATS), USA, Scottsdale, AZ. Vol. XX.</w:t>
      </w:r>
      <w:proofErr w:type="gramEnd"/>
      <w:r>
        <w:rPr>
          <w:rFonts w:ascii="Times New Roman" w:eastAsia="Times New Roman" w:hAnsi="Times New Roman" w:cs="Times New Roman"/>
          <w:sz w:val="20"/>
        </w:rPr>
        <w:t xml:space="preserve"> 2013. </w:t>
      </w:r>
    </w:p>
    <w:p w14:paraId="653BCB0C" w14:textId="77777777" w:rsidR="008A3C0F" w:rsidRDefault="00842D82">
      <w:pPr>
        <w:pStyle w:val="normal0"/>
        <w:spacing w:line="240" w:lineRule="auto"/>
        <w:jc w:val="both"/>
      </w:pPr>
      <w:r>
        <w:rPr>
          <w:rFonts w:ascii="Times New Roman" w:eastAsia="Times New Roman" w:hAnsi="Times New Roman" w:cs="Times New Roman"/>
          <w:sz w:val="20"/>
        </w:rPr>
        <w:t xml:space="preserve">[6] Monahan, J. </w:t>
      </w:r>
      <w:r>
        <w:rPr>
          <w:rFonts w:ascii="Times New Roman" w:eastAsia="Times New Roman" w:hAnsi="Times New Roman" w:cs="Times New Roman"/>
          <w:i/>
          <w:sz w:val="20"/>
        </w:rPr>
        <w:t>Developing a Clinically Useful Actuarial Tool for Assessing Violence Risk</w:t>
      </w:r>
      <w:r>
        <w:rPr>
          <w:rFonts w:ascii="Times New Roman" w:eastAsia="Times New Roman" w:hAnsi="Times New Roman" w:cs="Times New Roman"/>
          <w:sz w:val="20"/>
        </w:rPr>
        <w:t>. The British Journal of Psychiatry 176.4 (2000): 312-19.</w:t>
      </w:r>
    </w:p>
    <w:p w14:paraId="41E97070" w14:textId="77777777" w:rsidR="008A3C0F" w:rsidRDefault="00842D82">
      <w:pPr>
        <w:pStyle w:val="normal0"/>
        <w:spacing w:line="240" w:lineRule="auto"/>
        <w:jc w:val="both"/>
      </w:pPr>
      <w:r>
        <w:rPr>
          <w:rFonts w:ascii="Times New Roman" w:eastAsia="Times New Roman" w:hAnsi="Times New Roman" w:cs="Times New Roman"/>
          <w:sz w:val="20"/>
        </w:rPr>
        <w:t xml:space="preserve">[7] M. </w:t>
      </w:r>
      <w:proofErr w:type="spellStart"/>
      <w:r>
        <w:rPr>
          <w:rFonts w:ascii="Times New Roman" w:eastAsia="Times New Roman" w:hAnsi="Times New Roman" w:cs="Times New Roman"/>
          <w:sz w:val="20"/>
        </w:rPr>
        <w:t>Ji</w:t>
      </w:r>
      <w:proofErr w:type="spellEnd"/>
      <w:r>
        <w:rPr>
          <w:rFonts w:ascii="Times New Roman" w:eastAsia="Times New Roman" w:hAnsi="Times New Roman" w:cs="Times New Roman"/>
          <w:sz w:val="20"/>
        </w:rPr>
        <w:t xml:space="preserve">, J. Han, and M. </w:t>
      </w:r>
      <w:proofErr w:type="spellStart"/>
      <w:r>
        <w:rPr>
          <w:rFonts w:ascii="Times New Roman" w:eastAsia="Times New Roman" w:hAnsi="Times New Roman" w:cs="Times New Roman"/>
          <w:sz w:val="20"/>
        </w:rPr>
        <w:t>Danilevsky</w:t>
      </w:r>
      <w:proofErr w:type="spellEnd"/>
      <w:r>
        <w:rPr>
          <w:rFonts w:ascii="Times New Roman" w:eastAsia="Times New Roman" w:hAnsi="Times New Roman" w:cs="Times New Roman"/>
          <w:sz w:val="20"/>
        </w:rPr>
        <w:t xml:space="preserve">. </w:t>
      </w:r>
      <w:proofErr w:type="gramStart"/>
      <w:r>
        <w:rPr>
          <w:rFonts w:ascii="Times New Roman" w:eastAsia="Times New Roman" w:hAnsi="Times New Roman" w:cs="Times New Roman"/>
          <w:i/>
          <w:sz w:val="20"/>
        </w:rPr>
        <w:t>Ranking-based classification of heterogeneous information networks</w:t>
      </w:r>
      <w:r>
        <w:rPr>
          <w:rFonts w:ascii="Times New Roman" w:eastAsia="Times New Roman" w:hAnsi="Times New Roman" w:cs="Times New Roman"/>
          <w:sz w:val="20"/>
        </w:rPr>
        <w:t>.</w:t>
      </w:r>
      <w:proofErr w:type="gramEnd"/>
      <w:r>
        <w:rPr>
          <w:rFonts w:ascii="Times New Roman" w:eastAsia="Times New Roman" w:hAnsi="Times New Roman" w:cs="Times New Roman"/>
          <w:sz w:val="20"/>
        </w:rPr>
        <w:t xml:space="preserve"> In Proc. 2011 ACM Int. Conf. on Knowledge Discovery and Data Mining (KDD’11), San Diego, CA, August 2011.</w:t>
      </w:r>
    </w:p>
    <w:sectPr w:rsidR="008A3C0F">
      <w:headerReference w:type="default" r:id="rId1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DD4EFF4" w14:textId="77777777" w:rsidR="00C27EF6" w:rsidRDefault="00C27EF6">
      <w:pPr>
        <w:spacing w:line="240" w:lineRule="auto"/>
      </w:pPr>
      <w:r>
        <w:separator/>
      </w:r>
    </w:p>
  </w:endnote>
  <w:endnote w:type="continuationSeparator" w:id="0">
    <w:p w14:paraId="02D35079" w14:textId="77777777" w:rsidR="00C27EF6" w:rsidRDefault="00C27EF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rebuchet MS">
    <w:panose1 w:val="020B0603020202020204"/>
    <w:charset w:val="00"/>
    <w:family w:val="auto"/>
    <w:pitch w:val="variable"/>
    <w:sig w:usb0="00000287" w:usb1="00000000" w:usb2="00000000" w:usb3="00000000" w:csb0="0000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0556430" w14:textId="77777777" w:rsidR="00C27EF6" w:rsidRDefault="00C27EF6">
      <w:pPr>
        <w:spacing w:line="240" w:lineRule="auto"/>
      </w:pPr>
      <w:r>
        <w:separator/>
      </w:r>
    </w:p>
  </w:footnote>
  <w:footnote w:type="continuationSeparator" w:id="0">
    <w:p w14:paraId="467086A3" w14:textId="77777777" w:rsidR="00C27EF6" w:rsidRDefault="00C27EF6">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504BDA" w14:textId="77777777" w:rsidR="00C27EF6" w:rsidRDefault="00C27EF6">
    <w:pPr>
      <w:pStyle w:val="normal0"/>
      <w:jc w:val="right"/>
    </w:pPr>
    <w:r>
      <w:fldChar w:fldCharType="begin"/>
    </w:r>
    <w:r>
      <w:instrText>PAGE</w:instrText>
    </w:r>
    <w:r>
      <w:fldChar w:fldCharType="separate"/>
    </w:r>
    <w:r w:rsidR="00366B38">
      <w:rPr>
        <w:noProof/>
      </w:rPr>
      <w:t>1</w:t>
    </w:r>
    <w: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8A3C0F"/>
    <w:rsid w:val="00366B38"/>
    <w:rsid w:val="004218B1"/>
    <w:rsid w:val="00784438"/>
    <w:rsid w:val="00842D82"/>
    <w:rsid w:val="008A3C0F"/>
    <w:rsid w:val="00B64640"/>
    <w:rsid w:val="00C27EF6"/>
    <w:rsid w:val="00D600E7"/>
    <w:rsid w:val="00E012E8"/>
    <w:rsid w:val="00E405C3"/>
    <w:rsid w:val="00F33D0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B589E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00"/>
      <w:contextualSpacing/>
      <w:outlineLvl w:val="0"/>
    </w:pPr>
    <w:rPr>
      <w:rFonts w:ascii="Trebuchet MS" w:eastAsia="Trebuchet MS" w:hAnsi="Trebuchet MS" w:cs="Trebuchet MS"/>
      <w:sz w:val="32"/>
    </w:rPr>
  </w:style>
  <w:style w:type="paragraph" w:styleId="Heading2">
    <w:name w:val="heading 2"/>
    <w:basedOn w:val="normal0"/>
    <w:next w:val="normal0"/>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contextualSpacing/>
    </w:pPr>
    <w:rPr>
      <w:rFonts w:ascii="Trebuchet MS" w:eastAsia="Trebuchet MS" w:hAnsi="Trebuchet MS" w:cs="Trebuchet MS"/>
      <w:sz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84438"/>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84438"/>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00"/>
      <w:contextualSpacing/>
      <w:outlineLvl w:val="0"/>
    </w:pPr>
    <w:rPr>
      <w:rFonts w:ascii="Trebuchet MS" w:eastAsia="Trebuchet MS" w:hAnsi="Trebuchet MS" w:cs="Trebuchet MS"/>
      <w:sz w:val="32"/>
    </w:rPr>
  </w:style>
  <w:style w:type="paragraph" w:styleId="Heading2">
    <w:name w:val="heading 2"/>
    <w:basedOn w:val="normal0"/>
    <w:next w:val="normal0"/>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contextualSpacing/>
    </w:pPr>
    <w:rPr>
      <w:rFonts w:ascii="Trebuchet MS" w:eastAsia="Trebuchet MS" w:hAnsi="Trebuchet MS" w:cs="Trebuchet MS"/>
      <w:sz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84438"/>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84438"/>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ncia.nci.nih.ogv" TargetMode="Externa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hyperlink" Target="http://www.cdc.gov/cancer/lu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1974</Words>
  <Characters>11254</Characters>
  <Application>Microsoft Macintosh Word</Application>
  <DocSecurity>0</DocSecurity>
  <Lines>93</Lines>
  <Paragraphs>26</Paragraphs>
  <ScaleCrop>false</ScaleCrop>
  <Company>University of North Carolina at Chapel Hill</Company>
  <LinksUpToDate>false</LinksUpToDate>
  <CharactersWithSpaces>13202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Copy of SPIE Extended Abstract_DR.docx</dc:title>
  <cp:lastModifiedBy>Amelia Riely</cp:lastModifiedBy>
  <cp:revision>2</cp:revision>
  <cp:lastPrinted>2014-08-05T06:20:00Z</cp:lastPrinted>
  <dcterms:created xsi:type="dcterms:W3CDTF">2014-08-05T19:06:00Z</dcterms:created>
  <dcterms:modified xsi:type="dcterms:W3CDTF">2014-08-05T19:06:00Z</dcterms:modified>
</cp:coreProperties>
</file>