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i w:val="false"/>
          <w:iCs w:val="false"/>
          <w:sz w:val="22"/>
          <w:szCs w:val="22"/>
        </w:rPr>
        <w:t>Introduction Draft 2 for Feedback (“Treating soils like dirt: the failure of the European Union to combat soil degradation in Europe”)</w:t>
      </w:r>
    </w:p>
    <w:p>
      <w:pPr>
        <w:pStyle w:val="Normal"/>
        <w:bidi w:val="0"/>
        <w:jc w:val="left"/>
        <w:rPr>
          <w:i w:val="false"/>
          <w:i w:val="false"/>
          <w:iCs w:val="false"/>
          <w:sz w:val="22"/>
          <w:szCs w:val="22"/>
        </w:rPr>
      </w:pPr>
      <w:r>
        <w:rPr>
          <w:i w:val="false"/>
          <w:iCs w:val="false"/>
          <w:sz w:val="22"/>
          <w:szCs w:val="22"/>
        </w:rPr>
      </w:r>
    </w:p>
    <w:p>
      <w:pPr>
        <w:pStyle w:val="Normal"/>
        <w:bidi w:val="0"/>
        <w:jc w:val="left"/>
        <w:rPr>
          <w:rFonts w:ascii="Liberation Serif" w:hAnsi="Liberation Serif"/>
          <w:color w:val="000000"/>
          <w:highlight w:val="yellow"/>
        </w:rPr>
      </w:pPr>
      <w:r>
        <w:rPr>
          <w:i w:val="false"/>
          <w:iCs w:val="false"/>
          <w:color w:val="000000"/>
          <w:sz w:val="22"/>
          <w:szCs w:val="22"/>
          <w:highlight w:val="yellow"/>
        </w:rPr>
        <w:t>Under current agricultural practice, global food security will fail within the next thirty years (Baldos et al., 2014). With a projected global population exceeding 9 billion by 2050 (Lutz et al., 2010), there is an increasing deficit of available land required to meet consumption demands (Schmidhuber et al., 2007). Should I include a statistic here about the remaining available agricultural land left? Consumption per capita is estimated to surge over the coming decades as disposable incomes soar (Baldos et al., 2014). Growing disparity over the division of available agricultural land between crops for direct consumption, feedstuffs for livestock, and first generation bio-fuels adds further pressure to the land constraint issue (Fischer et al., 2009). Increasing the productivity of the current land already under cultivation by 70-100% would be enough to achieve global food security by 2050 (Connor et al., 2012), while maintaining ecosystem functioning (Bindraban et al,. 2012). Total factor productivity can be defined as the increase in aggregate output relative to an index of all inputs (Baldos et al., 2014); in other words, the closure of yield gaps between actual yield and potential yield under optimised management. Currently, agricultural systems in Western Europe are only producing at 80% of their potential yield (Bindraban et al,. 2012). It is estimated that in the last half a century, 85% of agricultural land has been left available for other uses due to increases in productivity and yield, mitigating the release of up to 590 Gt land-use-related CO</w:t>
      </w:r>
      <w:r>
        <w:rPr>
          <w:i w:val="false"/>
          <w:iCs w:val="false"/>
          <w:color w:val="000000"/>
          <w:sz w:val="22"/>
          <w:szCs w:val="22"/>
          <w:highlight w:val="yellow"/>
          <w:vertAlign w:val="subscript"/>
        </w:rPr>
        <w:t xml:space="preserve">2 </w:t>
      </w:r>
      <w:r>
        <w:rPr>
          <w:i w:val="false"/>
          <w:iCs w:val="false"/>
          <w:color w:val="000000"/>
          <w:position w:val="0"/>
          <w:sz w:val="22"/>
          <w:sz w:val="22"/>
          <w:szCs w:val="22"/>
          <w:highlight w:val="yellow"/>
          <w:vertAlign w:val="baseline"/>
        </w:rPr>
        <w:t>(Valin et al., 2013)</w:t>
      </w:r>
      <w:r>
        <w:rPr>
          <w:i w:val="false"/>
          <w:iCs w:val="false"/>
          <w:color w:val="000000"/>
          <w:sz w:val="22"/>
          <w:szCs w:val="22"/>
          <w:highlight w:val="yellow"/>
        </w:rPr>
        <w:t xml:space="preserve">. Yields are often maximised by the intensification of production via increased chemical inputs (Sparovek et al.,, 2001), and correlate to significant negative effects on surrounding ecosystems due to poor management strategies and trade-offs at the expense of the environment (Bindraban et al., 2012). Models predict that in order to double global agricultural productivity, fertilisation rates would have to triple, irrigation would double, and cropland would have to expand by almost 20% (Tilman, 1999). </w:t>
      </w:r>
    </w:p>
    <w:p>
      <w:pPr>
        <w:pStyle w:val="Normal"/>
        <w:bidi w:val="0"/>
        <w:jc w:val="left"/>
        <w:rPr>
          <w:i/>
          <w:i/>
          <w:iCs/>
        </w:rPr>
      </w:pPr>
      <w:r>
        <w:rPr>
          <w:i/>
          <w:iCs/>
        </w:rPr>
      </w:r>
    </w:p>
    <w:p>
      <w:pPr>
        <w:pStyle w:val="Normal"/>
        <w:bidi w:val="0"/>
        <w:jc w:val="left"/>
        <w:rPr>
          <w:color w:val="000000"/>
          <w:highlight w:val="yellow"/>
        </w:rPr>
      </w:pPr>
      <w:r>
        <w:rPr>
          <w:b w:val="false"/>
          <w:bCs w:val="false"/>
          <w:i w:val="false"/>
          <w:iCs w:val="false"/>
          <w:color w:val="000000"/>
          <w:sz w:val="22"/>
          <w:szCs w:val="22"/>
          <w:highlight w:val="yellow"/>
          <w:u w:val="none"/>
        </w:rPr>
        <w:t>Soil degradation is arguably the greatest limiting factor of global productivity growth (Bindraban et al.</w:t>
      </w:r>
      <w:r>
        <w:rPr>
          <w:b w:val="false"/>
          <w:bCs w:val="false"/>
          <w:i/>
          <w:iCs/>
          <w:color w:val="000000"/>
          <w:sz w:val="22"/>
          <w:szCs w:val="22"/>
          <w:highlight w:val="yellow"/>
          <w:u w:val="none"/>
        </w:rPr>
        <w:t xml:space="preserve">, </w:t>
      </w:r>
      <w:r>
        <w:rPr>
          <w:b w:val="false"/>
          <w:bCs w:val="false"/>
          <w:i w:val="false"/>
          <w:iCs w:val="false"/>
          <w:color w:val="000000"/>
          <w:sz w:val="22"/>
          <w:szCs w:val="22"/>
          <w:highlight w:val="yellow"/>
          <w:u w:val="none"/>
        </w:rPr>
        <w:t xml:space="preserve">2012). Global trends have shown stable increases in the average yields of most major crops throughout the last 50 years (Connor et al., 2012), a notable example includes the supply of 35% of global wheat from Europe, one of the worlds most productive cropping systems </w:t>
      </w:r>
      <w:r>
        <w:rPr>
          <w:rFonts w:ascii="Times New Roman;serif" w:hAnsi="Times New Roman;serif"/>
          <w:b w:val="false"/>
          <w:bCs w:val="false"/>
          <w:i w:val="false"/>
          <w:iCs w:val="false"/>
          <w:color w:val="000000"/>
          <w:sz w:val="22"/>
          <w:szCs w:val="22"/>
          <w:highlight w:val="yellow"/>
          <w:u w:val="none"/>
        </w:rPr>
        <w:t>(Senapati et al., 2020)</w:t>
      </w:r>
      <w:r>
        <w:rPr>
          <w:b w:val="false"/>
          <w:bCs w:val="false"/>
          <w:i w:val="false"/>
          <w:iCs w:val="false"/>
          <w:color w:val="000000"/>
          <w:sz w:val="22"/>
          <w:szCs w:val="22"/>
          <w:highlight w:val="yellow"/>
          <w:u w:val="none"/>
        </w:rPr>
        <w:t xml:space="preserve">.  Today, 2850 Mt of field crops are being produced on only 12% of the total global land area (Connor et al., 2012). However, there is increasing concern from farmers and policy makers alike as growing evidence suggests high-yielding production systems are headed towards a yield ceiling </w:t>
      </w:r>
      <w:r>
        <w:rPr>
          <w:rFonts w:ascii="Times New Roman;serif" w:hAnsi="Times New Roman;serif"/>
          <w:b w:val="false"/>
          <w:bCs w:val="false"/>
          <w:i w:val="false"/>
          <w:iCs w:val="false"/>
          <w:color w:val="000000"/>
          <w:sz w:val="22"/>
          <w:szCs w:val="22"/>
          <w:highlight w:val="yellow"/>
          <w:u w:val="none"/>
        </w:rPr>
        <w:t>(Grassini et al., 2011)</w:t>
      </w:r>
      <w:r>
        <w:rPr>
          <w:b w:val="false"/>
          <w:bCs w:val="false"/>
          <w:i w:val="false"/>
          <w:iCs w:val="false"/>
          <w:color w:val="000000"/>
          <w:sz w:val="22"/>
          <w:szCs w:val="22"/>
          <w:highlight w:val="yellow"/>
          <w:u w:val="none"/>
        </w:rPr>
        <w:t xml:space="preserve">. A consensus seems to have been reached within the literature that relative (%) gain is dropping due to biological limits of the current agronomical systems reaching their attainable maximum (references). Soil degradation refers to the loss of the present and/or future ability of the soil to provide functions and services due to a decline in soil quality </w:t>
      </w:r>
      <w:r>
        <w:rPr>
          <w:rFonts w:ascii="Times New Roman;serif" w:hAnsi="Times New Roman;serif"/>
          <w:b w:val="false"/>
          <w:bCs w:val="false"/>
          <w:i w:val="false"/>
          <w:iCs w:val="false"/>
          <w:color w:val="000000"/>
          <w:sz w:val="22"/>
          <w:szCs w:val="22"/>
          <w:highlight w:val="yellow"/>
          <w:u w:val="none"/>
        </w:rPr>
        <w:t>(Lal, 2015)</w:t>
      </w:r>
      <w:r>
        <w:rPr>
          <w:b w:val="false"/>
          <w:bCs w:val="false"/>
          <w:i w:val="false"/>
          <w:iCs w:val="false"/>
          <w:color w:val="000000"/>
          <w:sz w:val="22"/>
          <w:szCs w:val="22"/>
          <w:highlight w:val="yellow"/>
          <w:u w:val="none"/>
        </w:rPr>
        <w:t xml:space="preserve">. Global food security is significantly threatened by soil degradation as it suppresses land productivity and breeds undesirable, deteriorated physical surface conditions </w:t>
      </w:r>
      <w:r>
        <w:rPr>
          <w:rFonts w:ascii="Times New Roman;serif" w:hAnsi="Times New Roman;serif"/>
          <w:b w:val="false"/>
          <w:bCs w:val="false"/>
          <w:i w:val="false"/>
          <w:iCs w:val="false"/>
          <w:color w:val="000000"/>
          <w:sz w:val="22"/>
          <w:szCs w:val="22"/>
          <w:highlight w:val="yellow"/>
          <w:u w:val="none"/>
        </w:rPr>
        <w:t>(Baumhardt et al., 2015)</w:t>
      </w:r>
      <w:r>
        <w:rPr>
          <w:b w:val="false"/>
          <w:bCs w:val="false"/>
          <w:i w:val="false"/>
          <w:iCs w:val="false"/>
          <w:color w:val="000000"/>
          <w:sz w:val="22"/>
          <w:szCs w:val="22"/>
          <w:highlight w:val="yellow"/>
          <w:u w:val="none"/>
        </w:rPr>
        <w:t xml:space="preserve">. Socioeconomic pressures and exponential population growth correlate with anthropogenic activities that deplete the natural environment </w:t>
      </w:r>
      <w:r>
        <w:rPr>
          <w:rFonts w:ascii="Times New Roman;serif" w:hAnsi="Times New Roman;serif"/>
          <w:b w:val="false"/>
          <w:bCs w:val="false"/>
          <w:i w:val="false"/>
          <w:iCs w:val="false"/>
          <w:color w:val="000000"/>
          <w:sz w:val="22"/>
          <w:szCs w:val="22"/>
          <w:highlight w:val="yellow"/>
          <w:u w:val="none"/>
        </w:rPr>
        <w:t xml:space="preserve">(Abrol et al., 1990) </w:t>
      </w:r>
      <w:r>
        <w:rPr>
          <w:b w:val="false"/>
          <w:bCs w:val="false"/>
          <w:i w:val="false"/>
          <w:iCs w:val="false"/>
          <w:color w:val="000000"/>
          <w:sz w:val="22"/>
          <w:szCs w:val="22"/>
          <w:highlight w:val="yellow"/>
          <w:u w:val="none"/>
        </w:rPr>
        <w:t xml:space="preserve">and exacerbate soil degradation, including deforestation, </w:t>
      </w:r>
      <w:r>
        <w:rPr>
          <w:b w:val="false"/>
          <w:bCs w:val="false"/>
          <w:i w:val="false"/>
          <w:iCs w:val="false"/>
          <w:color w:val="000000"/>
          <w:sz w:val="22"/>
          <w:szCs w:val="22"/>
          <w:highlight w:val="yellow"/>
          <w:u w:val="none"/>
          <w:lang w:val="en-GB"/>
        </w:rPr>
        <w:t>urbanisation</w:t>
      </w:r>
      <w:r>
        <w:rPr>
          <w:b w:val="false"/>
          <w:bCs w:val="false"/>
          <w:i w:val="false"/>
          <w:iCs w:val="false"/>
          <w:color w:val="000000"/>
          <w:sz w:val="22"/>
          <w:szCs w:val="22"/>
          <w:highlight w:val="yellow"/>
          <w:u w:val="none"/>
        </w:rPr>
        <w:t xml:space="preserve">, and intensive agriculture. These processes disrupt the natural fortification of the soil and its vegetative cover, leaving it vulnerable to climatic hostility </w:t>
      </w:r>
      <w:r>
        <w:rPr>
          <w:rFonts w:ascii="Times New Roman;serif" w:hAnsi="Times New Roman;serif"/>
          <w:b w:val="false"/>
          <w:bCs w:val="false"/>
          <w:i w:val="false"/>
          <w:iCs w:val="false"/>
          <w:color w:val="000000"/>
          <w:sz w:val="22"/>
          <w:szCs w:val="22"/>
          <w:highlight w:val="yellow"/>
          <w:u w:val="none"/>
        </w:rPr>
        <w:t xml:space="preserve">(Oldeman, 1992). </w:t>
      </w:r>
      <w:r>
        <w:rPr>
          <w:i w:val="false"/>
          <w:iCs w:val="false"/>
          <w:color w:val="000000"/>
          <w:sz w:val="22"/>
          <w:szCs w:val="22"/>
          <w:highlight w:val="yellow"/>
        </w:rPr>
        <w:t xml:space="preserve">Ecological degradation is a culmination of physical, chemical and biological soil degradation (see Table 1 for definitions), and presents itself as the impairment of ecosystem processes, including nutrient and hydrological cycling, and a reduction in net biome productivity. Currently, there is insufficient acknowledgment of soil degradation as a serious threat to ecosystem services and global food security due to poor understanding of soil as a critical natural resource. </w:t>
      </w:r>
    </w:p>
    <w:p>
      <w:pPr>
        <w:pStyle w:val="Normal"/>
        <w:bidi w:val="0"/>
        <w:jc w:val="left"/>
        <w:rPr>
          <w:b w:val="false"/>
          <w:b w:val="false"/>
          <w:bCs w:val="false"/>
          <w:u w:val="none"/>
        </w:rPr>
      </w:pPr>
      <w:r>
        <w:rPr>
          <w:b w:val="false"/>
          <w:bCs w:val="false"/>
          <w:u w:val="none"/>
        </w:rPr>
      </w:r>
    </w:p>
    <w:p>
      <w:pPr>
        <w:pStyle w:val="Normal"/>
        <w:bidi w:val="0"/>
        <w:jc w:val="left"/>
        <w:rPr>
          <w:i w:val="false"/>
          <w:i w:val="false"/>
          <w:iCs w:val="false"/>
          <w:sz w:val="22"/>
          <w:szCs w:val="22"/>
        </w:rPr>
      </w:pPr>
      <w:r>
        <w:rPr>
          <w:b w:val="false"/>
          <w:bCs w:val="false"/>
          <w:i w:val="false"/>
          <w:iCs w:val="false"/>
          <w:sz w:val="22"/>
          <w:szCs w:val="22"/>
          <w:u w:val="none"/>
        </w:rPr>
        <w:t xml:space="preserve">Agriculture is one of the leading causes of stress to the environment </w:t>
      </w:r>
      <w:r>
        <w:rPr>
          <w:rFonts w:ascii="Times New Roman;serif" w:hAnsi="Times New Roman;serif"/>
          <w:b w:val="false"/>
          <w:bCs w:val="false"/>
          <w:i w:val="false"/>
          <w:iCs w:val="false"/>
          <w:color w:val="000000"/>
          <w:sz w:val="22"/>
          <w:szCs w:val="22"/>
          <w:highlight w:val="white"/>
          <w:u w:val="none"/>
        </w:rPr>
        <w:t>(Seybold et al., 1999),</w:t>
      </w:r>
      <w:r>
        <w:rPr>
          <w:b w:val="false"/>
          <w:bCs w:val="false"/>
          <w:i w:val="false"/>
          <w:iCs w:val="false"/>
          <w:sz w:val="22"/>
          <w:szCs w:val="22"/>
          <w:u w:val="none"/>
        </w:rPr>
        <w:t xml:space="preserve"> and its effects can be seen long after the period of cultivation has ended. Agriculture refers to any crop-plant production system, and has huge ramifications for soils and surrounding ecosystems </w:t>
      </w:r>
      <w:r>
        <w:rPr>
          <w:rFonts w:ascii="Times New Roman;serif" w:hAnsi="Times New Roman;serif"/>
          <w:b w:val="false"/>
          <w:bCs w:val="false"/>
          <w:i w:val="false"/>
          <w:iCs w:val="false"/>
          <w:color w:val="000000"/>
          <w:sz w:val="22"/>
          <w:szCs w:val="22"/>
          <w:highlight w:val="white"/>
          <w:u w:val="none"/>
        </w:rPr>
        <w:t>(McLauchlan, 2006)</w:t>
      </w:r>
      <w:r>
        <w:rPr>
          <w:b w:val="false"/>
          <w:bCs w:val="false"/>
          <w:i w:val="false"/>
          <w:iCs w:val="false"/>
          <w:sz w:val="22"/>
          <w:szCs w:val="22"/>
          <w:u w:val="none"/>
        </w:rPr>
        <w:t xml:space="preserve">. Soil can be categorised as “resilient” or “resistant” based on how it responds to agricultural perturbation </w:t>
      </w:r>
      <w:r>
        <w:rPr>
          <w:rFonts w:ascii="Times New Roman;serif" w:hAnsi="Times New Roman;serif"/>
          <w:b w:val="false"/>
          <w:bCs w:val="false"/>
          <w:i w:val="false"/>
          <w:iCs w:val="false"/>
          <w:color w:val="000000"/>
          <w:sz w:val="22"/>
          <w:szCs w:val="22"/>
          <w:highlight w:val="white"/>
          <w:u w:val="none"/>
        </w:rPr>
        <w:t>(Seybold et al., 1999)</w:t>
      </w:r>
      <w:r>
        <w:rPr>
          <w:b w:val="false"/>
          <w:bCs w:val="false"/>
          <w:i w:val="false"/>
          <w:iCs w:val="false"/>
          <w:sz w:val="22"/>
          <w:szCs w:val="22"/>
          <w:u w:val="none"/>
        </w:rPr>
        <w:t xml:space="preserve">. A soil that is particularly vulnerable to change under agricultural management practice but rapidly returns to its original state would be defined as “resilient”. In comparison, a “resistant” soil can withstand greater levels of management intensity without changing, but once changed may lose the ability to return to its initial condition. Biomass amendments, tillage, fertilisation, and altered hydrology are specific agricultural management practices that have the potential to drastically change the quality of the soil. The elimination of naturally competing plant species and introduction of annual crop plants significantly alters plant biomass. Annual harvest diminishes organic carbon returns to the soil </w:t>
      </w:r>
      <w:r>
        <w:rPr>
          <w:rFonts w:ascii="Times New Roman;serif" w:hAnsi="Times New Roman;serif"/>
          <w:b w:val="false"/>
          <w:bCs w:val="false"/>
          <w:i w:val="false"/>
          <w:iCs w:val="false"/>
          <w:color w:val="000000"/>
          <w:sz w:val="22"/>
          <w:szCs w:val="22"/>
          <w:highlight w:val="white"/>
          <w:u w:val="none"/>
        </w:rPr>
        <w:t xml:space="preserve">(Imhoff et al., 2004); in an agricultural system SOC is a linear function of carbon loads from crop residues (McLauchlan, 2006). Inversion tillage creates belowground disturbance through the pulverisation of the topsoil that increases SOC decomposition rates (Reicosky et al., 1997; Collins et al., 2000; Six et al., 2000) and enables physical soil erosion due to the lack of vegetation cover. </w:t>
      </w:r>
      <w:r>
        <w:rPr>
          <w:rFonts w:ascii="Times New Roman;serif" w:hAnsi="Times New Roman;serif"/>
          <w:b w:val="false"/>
          <w:bCs w:val="false"/>
          <w:i w:val="false"/>
          <w:iCs w:val="false"/>
          <w:color w:val="000000"/>
          <w:sz w:val="22"/>
          <w:szCs w:val="22"/>
          <w:u w:val="none"/>
        </w:rPr>
        <w:t xml:space="preserve">Research shows </w:t>
      </w:r>
      <w:r>
        <w:rPr>
          <w:rFonts w:ascii="Times New Roman;serif" w:hAnsi="Times New Roman;serif"/>
          <w:b w:val="false"/>
          <w:bCs w:val="false"/>
          <w:i w:val="false"/>
          <w:iCs w:val="false"/>
          <w:color w:val="000000"/>
          <w:sz w:val="22"/>
          <w:szCs w:val="22"/>
          <w:highlight w:val="white"/>
          <w:u w:val="none"/>
        </w:rPr>
        <w:t>that after 100 years of maize cultivation, agricultural land contains less than half the amount of topsoil in comparison with perennial grasslands (Gantzer et al., 1991). The full extent of soil degradation caused by inversion tillage can only be realised decades after its use: subsoil begins to appear at the surface, tillage-related landforms such as tillage banks form, and tillage translocation (the movement of the cultivation layer) takes place (Van Oost et al., 2006). Nutrient inputs through fertilisation can cause changes to the microbiome, leading to shifts in soil characteristics (Lin et al., 2019), and subsequently, whole ecosystems (Wang et al., 2011). Irrigation exacerbates siltation, salinisation and sodicity, and can cause an anaerobic shift in the soil, leading to loss of soil hydroecological functioning (Assouline et al., 2015) and irreversible soil damage (Yin et al., 2021). Additional factors influencing soil degradation include continuous cropping/grazing and the use of heavy machinery. This is due to grazing interrupting the natural cycle of returning mineral-rich, dead plant matter to the soil, and machinery compacting the soil, which in turn prevents water infiltration and accelerates erosion. Soil degradation processes such as these call conventional management practices into question.</w:t>
      </w:r>
    </w:p>
    <w:p>
      <w:pPr>
        <w:pStyle w:val="Normal"/>
        <w:bidi w:val="0"/>
        <w:jc w:val="left"/>
        <w:rPr>
          <w:rFonts w:ascii="Times New Roman;serif" w:hAnsi="Times New Roman;serif"/>
          <w:b w:val="false"/>
          <w:b w:val="false"/>
          <w:bCs w:val="false"/>
          <w:color w:val="000000"/>
          <w:highlight w:val="white"/>
          <w:u w:val="none"/>
        </w:rPr>
      </w:pPr>
      <w:r>
        <w:rPr>
          <w:rFonts w:ascii="Times New Roman;serif" w:hAnsi="Times New Roman;serif"/>
          <w:b w:val="false"/>
          <w:bCs w:val="false"/>
          <w:color w:val="000000"/>
          <w:highlight w:val="white"/>
          <w:u w:val="none"/>
        </w:rPr>
      </w:r>
    </w:p>
    <w:p>
      <w:pPr>
        <w:pStyle w:val="Normal"/>
        <w:bidi w:val="0"/>
        <w:jc w:val="left"/>
        <w:rPr>
          <w:i w:val="false"/>
          <w:i w:val="false"/>
          <w:iCs w:val="false"/>
          <w:sz w:val="22"/>
          <w:szCs w:val="22"/>
        </w:rPr>
      </w:pPr>
      <w:r>
        <w:rPr>
          <w:b w:val="false"/>
          <w:bCs w:val="false"/>
          <w:i w:val="false"/>
          <w:iCs w:val="false"/>
          <w:color w:val="000000"/>
          <w:sz w:val="22"/>
          <w:szCs w:val="22"/>
          <w:highlight w:val="white"/>
          <w:u w:val="none"/>
        </w:rPr>
        <w:t xml:space="preserve">Three quarters of terrestrial ecosystems are impacted by soil degradation, with no intervention this number could rise to 90% by 2050 (Pereira et al., 2019). Soil degradation affects more than half of the global agricultural systems, adding a huge strain to approximately 54% of global ecosystem services (Nkonya et al., 2016). More recently, there has been significant interest from scientific researchers regarding the increasing interactions of the pedosphere, biosphere, and atmosphere as a result of soil degradation. The pedosphere is the second largest carbon reservoir on the planet (Stolte et al., 2016). An estimated 2400 Pg of soil organic carbon (SOC) is locked in the upper 2 metres of the soil (Kirschbaum, 2000). However, soil degradation processes such as soil erosion have the potential of unlocking this soil organic carbon and releasing it into the atmosphere. Currently, there is an active debate in the scientific community regarding whether soil degradation and associated ecosystem changes translates into a net C sink or source for atmospheric CO2. It is widely known that soil degradation has huge influence over the global carbon budget. Berhe (2007) estimated that over time the volume of CO2 unlocked from the soil and released into the atmosphere would be equal to three quarters of all fossil fuel carbon emissions. Within the last two centuries, 200 Pg C has entered the atmosphere as a direct result of land conversion and soil degradation (DeFries et al., 1999). The work of Lal (Lal 1995, 2001, 2003a, 2003b, 2003c, 2004) lends huge support to this debate, having found that soil degradation process, such as soil erosion, are a source term as opposed to sink, in the global carbon budget. They predict that annually 1.14Pg C is being released into the atmosphere from the soil due to aggregate breakdown. There is significant support for these finding in the literature (Schlesinger et al., 1995; Starr et al., 2000). A n evidence-supported conclusion of this debate would have huge implications for the future of soil science, ecology and environmental policy. Soil degradation also has important economical consequences. At the going rate, the cost of no intervention is significantly higher than the cost of intervention (Mirzabaev et al., 2015). Estimations of the global revenue lost as a result of soil degradation processes range from 300 billion US dollars (Nkonya et al., 2016; Pancheco et al., 2018) to 6.3 trillion (Sutton et al., 2016), on account of impaired ecosystem function. In Europe, it is thought that the European Union suffers losses of 1.25 billion Euros annually, due to a reduction in agricultural productivity, as a result of 12 million ha of European soils being degraded (Panagos et al., 2018). Similarly, the United Kingdom bears the brunt of a heavy 1.4 billion pound deficit as a consequence of the aforementioned soil degradation (Graves et al., 2015). </w:t>
      </w:r>
    </w:p>
    <w:p>
      <w:pPr>
        <w:pStyle w:val="Normal"/>
        <w:bidi w:val="0"/>
        <w:jc w:val="left"/>
        <w:rPr>
          <w:rFonts w:ascii="Liberation Serif" w:hAnsi="Liberation Serif"/>
          <w:b w:val="false"/>
          <w:b w:val="false"/>
          <w:bCs w:val="false"/>
          <w:color w:val="000000"/>
          <w:highlight w:val="white"/>
          <w:u w:val="none"/>
        </w:rPr>
      </w:pPr>
      <w:r>
        <w:rPr>
          <w:b w:val="false"/>
          <w:bCs w:val="false"/>
          <w:color w:val="000000"/>
          <w:highlight w:val="white"/>
          <w:u w:val="none"/>
        </w:rPr>
      </w:r>
    </w:p>
    <w:p>
      <w:pPr>
        <w:pStyle w:val="Normal"/>
        <w:bidi w:val="0"/>
        <w:jc w:val="left"/>
        <w:rPr>
          <w:i w:val="false"/>
          <w:i w:val="false"/>
          <w:iCs w:val="false"/>
          <w:sz w:val="22"/>
          <w:szCs w:val="22"/>
        </w:rPr>
      </w:pPr>
      <w:r>
        <w:rPr>
          <w:b w:val="false"/>
          <w:bCs w:val="false"/>
          <w:i w:val="false"/>
          <w:iCs w:val="false"/>
          <w:color w:val="000000"/>
          <w:sz w:val="22"/>
          <w:szCs w:val="22"/>
          <w:highlight w:val="white"/>
          <w:u w:val="none"/>
        </w:rPr>
        <w:t xml:space="preserve">Land degradation must not only be reduced, but reversed to ensure long-term productivity. As intensive land management practices are largely responsible for soil degradation, it would be logical to conclude the implementation of less intensive practices is key to rehabilitating degraded land.  Conservation Agriculture (CA) has the ability to reduce soil degradation and increase soil productivity (Pereira et al., 2019). Conservation Agriculture, also known as no-till farming, is based on three principles: i) no-till seed drilling; ii) continuous vegetation cover with organic mulch e.g. crop residue, green manure, cover crops; and iii) maintaining plant diversity by creating polycultures of crops. In contrast to conventional agricultural practices, CA wields the natural diversity of the ecosystem as a tool to propagate soil health and productive capacity (FAO, 2011). CA has the ability to encourage infiltration and storage of water in the soil, and indirectly improve interactions in the rhizosphere between plant roots and soil microbes, as well as the uptake of nutrients (Kassam et al., 2014). This builds resilience in the soil to environmental stressors. There is ample documentation surrounding the benefits of CA practices in long term studies, including: positive responses of soil biota to the removal of mineral fertilisers and pesticides (Henneron et al., 2015), increased soil fertility as a result of crop diversification (DiFalco et al., 2017), and boosted soil productivity under wide crop rotations and cover crops (Ranaivoson et al., 2017; Garcia-Gonzalez et al., 2018). There is enough evidence to imply that the implementation of CA, in conjunction with other defensive management practices to combat erosion and enhance SOC, has the potential to conserve our soils (Lal et al., 2013). For this reason, CA is at the forefront of approaches proposed in the FAO sustainable agricultural intensification strategy (FAO, 2011). Additionally, among the 17 sustainable development goals (SDG’s) proposed by the United Nations (UN) in their agenda for 2030, there is mention of achieving Land Degradation Neutrality (LDN), which cannot be achieved without CA (Kust et al., 2017; Pereira et al., 2019) as agriculture is a primary cause of degradation. </w:t>
      </w:r>
    </w:p>
    <w:p>
      <w:pPr>
        <w:pStyle w:val="Normal"/>
        <w:bidi w:val="0"/>
        <w:jc w:val="left"/>
        <w:rPr>
          <w:i w:val="false"/>
          <w:i w:val="false"/>
          <w:iCs w:val="false"/>
          <w:sz w:val="22"/>
          <w:szCs w:val="22"/>
        </w:rPr>
      </w:pPr>
      <w:r>
        <w:rPr>
          <w:b/>
          <w:bCs/>
          <w:i/>
          <w:iCs/>
        </w:rPr>
      </w:r>
    </w:p>
    <w:p>
      <w:pPr>
        <w:pStyle w:val="Normal"/>
        <w:bidi w:val="0"/>
        <w:jc w:val="left"/>
        <w:rPr/>
      </w:pPr>
      <w:r>
        <w:rPr>
          <w:b w:val="false"/>
          <w:bCs w:val="false"/>
          <w:i w:val="false"/>
          <w:iCs w:val="false"/>
          <w:color w:val="000000"/>
          <w:sz w:val="22"/>
          <w:szCs w:val="22"/>
          <w:highlight w:val="white"/>
          <w:u w:val="none"/>
        </w:rPr>
        <w:t xml:space="preserve">Ecosystem services are not </w:t>
      </w:r>
      <w:r>
        <w:rPr>
          <w:rFonts w:eastAsia="Noto Serif CJK SC" w:cs="Lohit Devanagari"/>
          <w:b w:val="false"/>
          <w:bCs w:val="false"/>
          <w:i w:val="false"/>
          <w:iCs w:val="false"/>
          <w:color w:val="000000"/>
          <w:kern w:val="2"/>
          <w:sz w:val="22"/>
          <w:szCs w:val="22"/>
          <w:highlight w:val="white"/>
          <w:u w:val="none"/>
          <w:lang w:val="en-US" w:eastAsia="zh-CN" w:bidi="hi-IN"/>
        </w:rPr>
        <w:t>just</w:t>
      </w:r>
      <w:r>
        <w:rPr>
          <w:b w:val="false"/>
          <w:bCs w:val="false"/>
          <w:i w:val="false"/>
          <w:iCs w:val="false"/>
          <w:color w:val="000000"/>
          <w:sz w:val="22"/>
          <w:szCs w:val="22"/>
          <w:highlight w:val="white"/>
          <w:u w:val="none"/>
        </w:rPr>
        <w:t xml:space="preserve"> provided by the physical aspects of soil but also by the living things within. </w:t>
      </w:r>
      <w:r>
        <w:rPr>
          <w:b w:val="false"/>
          <w:bCs w:val="false"/>
          <w:i w:val="false"/>
          <w:iCs w:val="false"/>
          <w:color w:val="000000"/>
          <w:sz w:val="22"/>
          <w:szCs w:val="22"/>
          <w:highlight w:val="white"/>
          <w:u w:val="none"/>
        </w:rPr>
        <w:t>Despite b</w:t>
      </w:r>
      <w:r>
        <w:rPr>
          <w:b w:val="false"/>
          <w:bCs w:val="false"/>
          <w:i w:val="false"/>
          <w:iCs w:val="false"/>
          <w:color w:val="000000"/>
          <w:sz w:val="22"/>
          <w:szCs w:val="22"/>
          <w:highlight w:val="white"/>
          <w:u w:val="none"/>
        </w:rPr>
        <w:t xml:space="preserve">acteria </w:t>
      </w:r>
      <w:r>
        <w:rPr>
          <w:b w:val="false"/>
          <w:bCs w:val="false"/>
          <w:i w:val="false"/>
          <w:iCs w:val="false"/>
          <w:color w:val="000000"/>
          <w:sz w:val="22"/>
          <w:szCs w:val="22"/>
          <w:highlight w:val="white"/>
          <w:u w:val="none"/>
        </w:rPr>
        <w:t>and</w:t>
      </w:r>
      <w:r>
        <w:rPr>
          <w:b w:val="false"/>
          <w:bCs w:val="false"/>
          <w:i w:val="false"/>
          <w:iCs w:val="false"/>
          <w:color w:val="000000"/>
          <w:sz w:val="22"/>
          <w:szCs w:val="22"/>
          <w:highlight w:val="white"/>
          <w:u w:val="none"/>
        </w:rPr>
        <w:t xml:space="preserve"> archaea </w:t>
      </w:r>
      <w:r>
        <w:rPr>
          <w:b w:val="false"/>
          <w:bCs w:val="false"/>
          <w:i w:val="false"/>
          <w:iCs w:val="false"/>
          <w:color w:val="000000"/>
          <w:sz w:val="22"/>
          <w:szCs w:val="22"/>
          <w:highlight w:val="white"/>
          <w:u w:val="none"/>
        </w:rPr>
        <w:t xml:space="preserve">being the smallest independently living organisms on the planet </w:t>
      </w:r>
      <w:r>
        <w:rPr>
          <w:b w:val="false"/>
          <w:bCs w:val="false"/>
          <w:i w:val="false"/>
          <w:iCs w:val="false"/>
          <w:color w:val="000000"/>
          <w:sz w:val="22"/>
          <w:szCs w:val="22"/>
          <w:highlight w:val="white"/>
          <w:highlight w:val="white"/>
          <w:u w:val="none"/>
        </w:rPr>
        <w:t>(Aislabie et al., 2013)</w:t>
      </w:r>
      <w:r>
        <w:rPr>
          <w:b w:val="false"/>
          <w:bCs w:val="false"/>
          <w:i w:val="false"/>
          <w:iCs w:val="false"/>
          <w:color w:val="000000"/>
          <w:sz w:val="22"/>
          <w:szCs w:val="22"/>
          <w:highlight w:val="white"/>
          <w:u w:val="none"/>
        </w:rPr>
        <w:t xml:space="preserve">, </w:t>
      </w:r>
      <w:r>
        <w:rPr>
          <w:b w:val="false"/>
          <w:bCs w:val="false"/>
          <w:i w:val="false"/>
          <w:iCs w:val="false"/>
          <w:color w:val="000000"/>
          <w:sz w:val="22"/>
          <w:szCs w:val="22"/>
          <w:highlight w:val="white"/>
          <w:u w:val="none"/>
        </w:rPr>
        <w:t xml:space="preserve">they are, in addition to </w:t>
      </w:r>
      <w:r>
        <w:rPr>
          <w:b w:val="false"/>
          <w:bCs w:val="false"/>
          <w:i w:val="false"/>
          <w:iCs w:val="false"/>
          <w:color w:val="000000"/>
          <w:sz w:val="22"/>
          <w:szCs w:val="22"/>
          <w:highlight w:val="white"/>
          <w:u w:val="none"/>
        </w:rPr>
        <w:t>fungi and other soil biota, the drivers</w:t>
      </w:r>
      <w:r>
        <w:rPr>
          <w:b w:val="false"/>
          <w:bCs w:val="false"/>
          <w:i w:val="false"/>
          <w:iCs w:val="false"/>
          <w:color w:val="000000"/>
          <w:sz w:val="22"/>
          <w:szCs w:val="22"/>
          <w:highlight w:val="white"/>
          <w:u w:val="none"/>
        </w:rPr>
        <w:t xml:space="preserve"> </w:t>
      </w:r>
      <w:r>
        <w:rPr>
          <w:b w:val="false"/>
          <w:bCs w:val="false"/>
          <w:i w:val="false"/>
          <w:iCs w:val="false"/>
          <w:color w:val="000000"/>
          <w:sz w:val="22"/>
          <w:szCs w:val="22"/>
          <w:highlight w:val="white"/>
          <w:u w:val="none"/>
        </w:rPr>
        <w:t xml:space="preserve">of critical ecosystem services </w:t>
      </w:r>
      <w:r>
        <w:rPr>
          <w:b w:val="false"/>
          <w:bCs w:val="false"/>
          <w:i w:val="false"/>
          <w:iCs w:val="false"/>
          <w:color w:val="000000"/>
          <w:sz w:val="22"/>
          <w:szCs w:val="22"/>
          <w:highlight w:val="white"/>
          <w:u w:val="none"/>
        </w:rPr>
        <w:t xml:space="preserve">such as those provided in Table 1. </w:t>
      </w:r>
      <w:r>
        <w:rPr>
          <w:b w:val="false"/>
          <w:bCs w:val="false"/>
          <w:i w:val="false"/>
          <w:iCs w:val="false"/>
          <w:color w:val="000000"/>
          <w:sz w:val="22"/>
          <w:szCs w:val="22"/>
          <w:highlight w:val="white"/>
          <w:u w:val="none"/>
        </w:rPr>
        <w:t>‘</w:t>
      </w:r>
      <w:r>
        <w:rPr>
          <w:b w:val="false"/>
          <w:bCs w:val="false"/>
          <w:i w:val="false"/>
          <w:iCs w:val="false"/>
          <w:color w:val="000000"/>
          <w:sz w:val="22"/>
          <w:szCs w:val="22"/>
          <w:highlight w:val="white"/>
          <w:u w:val="none"/>
        </w:rPr>
        <w:t xml:space="preserve">Soil health’ is a novel attempt to </w:t>
      </w:r>
      <w:r>
        <w:rPr>
          <w:b w:val="false"/>
          <w:bCs w:val="false"/>
          <w:i w:val="false"/>
          <w:iCs w:val="false"/>
          <w:color w:val="000000"/>
          <w:sz w:val="22"/>
          <w:szCs w:val="22"/>
          <w:highlight w:val="white"/>
          <w:u w:val="none"/>
        </w:rPr>
        <w:t>define and</w:t>
      </w:r>
      <w:r>
        <w:rPr>
          <w:b w:val="false"/>
          <w:bCs w:val="false"/>
          <w:i w:val="false"/>
          <w:iCs w:val="false"/>
          <w:color w:val="000000"/>
          <w:sz w:val="22"/>
          <w:szCs w:val="22"/>
          <w:highlight w:val="white"/>
          <w:u w:val="none"/>
        </w:rPr>
        <w:t xml:space="preserve"> quantify </w:t>
      </w:r>
      <w:r>
        <w:rPr>
          <w:b w:val="false"/>
          <w:bCs w:val="false"/>
          <w:i w:val="false"/>
          <w:iCs w:val="false"/>
          <w:color w:val="000000"/>
          <w:sz w:val="22"/>
          <w:szCs w:val="22"/>
          <w:highlight w:val="white"/>
          <w:u w:val="none"/>
        </w:rPr>
        <w:t xml:space="preserve">the agricultural sustainability potential of soils </w:t>
      </w:r>
      <w:r>
        <w:rPr>
          <w:b w:val="false"/>
          <w:bCs w:val="false"/>
          <w:i w:val="false"/>
          <w:iCs w:val="false"/>
          <w:color w:val="000000"/>
          <w:sz w:val="22"/>
          <w:szCs w:val="22"/>
          <w:highlight w:val="white"/>
          <w:highlight w:val="white"/>
          <w:u w:val="none"/>
        </w:rPr>
        <w:t>(Norris et al., 2020)</w:t>
      </w:r>
      <w:r>
        <w:rPr>
          <w:b w:val="false"/>
          <w:bCs w:val="false"/>
          <w:i w:val="false"/>
          <w:iCs w:val="false"/>
          <w:color w:val="000000"/>
          <w:sz w:val="22"/>
          <w:szCs w:val="22"/>
          <w:highlight w:val="white"/>
          <w:u w:val="none"/>
        </w:rPr>
        <w:t xml:space="preserve">. </w:t>
      </w:r>
      <w:r>
        <w:rPr>
          <w:b w:val="false"/>
          <w:bCs w:val="false"/>
          <w:i w:val="false"/>
          <w:iCs w:val="false"/>
          <w:color w:val="000000"/>
          <w:sz w:val="22"/>
          <w:szCs w:val="22"/>
          <w:highlight w:val="white"/>
          <w:u w:val="none"/>
        </w:rPr>
        <w:t xml:space="preserve">Maintaining the </w:t>
      </w:r>
      <w:r>
        <w:rPr>
          <w:rFonts w:eastAsia="Noto Serif CJK SC" w:cs="Lohit Devanagari"/>
          <w:b w:val="false"/>
          <w:bCs w:val="false"/>
          <w:i w:val="false"/>
          <w:iCs w:val="false"/>
          <w:color w:val="000000"/>
          <w:kern w:val="2"/>
          <w:sz w:val="22"/>
          <w:szCs w:val="22"/>
          <w:highlight w:val="white"/>
          <w:u w:val="none"/>
          <w:lang w:val="en-US" w:eastAsia="zh-CN" w:bidi="hi-IN"/>
        </w:rPr>
        <w:t>supply</w:t>
      </w:r>
      <w:r>
        <w:rPr>
          <w:b w:val="false"/>
          <w:bCs w:val="false"/>
          <w:i w:val="false"/>
          <w:iCs w:val="false"/>
          <w:color w:val="000000"/>
          <w:sz w:val="22"/>
          <w:szCs w:val="22"/>
          <w:highlight w:val="white"/>
          <w:u w:val="none"/>
        </w:rPr>
        <w:t xml:space="preserve"> of ecosystem services is a common prerequisite for attaining soil health, according to most definitions in the literature </w:t>
      </w:r>
      <w:r>
        <w:rPr>
          <w:b w:val="false"/>
          <w:bCs w:val="false"/>
          <w:i w:val="false"/>
          <w:iCs w:val="false"/>
          <w:color w:val="000000"/>
          <w:sz w:val="22"/>
          <w:szCs w:val="22"/>
          <w:highlight w:val="white"/>
          <w:highlight w:val="white"/>
          <w:u w:val="none"/>
        </w:rPr>
        <w:t>(Ferris al., 2015)</w:t>
      </w:r>
      <w:r>
        <w:rPr>
          <w:b w:val="false"/>
          <w:bCs w:val="false"/>
          <w:i w:val="false"/>
          <w:iCs w:val="false"/>
          <w:color w:val="000000"/>
          <w:sz w:val="22"/>
          <w:szCs w:val="22"/>
          <w:highlight w:val="white"/>
          <w:u w:val="none"/>
        </w:rPr>
        <w:t xml:space="preserve">. </w:t>
      </w:r>
      <w:r>
        <w:rPr>
          <w:b w:val="false"/>
          <w:bCs w:val="false"/>
          <w:i w:val="false"/>
          <w:iCs w:val="false"/>
          <w:color w:val="000000"/>
          <w:sz w:val="22"/>
          <w:szCs w:val="22"/>
          <w:highlight w:val="white"/>
          <w:u w:val="none"/>
        </w:rPr>
        <w:t>What differentiates this</w:t>
      </w:r>
      <w:r>
        <w:rPr>
          <w:rFonts w:eastAsia="Noto Serif CJK SC" w:cs="Lohit Devanagari"/>
          <w:b w:val="false"/>
          <w:bCs w:val="false"/>
          <w:i w:val="false"/>
          <w:iCs w:val="false"/>
          <w:color w:val="000000"/>
          <w:kern w:val="2"/>
          <w:sz w:val="22"/>
          <w:szCs w:val="22"/>
          <w:highlight w:val="white"/>
          <w:u w:val="none"/>
          <w:lang w:val="en-US" w:eastAsia="zh-CN" w:bidi="hi-IN"/>
        </w:rPr>
        <w:t xml:space="preserve"> soil measurement from </w:t>
      </w:r>
      <w:r>
        <w:rPr>
          <w:rFonts w:eastAsia="Noto Serif CJK SC" w:cs="Lohit Devanagari"/>
          <w:b w:val="false"/>
          <w:bCs w:val="false"/>
          <w:i w:val="false"/>
          <w:iCs w:val="false"/>
          <w:color w:val="000000"/>
          <w:kern w:val="2"/>
          <w:sz w:val="22"/>
          <w:szCs w:val="22"/>
          <w:highlight w:val="white"/>
          <w:u w:val="none"/>
          <w:lang w:val="en-US" w:eastAsia="zh-CN" w:bidi="hi-IN"/>
        </w:rPr>
        <w:t>previous</w:t>
      </w:r>
      <w:r>
        <w:rPr>
          <w:rFonts w:eastAsia="Noto Serif CJK SC" w:cs="Lohit Devanagari"/>
          <w:b w:val="false"/>
          <w:bCs w:val="false"/>
          <w:i w:val="false"/>
          <w:iCs w:val="false"/>
          <w:color w:val="000000"/>
          <w:kern w:val="2"/>
          <w:sz w:val="22"/>
          <w:szCs w:val="22"/>
          <w:highlight w:val="white"/>
          <w:u w:val="none"/>
          <w:lang w:val="en-US" w:eastAsia="zh-CN" w:bidi="hi-IN"/>
        </w:rPr>
        <w:t xml:space="preserve"> </w:t>
      </w:r>
      <w:r>
        <w:rPr>
          <w:rFonts w:eastAsia="Noto Serif CJK SC" w:cs="Lohit Devanagari"/>
          <w:b w:val="false"/>
          <w:bCs w:val="false"/>
          <w:i w:val="false"/>
          <w:iCs w:val="false"/>
          <w:color w:val="000000"/>
          <w:kern w:val="2"/>
          <w:sz w:val="22"/>
          <w:szCs w:val="22"/>
          <w:highlight w:val="white"/>
          <w:u w:val="none"/>
          <w:lang w:val="en-US" w:eastAsia="zh-CN" w:bidi="hi-IN"/>
        </w:rPr>
        <w:t>metrics</w:t>
      </w:r>
      <w:r>
        <w:rPr>
          <w:rFonts w:eastAsia="Noto Serif CJK SC" w:cs="Lohit Devanagari"/>
          <w:b w:val="false"/>
          <w:bCs w:val="false"/>
          <w:i w:val="false"/>
          <w:iCs w:val="false"/>
          <w:color w:val="000000"/>
          <w:kern w:val="2"/>
          <w:sz w:val="22"/>
          <w:szCs w:val="22"/>
          <w:highlight w:val="white"/>
          <w:u w:val="none"/>
          <w:lang w:val="en-US" w:eastAsia="zh-CN" w:bidi="hi-IN"/>
        </w:rPr>
        <w:t xml:space="preserve"> is the inclusion of soil biota and their subsequent soil processes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(Doran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et al.</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2000)</w:t>
      </w:r>
      <w:r>
        <w:rPr>
          <w:rFonts w:eastAsia="Noto Serif CJK SC" w:cs="Lohit Devanagari"/>
          <w:b w:val="false"/>
          <w:bCs w:val="false"/>
          <w:i w:val="false"/>
          <w:iCs w:val="false"/>
          <w:color w:val="000000"/>
          <w:kern w:val="2"/>
          <w:sz w:val="22"/>
          <w:szCs w:val="22"/>
          <w:highlight w:val="white"/>
          <w:u w:val="none"/>
          <w:lang w:val="en-US" w:eastAsia="zh-CN" w:bidi="hi-IN"/>
        </w:rPr>
        <w:t xml:space="preserve">. </w:t>
      </w:r>
      <w:r>
        <w:rPr>
          <w:rFonts w:eastAsia="Noto Serif CJK SC" w:cs="Lohit Devanagari"/>
          <w:b w:val="false"/>
          <w:bCs w:val="false"/>
          <w:i w:val="false"/>
          <w:iCs w:val="false"/>
          <w:color w:val="000000"/>
          <w:kern w:val="2"/>
          <w:sz w:val="22"/>
          <w:szCs w:val="22"/>
          <w:highlight w:val="white"/>
          <w:u w:val="none"/>
          <w:lang w:val="en-US" w:eastAsia="zh-CN" w:bidi="hi-IN"/>
        </w:rPr>
        <w:t>Recent developments in microbial community quantification methods has allowed for empirical measurements of soil biology, and consequently soil health. Specifically, DNA-based analyses are a significantly under-utilised me</w:t>
      </w:r>
      <w:r>
        <w:rPr>
          <w:rFonts w:eastAsia="Noto Serif CJK SC" w:cs="Lohit Devanagari"/>
          <w:b w:val="false"/>
          <w:bCs w:val="false"/>
          <w:i w:val="false"/>
          <w:iCs w:val="false"/>
          <w:color w:val="000000"/>
          <w:kern w:val="2"/>
          <w:sz w:val="22"/>
          <w:szCs w:val="22"/>
          <w:highlight w:val="white"/>
          <w:u w:val="none"/>
          <w:lang w:val="en-US" w:eastAsia="zh-CN" w:bidi="hi-IN"/>
        </w:rPr>
        <w:t xml:space="preserve">tric in the attempt to comprehend soil health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(Fierer et al., 2021).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The inclusion of soil biota in soil health assessments provides many advantages. Where other soil parameters such as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nitrogen levels or SOC may be temporally variable, microbial communities are generally stable from week to week (Lauber et al., 2013). Therefore, any analysis that finds changes in the microbiome can be more confident that something significant is happening, as opposed to natural variation from environmental conditions. Hermans et al., (2020) found that microbial diversity could be used to anticipate soil quality physico-chemical attributes by quantifying relative abundances of bacterial taxa.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Similarly, correlations between functional microbial genes and common soil processes have been identified, such as nitrification and methane production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(Fierer et al., 2021).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These are processes often indicative of soil health</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therefore microbial genetic material can be used to determine oscillations in soil properties, demonstrating the significance of DNA-based microbial analyses.  </w:t>
      </w:r>
    </w:p>
    <w:p>
      <w:pPr>
        <w:pStyle w:val="Normal"/>
        <w:bidi w:val="0"/>
        <w:jc w:val="left"/>
        <w:rPr>
          <w:rFonts w:ascii="Liberation Serif" w:hAnsi="Liberation Serif" w:eastAsia="Noto Serif CJK SC" w:cs="Lohit Devanagari"/>
          <w:b w:val="false"/>
          <w:b w:val="false"/>
          <w:bCs w:val="false"/>
          <w:i w:val="false"/>
          <w:i w:val="false"/>
          <w:iCs w:val="false"/>
          <w:color w:val="000000"/>
          <w:kern w:val="2"/>
          <w:sz w:val="22"/>
          <w:szCs w:val="22"/>
          <w:highlight w:val="white"/>
          <w:highlight w:val="white"/>
          <w:u w:val="none"/>
          <w:lang w:val="en-US" w:eastAsia="zh-CN" w:bidi="hi-IN"/>
        </w:rPr>
      </w:pPr>
      <w:r>
        <w:rPr/>
      </w:r>
    </w:p>
    <w:p>
      <w:pPr>
        <w:pStyle w:val="Normal"/>
        <w:bidi w:val="0"/>
        <w:jc w:val="left"/>
        <w:rPr/>
      </w:pPr>
      <w:r>
        <w:rPr>
          <w:sz w:val="22"/>
          <w:szCs w:val="22"/>
          <w:highlight w:val="yellow"/>
        </w:rPr>
        <w:t xml:space="preserve">Modern agriculture thus faces great challenges not only in terms of ensuring global food security by increasing yields, but also mitigating the environmental costs particularly in the context of a changing environment and growing competition for land, water, and energy (Chen et al., 2014). Therefore, there is an urgent need to find early indicators of soil health degradation in response to agricultural management (Grime, 1997; Cardoso et al., 2013). </w:t>
      </w:r>
      <w:r>
        <w:rPr>
          <w:rFonts w:eastAsia="Noto Serif CJK SC" w:cs="Lohit Devanagari"/>
          <w:b w:val="false"/>
          <w:bCs w:val="false"/>
          <w:i w:val="false"/>
          <w:iCs w:val="false"/>
          <w:color w:val="000000"/>
          <w:kern w:val="2"/>
          <w:sz w:val="22"/>
          <w:szCs w:val="22"/>
          <w:highlight w:val="yellow"/>
          <w:u w:val="none"/>
          <w:lang w:val="en-US" w:eastAsia="zh-CN" w:bidi="hi-IN"/>
        </w:rPr>
        <w:t xml:space="preserve">Changes in land use are altering both microbial community structure and diversity in terrestrial ecosystems (Rodrigues et al., 2013). </w:t>
      </w:r>
      <w:r>
        <w:rPr>
          <w:rFonts w:eastAsia="Noto Serif CJK SC" w:cs="Lohit Devanagari"/>
          <w:b w:val="false"/>
          <w:bCs w:val="false"/>
          <w:i w:val="false"/>
          <w:iCs w:val="false"/>
          <w:color w:val="000000"/>
          <w:kern w:val="2"/>
          <w:sz w:val="22"/>
          <w:szCs w:val="22"/>
          <w:highlight w:val="yellow"/>
          <w:u w:val="none"/>
          <w:lang w:val="en-US" w:eastAsia="zh-CN" w:bidi="hi-IN"/>
        </w:rPr>
        <w:t xml:space="preserve">Since soil bacterial communities drive many different ecosystem functions (e.g., Delgado-Baquerizo et al., 2016b), and their abundance, richness, and composition are sensitive to the changes in the land use and management (Singh et al., 2014), they have been considered as early indicators of change in the quality of soil ecosystems (Kennedy and Stubbs, 2006). </w:t>
      </w:r>
      <w:r>
        <w:rPr>
          <w:rFonts w:eastAsia="Noto Serif CJK SC" w:cs="Lohit Devanagari"/>
          <w:b w:val="false"/>
          <w:bCs w:val="false"/>
          <w:i w:val="false"/>
          <w:iCs w:val="false"/>
          <w:color w:val="000000"/>
          <w:kern w:val="2"/>
          <w:sz w:val="22"/>
          <w:szCs w:val="22"/>
          <w:highlight w:val="yellow"/>
          <w:u w:val="none"/>
          <w:lang w:val="en-US" w:eastAsia="zh-CN" w:bidi="hi-IN"/>
        </w:rPr>
        <w:t xml:space="preserve">In some instances, changes in microbial populations or activity can precede detectable changes in soil physical and chemical properties, thereby providing an early sign of soil improvement or an early warning of soil degradation (Nielsen et al., 2002).  </w:t>
      </w:r>
      <w:r>
        <w:rPr>
          <w:b w:val="false"/>
          <w:bCs w:val="false"/>
          <w:i w:val="false"/>
          <w:iCs w:val="false"/>
          <w:color w:val="000000"/>
          <w:sz w:val="22"/>
          <w:szCs w:val="22"/>
          <w:highlight w:val="yellow"/>
          <w:u w:val="none"/>
        </w:rPr>
        <w:t>Herein, we conducted a meta-analysis to explore how soil properties (</w:t>
      </w:r>
      <w:r>
        <w:rPr>
          <w:b w:val="false"/>
          <w:bCs w:val="false"/>
          <w:i w:val="false"/>
          <w:iCs w:val="false"/>
          <w:color w:val="000000"/>
          <w:sz w:val="22"/>
          <w:szCs w:val="22"/>
          <w:highlight w:val="yellow"/>
          <w:u w:val="none"/>
        </w:rPr>
        <w:t>soil microbial diversity, community composition, and abundance)</w:t>
      </w:r>
      <w:r>
        <w:rPr>
          <w:b w:val="false"/>
          <w:bCs w:val="false"/>
          <w:i w:val="false"/>
          <w:iCs w:val="false"/>
          <w:color w:val="000000"/>
          <w:sz w:val="22"/>
          <w:szCs w:val="22"/>
          <w:highlight w:val="yellow"/>
          <w:u w:val="none"/>
        </w:rPr>
        <w:t xml:space="preserve"> are affected in response to agricultural management across the main </w:t>
      </w:r>
      <w:r>
        <w:rPr>
          <w:rFonts w:eastAsia="Noto Serif CJK SC" w:cs="Lohit Devanagari"/>
          <w:b w:val="false"/>
          <w:bCs w:val="false"/>
          <w:i w:val="false"/>
          <w:iCs w:val="false"/>
          <w:color w:val="000000"/>
          <w:kern w:val="2"/>
          <w:sz w:val="22"/>
          <w:szCs w:val="22"/>
          <w:highlight w:val="yellow"/>
          <w:u w:val="none"/>
          <w:lang w:val="en-US" w:eastAsia="zh-CN" w:bidi="hi-IN"/>
        </w:rPr>
        <w:t>Europe</w:t>
      </w:r>
      <w:r>
        <w:rPr>
          <w:b w:val="false"/>
          <w:bCs w:val="false"/>
          <w:i w:val="false"/>
          <w:iCs w:val="false"/>
          <w:color w:val="000000"/>
          <w:sz w:val="22"/>
          <w:szCs w:val="22"/>
          <w:highlight w:val="yellow"/>
          <w:u w:val="none"/>
        </w:rPr>
        <w:t xml:space="preserve">. The aim of the meta-analysis was to identify the impact of agriculture practices on soil nutritional health and microbial communities. We also aimed to examine if the response of microbial community to agriculture is consistent across </w:t>
      </w:r>
      <w:r>
        <w:rPr>
          <w:b w:val="false"/>
          <w:bCs w:val="false"/>
          <w:i w:val="false"/>
          <w:iCs w:val="false"/>
          <w:color w:val="000000"/>
          <w:sz w:val="22"/>
          <w:szCs w:val="22"/>
          <w:highlight w:val="yellow"/>
          <w:u w:val="none"/>
        </w:rPr>
        <w:t>different management intensities</w:t>
      </w:r>
      <w:r>
        <w:rPr>
          <w:b w:val="false"/>
          <w:bCs w:val="false"/>
          <w:i w:val="false"/>
          <w:iCs w:val="false"/>
          <w:color w:val="000000"/>
          <w:sz w:val="22"/>
          <w:szCs w:val="22"/>
          <w:highlight w:val="yellow"/>
          <w:u w:val="none"/>
        </w:rPr>
        <w:t xml:space="preserve">. We collected data from 102 peer-reviewed publications as well as unpublished data to create a global dataset of soil bacterial diversity and composition evaluated with next generation sequencing techniques (mostly 454 Pyrosequencing). Our meta-analysis revealed foreseeable nature of the microbial community responses to vegetation types suggesting that the microbial indicators can be developed as tools for prediction for primary productivity and soil health. </w:t>
      </w:r>
    </w:p>
    <w:p>
      <w:pPr>
        <w:pStyle w:val="Normal"/>
        <w:bidi w:val="0"/>
        <w:jc w:val="left"/>
        <w:rPr>
          <w:rFonts w:ascii="Liberation Serif" w:hAnsi="Liberation Serif"/>
          <w:b w:val="false"/>
          <w:b w:val="false"/>
          <w:bCs w:val="false"/>
          <w:i w:val="false"/>
          <w:i w:val="false"/>
          <w:iCs w:val="false"/>
          <w:color w:val="000000"/>
          <w:sz w:val="22"/>
          <w:szCs w:val="22"/>
          <w:highlight w:val="white"/>
          <w:u w:val="none"/>
        </w:rPr>
      </w:pPr>
      <w:r>
        <w:rPr/>
      </w:r>
    </w:p>
    <w:p>
      <w:pPr>
        <w:pStyle w:val="Normal"/>
        <w:bidi w:val="0"/>
        <w:jc w:val="left"/>
        <w:rPr>
          <w:rFonts w:ascii="Liberation Serif" w:hAnsi="Liberation Serif"/>
          <w:b w:val="false"/>
          <w:b w:val="false"/>
          <w:bCs w:val="false"/>
          <w:i w:val="false"/>
          <w:i w:val="false"/>
          <w:iCs w:val="false"/>
          <w:color w:val="000000"/>
          <w:sz w:val="22"/>
          <w:szCs w:val="22"/>
          <w:highlight w:val="white"/>
          <w:u w:val="none"/>
        </w:rPr>
      </w:pPr>
      <w:r>
        <w:rPr/>
      </w:r>
    </w:p>
    <w:p>
      <w:pPr>
        <w:pStyle w:val="Normal"/>
        <w:bidi w:val="0"/>
        <w:jc w:val="left"/>
        <w:rPr>
          <w:rFonts w:ascii="Liberation Serif" w:hAnsi="Liberation Serif"/>
          <w:b w:val="false"/>
          <w:b w:val="false"/>
          <w:bCs w:val="false"/>
          <w:i w:val="false"/>
          <w:i w:val="false"/>
          <w:iCs w:val="false"/>
          <w:color w:val="000000"/>
          <w:sz w:val="22"/>
          <w:szCs w:val="22"/>
          <w:highlight w:val="white"/>
          <w:u w:val="none"/>
        </w:rPr>
      </w:pPr>
      <w:r>
        <w:rPr/>
      </w:r>
    </w:p>
    <w:p>
      <w:pPr>
        <w:pStyle w:val="Normal"/>
        <w:bidi w:val="0"/>
        <w:jc w:val="left"/>
        <w:rPr>
          <w:rFonts w:ascii="Liberation Serif" w:hAnsi="Liberation Serif"/>
          <w:b w:val="false"/>
          <w:b w:val="false"/>
          <w:bCs w:val="false"/>
          <w:i w:val="false"/>
          <w:i w:val="false"/>
          <w:iCs w:val="false"/>
          <w:color w:val="000000"/>
          <w:sz w:val="22"/>
          <w:szCs w:val="22"/>
          <w:highlight w:val="white"/>
          <w:u w:val="none"/>
        </w:rPr>
      </w:pPr>
      <w:r>
        <w:rPr/>
      </w:r>
    </w:p>
    <w:p>
      <w:pPr>
        <w:pStyle w:val="Normal"/>
        <w:bidi w:val="0"/>
        <w:jc w:val="left"/>
        <w:rPr>
          <w:rFonts w:ascii="Liberation Serif" w:hAnsi="Liberation Serif"/>
          <w:b w:val="false"/>
          <w:b w:val="false"/>
          <w:bCs w:val="false"/>
          <w:i w:val="false"/>
          <w:i w:val="false"/>
          <w:iCs w:val="false"/>
          <w:color w:val="000000"/>
          <w:sz w:val="22"/>
          <w:szCs w:val="22"/>
          <w:highlight w:val="white"/>
          <w:u w:val="none"/>
        </w:rPr>
      </w:pPr>
      <w:r>
        <w:rPr/>
      </w:r>
    </w:p>
    <w:p>
      <w:pPr>
        <w:pStyle w:val="Normal"/>
        <w:bidi w:val="0"/>
        <w:jc w:val="left"/>
        <w:rPr>
          <w:rFonts w:ascii="Liberation Serif" w:hAnsi="Liberation Serif"/>
          <w:b w:val="false"/>
          <w:b w:val="false"/>
          <w:bCs w:val="false"/>
          <w:i w:val="false"/>
          <w:i w:val="false"/>
          <w:iCs w:val="false"/>
          <w:color w:val="000000"/>
          <w:sz w:val="22"/>
          <w:szCs w:val="22"/>
          <w:highlight w:val="white"/>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LibreOffice/6.4.7.2$Linux_X86_64 LibreOffice_project/40$Build-2</Application>
  <Pages>4</Pages>
  <Words>2509</Words>
  <Characters>14221</Characters>
  <CharactersWithSpaces>16732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2022-08-18T14:50:24Z</dcterms:created>
  <dc:creator/>
  <dc:description/>
  <dc:language>en-US</dc:language>
  <cp:lastModifiedBy/>
  <dcterms:modified xsi:type="dcterms:W3CDTF">2022-08-22T01:40:58Z</dcterms:modified>
  <cp:revision>13</cp:revision>
  <dc:subject/>
  <dc:title/>
</cp:coreProperties>
</file>