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Georgia" w:cs="Georgia" w:eastAsia="Georgia" w:hAnsi="Georgia"/>
          <w:b w:val="1"/>
          <w:sz w:val="28"/>
          <w:szCs w:val="28"/>
          <w:u w:val="single"/>
        </w:rPr>
      </w:pPr>
      <w:r w:rsidDel="00000000" w:rsidR="00000000" w:rsidRPr="00000000">
        <w:rPr>
          <w:rFonts w:ascii="Georgia" w:cs="Georgia" w:eastAsia="Georgia" w:hAnsi="Georgia"/>
          <w:b w:val="1"/>
          <w:sz w:val="28"/>
          <w:szCs w:val="28"/>
          <w:u w:val="single"/>
          <w:rtl w:val="0"/>
        </w:rPr>
        <w:t xml:space="preserve">Descripción de la lectura visual de la pieza - Amelie Lefranc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Mi afiche está estructurado de forma vertical, donde el lector comienza por leer el título que contextualiza la temática general</w:t>
      </w:r>
      <w:r w:rsidDel="00000000" w:rsidR="00000000" w:rsidRPr="00000000">
        <w:rPr>
          <w:rFonts w:ascii="Georgia" w:cs="Georgia" w:eastAsia="Georgia" w:hAnsi="Georgia"/>
          <w:sz w:val="26"/>
          <w:szCs w:val="26"/>
          <w:rtl w:val="0"/>
        </w:rPr>
        <w:t xml:space="preserve">: la diversidad musical en Chile entre 2021 y 2024. Luego, el afiche presenta tres secciones visuales que guían la lectura de arriba hacia abajo: primero, los géneros por año en radio; luego, los artistas que más suenan en radio; y finalmente, el porcentaje de música urbana en 2022. Cada texto tiene su respectiva visualización, lo que facilita la comprensión de la información.</w:t>
      </w:r>
    </w:p>
    <w:p w:rsidR="00000000" w:rsidDel="00000000" w:rsidP="00000000" w:rsidRDefault="00000000" w:rsidRPr="00000000" w14:paraId="00000004">
      <w:pPr>
        <w:spacing w:after="240" w:before="240" w:lineRule="auto"/>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Por otro lado, la paleta de colores utilizada corresponde a la definida en la webstory, al igual que los elementos visuales empleados en formato scrapbook.</w:t>
      </w:r>
    </w:p>
    <w:p w:rsidR="00000000" w:rsidDel="00000000" w:rsidP="00000000" w:rsidRDefault="00000000" w:rsidRPr="00000000" w14:paraId="00000005">
      <w:pPr>
        <w:spacing w:after="240" w:before="240" w:lineRule="auto"/>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Los gráficos que utilizamos demuestran la clara predominancia de los géneros urbanos en plataformas como Spotify, mientras que las radios presentan una mayor variedad de géneros, aunque también con una fuerte concentración en la música pop. La combinación de visualizaciones ayuda a comprender cómo ambas plataformas comparten o difieren en ciertas tendencias. En conjunto, el afiche refuerza el mensaje de nuestra investigación y refleja la oferta musical en Chile.</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