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BB3DE" w14:textId="77777777" w:rsidR="00153F99" w:rsidRPr="00BB45DB" w:rsidRDefault="00153F9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6C5F9A5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7FACB1A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E581492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C64F674" w14:textId="77777777" w:rsidR="00925A81" w:rsidRPr="00BB45DB" w:rsidRDefault="00925A81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0D0267F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1B140A0" w14:textId="556CA40E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The Online Disinhibition Effect</w:t>
      </w:r>
    </w:p>
    <w:p w14:paraId="1A751DD3" w14:textId="3DE8D3BC" w:rsidR="002062F2" w:rsidRPr="00BB45DB" w:rsidRDefault="00115BD8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Final Report</w:t>
      </w:r>
      <w:r w:rsidR="002062F2" w:rsidRPr="00BB45DB">
        <w:rPr>
          <w:rFonts w:ascii="Lucida Sans Unicode" w:hAnsi="Lucida Sans Unicode" w:cs="Lucida Sans Unicode"/>
          <w:sz w:val="22"/>
          <w:szCs w:val="22"/>
        </w:rPr>
        <w:t xml:space="preserve"> EMPRA FOMO: Formal Modeling of Psychological Theories</w:t>
      </w:r>
    </w:p>
    <w:p w14:paraId="62309E26" w14:textId="4958099E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im Bachelorstudiengang Psychologie der LMU München</w:t>
      </w:r>
    </w:p>
    <w:p w14:paraId="2F00D3A5" w14:textId="77777777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</w:p>
    <w:p w14:paraId="2848609E" w14:textId="05B9924B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vorgelegt von Amelie Schlieben (12803391)</w:t>
      </w:r>
    </w:p>
    <w:p w14:paraId="4E719B29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AAE96FE" w14:textId="04D3CEFE" w:rsidR="00925A81" w:rsidRPr="00BB45DB" w:rsidRDefault="00925A81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364B019" w14:textId="77777777" w:rsidR="00D41760" w:rsidRPr="00BB45DB" w:rsidRDefault="00D41760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FE065E5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CF8FB09" w14:textId="29D46B6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Korrespondenz: </w:t>
      </w:r>
      <w:hyperlink r:id="rId8" w:history="1">
        <w:r w:rsidRPr="00BB45DB">
          <w:rPr>
            <w:rStyle w:val="Hyperlink"/>
            <w:rFonts w:ascii="Lucida Sans Unicode" w:hAnsi="Lucida Sans Unicode" w:cs="Lucida Sans Unicode"/>
            <w:sz w:val="22"/>
            <w:szCs w:val="22"/>
          </w:rPr>
          <w:t>Schlieben.Am@campus.lmu.de</w:t>
        </w:r>
      </w:hyperlink>
    </w:p>
    <w:p w14:paraId="0852C11F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7CAAF73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CD353F7" w14:textId="443DA31F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Seminarleitung: Dr. Felix Schönbrodt </w:t>
      </w:r>
    </w:p>
    <w:p w14:paraId="13020E9A" w14:textId="3E74EA6E" w:rsidR="00153F99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Datum: Dienstag, 17. März 2026</w:t>
      </w:r>
    </w:p>
    <w:p w14:paraId="46323572" w14:textId="77777777" w:rsidR="00437C72" w:rsidRPr="00BB45DB" w:rsidRDefault="00437C7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2567643" w14:textId="77777777" w:rsidR="00437C72" w:rsidRPr="00BB45DB" w:rsidRDefault="00437C72" w:rsidP="000B6463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lastRenderedPageBreak/>
        <w:t>Introduction</w:t>
      </w:r>
    </w:p>
    <w:p w14:paraId="54C05198" w14:textId="3B98A7CC" w:rsidR="00437C72" w:rsidRPr="00BB45DB" w:rsidRDefault="00437C72" w:rsidP="000B6463">
      <w:pPr>
        <w:spacing w:line="360" w:lineRule="auto"/>
        <w:ind w:firstLine="709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The aim of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 xml:space="preserve"> th</w:t>
      </w:r>
      <w:r w:rsidRPr="00BB45DB">
        <w:rPr>
          <w:rFonts w:ascii="Lucida Sans Unicode" w:hAnsi="Lucida Sans Unicode" w:cs="Lucida Sans Unicode"/>
          <w:sz w:val="22"/>
          <w:szCs w:val="22"/>
        </w:rPr>
        <w:t>e following work is the formalization of (parts of) Suler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‘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s (2004) Online Disinhibition Effect.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This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>goal involves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 three steps: (1) Formalization of the existing narrative </w:t>
      </w:r>
      <w:r w:rsidR="007A298A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framework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using a VAST display (</w:t>
      </w:r>
      <w:r w:rsidR="007A298A" w:rsidRPr="00BB45DB">
        <w:rPr>
          <w:rFonts w:ascii="Lucida Sans Unicode" w:hAnsi="Lucida Sans Unicode" w:cs="Lucida Sans Unicode"/>
          <w:color w:val="EE0000"/>
          <w:sz w:val="22"/>
          <w:szCs w:val="22"/>
        </w:rPr>
        <w:t>Quelle VAST</w:t>
      </w:r>
      <w:r w:rsidR="00D41760" w:rsidRPr="00BB45DB">
        <w:rPr>
          <w:rFonts w:ascii="Lucida Sans Unicode" w:hAnsi="Lucida Sans Unicode" w:cs="Lucida Sans Unicode"/>
          <w:color w:val="EE0000"/>
          <w:sz w:val="22"/>
          <w:szCs w:val="22"/>
        </w:rPr>
        <w:t>?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), (2) 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>d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evelopment of a formal mathematical model of the narrativ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 xml:space="preserve">e interconnections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and (3)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evaluation of the developed model through </w:t>
      </w:r>
      <w:r w:rsidR="00D45CCC" w:rsidRPr="00BB45DB">
        <w:rPr>
          <w:rFonts w:ascii="Lucida Sans Unicode" w:hAnsi="Lucida Sans Unicode" w:cs="Lucida Sans Unicode"/>
          <w:sz w:val="22"/>
          <w:szCs w:val="22"/>
        </w:rPr>
        <w:t xml:space="preserve">data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>simulation and</w:t>
      </w:r>
      <w:r w:rsidR="00235238" w:rsidRPr="00BB45DB">
        <w:rPr>
          <w:rFonts w:ascii="Lucida Sans Unicode" w:hAnsi="Lucida Sans Unicode" w:cs="Lucida Sans Unicode"/>
          <w:sz w:val="22"/>
          <w:szCs w:val="22"/>
        </w:rPr>
        <w:t xml:space="preserve"> hypothesis testing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>.</w:t>
      </w:r>
    </w:p>
    <w:p w14:paraId="5AD817EA" w14:textId="62A95A3D" w:rsidR="007A298A" w:rsidRPr="00BB45DB" w:rsidRDefault="007A298A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Suler (2004) describes six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 interacting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factors (</w:t>
      </w:r>
      <w:r w:rsidR="00F763D5" w:rsidRPr="00BB45DB">
        <w:rPr>
          <w:rFonts w:ascii="Lucida Sans Unicode" w:hAnsi="Lucida Sans Unicode" w:cs="Lucida Sans Unicode"/>
          <w:sz w:val="22"/>
          <w:szCs w:val="22"/>
        </w:rPr>
        <w:t>Dissociative Anonymity, Invisibility, Asynchronity, Solipistic Introjection, Dissociative Imagination, Minimization of Status and Authority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) </w:t>
      </w:r>
      <w:r w:rsidR="00144769" w:rsidRPr="00BB45DB">
        <w:rPr>
          <w:rFonts w:ascii="Lucida Sans Unicode" w:hAnsi="Lucida Sans Unicode" w:cs="Lucida Sans Unicode"/>
          <w:sz w:val="22"/>
          <w:szCs w:val="22"/>
        </w:rPr>
        <w:t>believed to cause an effect come to known as online disinhibition</w:t>
      </w:r>
      <w:r w:rsidR="00F763D5" w:rsidRPr="00BB45DB">
        <w:rPr>
          <w:rFonts w:ascii="Lucida Sans Unicode" w:hAnsi="Lucida Sans Unicode" w:cs="Lucida Sans Unicode"/>
          <w:sz w:val="22"/>
          <w:szCs w:val="22"/>
        </w:rPr>
        <w:t>, which can result in increased toxic (e.g. cursing, threatening remarks) or benign behaviors (e.g. giving advice and emotional support, self-disclosure) during online presence compared to face-interactions.</w:t>
      </w:r>
    </w:p>
    <w:p w14:paraId="6577C6A6" w14:textId="60314B7E" w:rsidR="00437C72" w:rsidRPr="00BB45DB" w:rsidRDefault="007A298A" w:rsidP="000B6463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Formalization of</w:t>
      </w:r>
      <w:r w:rsidR="00DE5BF3"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 the 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Online Disinhibition Effect</w:t>
      </w:r>
    </w:p>
    <w:p w14:paraId="37AF1A0D" w14:textId="1220EC87" w:rsidR="00970526" w:rsidRDefault="00F61684" w:rsidP="00D41760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In order to achieve the formalization 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>in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the course of the seminar, </w:t>
      </w:r>
      <w:r w:rsidR="00B961AD" w:rsidRPr="00BB45DB">
        <w:rPr>
          <w:rFonts w:ascii="Lucida Sans Unicode" w:hAnsi="Lucida Sans Unicode" w:cs="Lucida Sans Unicode"/>
          <w:sz w:val="22"/>
          <w:szCs w:val="22"/>
        </w:rPr>
        <w:t>we had to limit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 xml:space="preserve"> our scope to two of the six factors proposed by Suler (2004).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Because of this restriction, our model no longer</w:t>
      </w:r>
      <w:r w:rsidR="00485057" w:rsidRPr="00BB45DB">
        <w:rPr>
          <w:rFonts w:ascii="Lucida Sans Unicode" w:hAnsi="Lucida Sans Unicode" w:cs="Lucida Sans Unicode"/>
          <w:sz w:val="22"/>
          <w:szCs w:val="22"/>
        </w:rPr>
        <w:t xml:space="preserve"> aims to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explain the difference between online and offline behavior in general, but rather the difference in occurrence of disinhibited behavior in online context</w:t>
      </w:r>
      <w:r w:rsidR="00D3663A" w:rsidRPr="00BB45DB">
        <w:rPr>
          <w:rFonts w:ascii="Lucida Sans Unicode" w:hAnsi="Lucida Sans Unicode" w:cs="Lucida Sans Unicode"/>
          <w:sz w:val="22"/>
          <w:szCs w:val="22"/>
        </w:rPr>
        <w:t>s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with high</w:t>
      </w:r>
      <w:r w:rsidR="00D3663A" w:rsidRPr="00BB45DB">
        <w:rPr>
          <w:rFonts w:ascii="Lucida Sans Unicode" w:hAnsi="Lucida Sans Unicode" w:cs="Lucida Sans Unicode"/>
          <w:sz w:val="22"/>
          <w:szCs w:val="22"/>
        </w:rPr>
        <w:t>er</w:t>
      </w:r>
      <w:r w:rsidR="00485057" w:rsidRPr="00BB45DB">
        <w:rPr>
          <w:rFonts w:ascii="Lucida Sans Unicode" w:hAnsi="Lucida Sans Unicode" w:cs="Lucida Sans Unicode"/>
          <w:sz w:val="22"/>
          <w:szCs w:val="22"/>
        </w:rPr>
        <w:t xml:space="preserve"> vs. lower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anonymity and invisibility. Figure 1 presents our final VAST</w:t>
      </w:r>
      <w:r w:rsidR="00620645">
        <w:rPr>
          <w:rFonts w:ascii="Lucida Sans Unicode" w:hAnsi="Lucida Sans Unicode" w:cs="Lucida Sans Unicode"/>
          <w:sz w:val="22"/>
          <w:szCs w:val="22"/>
        </w:rPr>
        <w:t xml:space="preserve"> display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.  </w:t>
      </w:r>
    </w:p>
    <w:p w14:paraId="28836EDC" w14:textId="77777777" w:rsidR="00620645" w:rsidRPr="00BB45DB" w:rsidRDefault="00620645" w:rsidP="00620645">
      <w:pPr>
        <w:spacing w:line="360" w:lineRule="auto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Core Constructs &amp; Proto-Theory </w:t>
      </w:r>
    </w:p>
    <w:p w14:paraId="18FC778F" w14:textId="01CE7CAF" w:rsidR="00620645" w:rsidRPr="00620645" w:rsidRDefault="00620645" w:rsidP="00620645">
      <w:pPr>
        <w:spacing w:line="360" w:lineRule="auto"/>
        <w:ind w:firstLine="709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First, dissociative anonymity (A,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see Appendix A: Construct Source Table</w:t>
      </w:r>
      <w:r w:rsidRPr="00BB45DB">
        <w:rPr>
          <w:rFonts w:ascii="Lucida Sans Unicode" w:hAnsi="Lucida Sans Unicode" w:cs="Lucida Sans Unicode"/>
          <w:sz w:val="22"/>
          <w:szCs w:val="22"/>
        </w:rPr>
        <w:t>) was divided into several components in order to better explain the factor’s effect on a person’s behavior. Anonymity (A1) refers to the alteration or concealment of a person’s real identity when engaging in online activities.</w:t>
      </w:r>
      <w:r>
        <w:rPr>
          <w:rFonts w:ascii="Lucida Sans Unicode" w:hAnsi="Lucida Sans Unicode" w:cs="Lucida Sans Unicode"/>
          <w:sz w:val="22"/>
          <w:szCs w:val="22"/>
        </w:rPr>
        <w:t xml:space="preserve"> </w:t>
      </w:r>
      <w:r w:rsidRPr="00BB45DB">
        <w:rPr>
          <w:rFonts w:ascii="Lucida Sans Unicode" w:hAnsi="Lucida Sans Unicode" w:cs="Lucida Sans Unicode"/>
          <w:sz w:val="22"/>
          <w:szCs w:val="22"/>
        </w:rPr>
        <w:t>The manifestation of anonymity predicts identity compartmentalization (A2),</w:t>
      </w:r>
      <w:r>
        <w:rPr>
          <w:rFonts w:ascii="Lucida Sans Unicode" w:hAnsi="Lucida Sans Unicode" w:cs="Lucida Sans Unicode"/>
          <w:sz w:val="22"/>
          <w:szCs w:val="22"/>
        </w:rPr>
        <w:t xml:space="preserve"> </w:t>
      </w:r>
      <w:commentRangeStart w:id="0"/>
      <w:r w:rsidRPr="00620645">
        <w:rPr>
          <w:rFonts w:ascii="Lucida Sans Unicode" w:hAnsi="Lucida Sans Unicode" w:cs="Lucida Sans Unicode"/>
          <w:color w:val="EE0000"/>
          <w:sz w:val="22"/>
          <w:szCs w:val="22"/>
        </w:rPr>
        <w:t xml:space="preserve">which describes the seperation of </w:t>
      </w:r>
      <w:r w:rsidRPr="00620645">
        <w:rPr>
          <w:rFonts w:ascii="Lucida Sans Unicode" w:hAnsi="Lucida Sans Unicode" w:cs="Lucida Sans Unicode"/>
          <w:color w:val="EE0000"/>
          <w:sz w:val="22"/>
          <w:szCs w:val="22"/>
        </w:rPr>
        <w:t>of a person’s identity into online and offline identity</w:t>
      </w:r>
      <w:commentRangeEnd w:id="0"/>
      <w:r w:rsidRPr="00620645">
        <w:rPr>
          <w:rStyle w:val="Kommentarzeichen"/>
          <w:rFonts w:ascii="Lucida Sans Unicode" w:hAnsi="Lucida Sans Unicode" w:cs="Lucida Sans Unicode"/>
          <w:color w:val="EE0000"/>
          <w:sz w:val="22"/>
          <w:szCs w:val="22"/>
        </w:rPr>
        <w:commentReference w:id="0"/>
      </w:r>
    </w:p>
    <w:p w14:paraId="67B637A3" w14:textId="66384437" w:rsidR="00620645" w:rsidRPr="00BB45DB" w:rsidRDefault="00620645" w:rsidP="00D41760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79DE0BA" wp14:editId="456F0465">
                <wp:simplePos x="0" y="0"/>
                <wp:positionH relativeFrom="column">
                  <wp:posOffset>-110208</wp:posOffset>
                </wp:positionH>
                <wp:positionV relativeFrom="paragraph">
                  <wp:posOffset>4405348</wp:posOffset>
                </wp:positionV>
                <wp:extent cx="5881511" cy="259644"/>
                <wp:effectExtent l="0" t="0" r="0" b="0"/>
                <wp:wrapNone/>
                <wp:docPr id="2142879652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1511" cy="2596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BFAF47" w14:textId="446E6018" w:rsidR="00620645" w:rsidRPr="00620645" w:rsidRDefault="00620645">
                            <w:pPr>
                              <w:rPr>
                                <w:rFonts w:ascii="Lucida Sans Unicode" w:hAnsi="Lucida Sans Unicode" w:cs="Lucida Sans Unicode"/>
                                <w:sz w:val="16"/>
                                <w:szCs w:val="16"/>
                              </w:rPr>
                            </w:pPr>
                            <w:r w:rsidRPr="00620645">
                              <w:rPr>
                                <w:rFonts w:ascii="Lucida Sans Unicode" w:hAnsi="Lucida Sans Unicode" w:cs="Lucida Sans Unicode"/>
                                <w:sz w:val="16"/>
                                <w:szCs w:val="16"/>
                              </w:rPr>
                              <w:t xml:space="preserve">Figure 1: VAST display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DE0BA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left:0;text-align:left;margin-left:-8.7pt;margin-top:346.9pt;width:463.1pt;height:20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" fillcolor="white [3201]" stroked="f" strokeweight=".5pt">
                <v:textbox>
                  <w:txbxContent>
                    <w:p w14:paraId="01BFAF47" w14:textId="446E6018" w:rsidR="00620645" w:rsidRPr="00620645" w:rsidRDefault="00620645">
                      <w:pPr>
                        <w:rPr>
                          <w:rFonts w:ascii="Lucida Sans Unicode" w:hAnsi="Lucida Sans Unicode" w:cs="Lucida Sans Unicode"/>
                          <w:sz w:val="16"/>
                          <w:szCs w:val="16"/>
                        </w:rPr>
                      </w:pPr>
                      <w:r w:rsidRPr="00620645">
                        <w:rPr>
                          <w:rFonts w:ascii="Lucida Sans Unicode" w:hAnsi="Lucida Sans Unicode" w:cs="Lucida Sans Unicode"/>
                          <w:sz w:val="16"/>
                          <w:szCs w:val="16"/>
                        </w:rPr>
                        <w:t xml:space="preserve">Figure 1: VAST display </w:t>
                      </w:r>
                    </w:p>
                  </w:txbxContent>
                </v:textbox>
              </v:shape>
            </w:pict>
          </mc:Fallback>
        </mc:AlternateContent>
      </w:r>
      <w:r w:rsidRPr="00620645">
        <w:rPr>
          <w:rFonts w:ascii="Lucida Sans Unicode" w:hAnsi="Lucida Sans Unicode" w:cs="Lucida Sans Unicode"/>
          <w:sz w:val="22"/>
          <w:szCs w:val="22"/>
        </w:rPr>
        <w:drawing>
          <wp:anchor distT="0" distB="0" distL="114300" distR="114300" simplePos="0" relativeHeight="251667456" behindDoc="0" locked="0" layoutInCell="1" allowOverlap="1" wp14:anchorId="2E91EE2A" wp14:editId="6A62BCC0">
            <wp:simplePos x="0" y="0"/>
            <wp:positionH relativeFrom="column">
              <wp:posOffset>-109525</wp:posOffset>
            </wp:positionH>
            <wp:positionV relativeFrom="paragraph">
              <wp:posOffset>0</wp:posOffset>
            </wp:positionV>
            <wp:extent cx="5760000" cy="4093200"/>
            <wp:effectExtent l="0" t="0" r="0" b="0"/>
            <wp:wrapSquare wrapText="bothSides"/>
            <wp:docPr id="10817479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4790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9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B69BFF" w14:textId="77777777" w:rsidR="00620645" w:rsidRDefault="00620645" w:rsidP="007E1225">
      <w:pPr>
        <w:spacing w:line="360" w:lineRule="auto"/>
        <w:rPr>
          <w:rFonts w:ascii="Lucida Sans Unicode" w:hAnsi="Lucida Sans Unicode" w:cs="Lucida Sans Unicode"/>
          <w:i/>
          <w:iCs/>
          <w:color w:val="EE0000"/>
          <w:sz w:val="22"/>
          <w:szCs w:val="22"/>
        </w:rPr>
      </w:pPr>
    </w:p>
    <w:p w14:paraId="6EAFB77F" w14:textId="6991F647" w:rsidR="00D3663A" w:rsidRPr="00BB45DB" w:rsidRDefault="00116062" w:rsidP="00620645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The extent of identity compartmentalization in turn 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>is related to the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felt responsibility (A3) for a person’s 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online </w:t>
      </w:r>
      <w:r w:rsidRPr="00BB45DB">
        <w:rPr>
          <w:rFonts w:ascii="Lucida Sans Unicode" w:hAnsi="Lucida Sans Unicode" w:cs="Lucida Sans Unicode"/>
          <w:sz w:val="22"/>
          <w:szCs w:val="22"/>
        </w:rPr>
        <w:t>behavior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 xml:space="preserve">: If people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tend to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secede th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ese behaviors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from their offline identity, they can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avert responsibility fo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>r them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 xml:space="preserve">. </w:t>
      </w:r>
    </w:p>
    <w:p w14:paraId="2DC71EA8" w14:textId="0CDF543F" w:rsidR="000D1006" w:rsidRPr="00BB45DB" w:rsidRDefault="008A3204" w:rsidP="00D3663A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With the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number of</w:t>
      </w:r>
      <w:r w:rsidR="005761EC" w:rsidRPr="00BB45DB">
        <w:rPr>
          <w:rFonts w:ascii="Lucida Sans Unicode" w:hAnsi="Lucida Sans Unicode" w:cs="Lucida Sans Unicode"/>
          <w:sz w:val="22"/>
          <w:szCs w:val="22"/>
        </w:rPr>
        <w:t xml:space="preserve"> tangible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interpersonal cues 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(B1, e.g.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approving/disapproving facial expressions)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>, a person’s concern about his or her impression on others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increases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(B2). 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 xml:space="preserve">Conversely, as </w:t>
      </w:r>
      <w:r w:rsidRPr="00BB45DB">
        <w:rPr>
          <w:rFonts w:ascii="Lucida Sans Unicode" w:hAnsi="Lucida Sans Unicode" w:cs="Lucida Sans Unicode"/>
          <w:sz w:val="22"/>
          <w:szCs w:val="22"/>
        </w:rPr>
        <w:t>i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nvisibility (B) 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>is a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common characteristic of online environments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 xml:space="preserve">, 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>“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>[p]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eople don’t have to worry about how they look or sound when they type a message. They don’t have to worry about how others look or sound in response to what they say” 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(Suler, 2004, S. </w:t>
      </w:r>
      <w:r w:rsidR="000D100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322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)</w:t>
      </w:r>
      <w:r w:rsidR="005761EC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. </w:t>
      </w:r>
      <w:r w:rsidR="00D417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Consequentely, </w:t>
      </w:r>
      <w:r w:rsidR="000D100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depending on the degree of this concern, people feel more or less courage to express themselves (B3).</w:t>
      </w:r>
    </w:p>
    <w:p w14:paraId="3AF25EE6" w14:textId="5DC765A5" w:rsidR="000D1006" w:rsidRPr="00BB45DB" w:rsidRDefault="000D1006" w:rsidP="000D100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lastRenderedPageBreak/>
        <w:t xml:space="preserve">In accordance with Suler’s (2004) assumptions, we build our model in a way that </w:t>
      </w:r>
      <w:r w:rsidR="0051090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let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dissociative anonymity and invisibility </w:t>
      </w:r>
      <w:r w:rsidR="0051090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positively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interact with each other. </w:t>
      </w:r>
    </w:p>
    <w:p w14:paraId="247F61F7" w14:textId="231CE5D2" w:rsidR="00710EDB" w:rsidRPr="00BB45DB" w:rsidRDefault="00F72D42" w:rsidP="000D1006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Along anonymity and invisibility, there are further factors that contribute to the emergence to disinhibited online behavio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r. Personality variables constitute an important group (Suler, 2004). As a representative expample with special relevance to our model, we incorporated the Measure of Online Disinhibition. 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This instrument allows “assessing self-perceptions of psychological and behavioral change in the online as compared to the offline environment” (</w:t>
      </w:r>
      <w:r w:rsidR="00710EDB" w:rsidRPr="00BB45DB">
        <w:rPr>
          <w:rFonts w:ascii="Lucida Sans Unicode" w:hAnsi="Lucida Sans Unicode" w:cs="Lucida Sans Unicode"/>
          <w:color w:val="EE0000"/>
          <w:sz w:val="22"/>
          <w:szCs w:val="22"/>
        </w:rPr>
        <w:t>Quelle</w:t>
      </w:r>
      <w:r w:rsidR="00F31AE2">
        <w:rPr>
          <w:rFonts w:ascii="Lucida Sans Unicode" w:hAnsi="Lucida Sans Unicode" w:cs="Lucida Sans Unicode"/>
          <w:color w:val="EE0000"/>
          <w:sz w:val="22"/>
          <w:szCs w:val="22"/>
        </w:rPr>
        <w:t xml:space="preserve"> MOD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).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Our illustration of differences in disinhibited behavior in online contexts with higher vs. lower anonymity and invisibility therefore includes a trait Online Disinihibition. </w:t>
      </w:r>
    </w:p>
    <w:p w14:paraId="017E0B26" w14:textId="70F27F79" w:rsidR="007759AF" w:rsidRPr="00BB45DB" w:rsidRDefault="007759AF" w:rsidP="000D100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The interplay of these three factors </w:t>
      </w:r>
      <w:r w:rsidR="00D3663A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explains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 more or less pronounced psychological state disinhibition</w:t>
      </w:r>
      <w:r w:rsidR="00F0048F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(D)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,</w:t>
      </w:r>
      <w:r w:rsidR="00053C15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which </w:t>
      </w:r>
      <w:r w:rsidR="004D103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is expected to</w:t>
      </w:r>
      <w:r w:rsidR="00053C15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reflect in </w:t>
      </w:r>
      <w:r w:rsidR="004D103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observable online behavior. </w:t>
      </w:r>
    </w:p>
    <w:p w14:paraId="3CD1738E" w14:textId="66758A05" w:rsidR="00F0048F" w:rsidRPr="00BB45DB" w:rsidRDefault="007C2BD6" w:rsidP="00B30F8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During the group stage of the seminar, we specified cursing as part of toxic disinhibition as observable outcome of our model. For the individual part, cursing was replaced by self-disclosure</w:t>
      </w:r>
      <w:r w:rsidR="00DA209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, 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a fom of benign disinhibition </w:t>
      </w:r>
      <w:r w:rsidR="00DA209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that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refers to the revelation of personal information to others (Lapidot-Lefler &amp; Barak, 2015). Suler 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(2004) describes toxic and bengign behaviors as equally plausible manifestations of the Online Disinhibition Effect. Accordingly, self-disclosure should be just as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likely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an outcome as cursing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,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and our model should be fully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capable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of explaining it.</w:t>
      </w:r>
    </w:p>
    <w:p w14:paraId="7A2A65B0" w14:textId="46F02439" w:rsidR="00437C72" w:rsidRDefault="00144769" w:rsidP="00070F0D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Bening Disinhibition in </w:t>
      </w:r>
      <w:r w:rsidR="00A7441E" w:rsidRPr="00BB45DB">
        <w:rPr>
          <w:rFonts w:ascii="Lucida Sans Unicode" w:hAnsi="Lucida Sans Unicode" w:cs="Lucida Sans Unicode"/>
          <w:b/>
          <w:bCs/>
          <w:sz w:val="22"/>
          <w:szCs w:val="22"/>
        </w:rPr>
        <w:t>F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orm of Self-Disclosure</w:t>
      </w:r>
      <w:r w:rsidR="00740130">
        <w:rPr>
          <w:rFonts w:ascii="Lucida Sans Unicode" w:hAnsi="Lucida Sans Unicode" w:cs="Lucida Sans Unicode"/>
          <w:b/>
          <w:bCs/>
          <w:sz w:val="22"/>
          <w:szCs w:val="22"/>
        </w:rPr>
        <w:t>: Strength of Evidence</w:t>
      </w:r>
    </w:p>
    <w:p w14:paraId="79ABCA7D" w14:textId="54D07387" w:rsidR="00E933D5" w:rsidRDefault="00E933D5" w:rsidP="00740130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 xml:space="preserve">In 2019, Clark-Gordon et al conducted a meta-analysis (k =14) on the phenomenon of amplified self-disclosure as a result of higher anonymity. While invisibility was not explicitly conceptualized as separate predictor, </w:t>
      </w:r>
      <w:r w:rsidR="00740130">
        <w:rPr>
          <w:rFonts w:ascii="Lucida Sans Unicode" w:hAnsi="Lucida Sans Unicode" w:cs="Lucida Sans Unicode"/>
          <w:sz w:val="22"/>
          <w:szCs w:val="22"/>
        </w:rPr>
        <w:t xml:space="preserve">their definition of anonymity encompasses invisibility: The construct is divided into discursive anonymity (which means that specific verbal comments cannot be attributed to a </w:t>
      </w:r>
      <w:r w:rsidR="00740130">
        <w:rPr>
          <w:rFonts w:ascii="Lucida Sans Unicode" w:hAnsi="Lucida Sans Unicode" w:cs="Lucida Sans Unicode"/>
          <w:sz w:val="22"/>
          <w:szCs w:val="22"/>
        </w:rPr>
        <w:lastRenderedPageBreak/>
        <w:t xml:space="preserve">specific individual source) and visual anonymity, which refers to the lack of visual representation of a communication partner. </w:t>
      </w:r>
      <w:r w:rsidR="00740130">
        <w:rPr>
          <w:rFonts w:ascii="Lucida Sans Unicode" w:hAnsi="Lucida Sans Unicode" w:cs="Lucida Sans Unicode"/>
          <w:sz w:val="22"/>
          <w:szCs w:val="22"/>
        </w:rPr>
        <w:br/>
        <w:t>Accordingly</w:t>
      </w:r>
      <w:r w:rsidR="00411748">
        <w:rPr>
          <w:rFonts w:ascii="Lucida Sans Unicode" w:hAnsi="Lucida Sans Unicode" w:cs="Lucida Sans Unicode"/>
          <w:sz w:val="22"/>
          <w:szCs w:val="22"/>
        </w:rPr>
        <w:t>,</w:t>
      </w:r>
      <w:r w:rsidR="00740130">
        <w:rPr>
          <w:rFonts w:ascii="Lucida Sans Unicode" w:hAnsi="Lucida Sans Unicode" w:cs="Lucida Sans Unicode"/>
          <w:sz w:val="22"/>
          <w:szCs w:val="22"/>
        </w:rPr>
        <w:t xml:space="preserve"> Clark-Gordon et al. (2019) </w:t>
      </w:r>
      <w:r w:rsidR="00411748">
        <w:rPr>
          <w:rFonts w:ascii="Lucida Sans Unicode" w:hAnsi="Lucida Sans Unicode" w:cs="Lucida Sans Unicode"/>
          <w:sz w:val="22"/>
          <w:szCs w:val="22"/>
        </w:rPr>
        <w:t>examine the main effect only for the “combined” predictor of anonymity; not two separate main effects for anony</w:t>
      </w:r>
      <w:r w:rsidR="00F31AE2">
        <w:rPr>
          <w:rFonts w:ascii="Lucida Sans Unicode" w:hAnsi="Lucida Sans Unicode" w:cs="Lucida Sans Unicode"/>
          <w:sz w:val="22"/>
          <w:szCs w:val="22"/>
        </w:rPr>
        <w:t>mity</w:t>
      </w:r>
      <w:r w:rsidR="00411748">
        <w:rPr>
          <w:rFonts w:ascii="Lucida Sans Unicode" w:hAnsi="Lucida Sans Unicode" w:cs="Lucida Sans Unicode"/>
          <w:sz w:val="22"/>
          <w:szCs w:val="22"/>
        </w:rPr>
        <w:t xml:space="preserve"> and invisibility, as would have been ideal for an evaluation of our model’s proposed effects. </w:t>
      </w:r>
      <w:r w:rsidR="00F31AE2">
        <w:rPr>
          <w:rFonts w:ascii="Lucida Sans Unicode" w:hAnsi="Lucida Sans Unicode" w:cs="Lucida Sans Unicode"/>
          <w:sz w:val="22"/>
          <w:szCs w:val="22"/>
        </w:rPr>
        <w:t>However, the type of anonymity (discursive vs. visual) is included as a moderator in the meta-analysis. Since the distinction of anonymity and invisibility is at least examined in terms of moderation, we draw on the results of Clark-Gordon et al. (2019) below to evaluate the empirical strength of our phenomenon.</w:t>
      </w:r>
    </w:p>
    <w:p w14:paraId="6313097B" w14:textId="5FB3EC7A" w:rsidR="007A0235" w:rsidRDefault="00B077EF" w:rsidP="00B077EF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>The analyses</w:t>
      </w:r>
      <w:r w:rsidR="007A0235">
        <w:rPr>
          <w:rFonts w:ascii="Lucida Sans Unicode" w:hAnsi="Lucida Sans Unicode" w:cs="Lucida Sans Unicode"/>
          <w:sz w:val="22"/>
          <w:szCs w:val="22"/>
        </w:rPr>
        <w:t xml:space="preserve"> overall</w:t>
      </w:r>
      <w:r>
        <w:rPr>
          <w:rFonts w:ascii="Lucida Sans Unicode" w:hAnsi="Lucida Sans Unicode" w:cs="Lucida Sans Unicode"/>
          <w:sz w:val="22"/>
          <w:szCs w:val="22"/>
        </w:rPr>
        <w:t xml:space="preserve"> show an </w:t>
      </w:r>
      <w:r w:rsidR="007A0235">
        <w:rPr>
          <w:rFonts w:ascii="Lucida Sans Unicode" w:hAnsi="Lucida Sans Unicode" w:cs="Lucida Sans Unicode"/>
          <w:sz w:val="22"/>
          <w:szCs w:val="22"/>
        </w:rPr>
        <w:t>small</w:t>
      </w:r>
      <w:r>
        <w:rPr>
          <w:rFonts w:ascii="Lucida Sans Unicode" w:hAnsi="Lucida Sans Unicode" w:cs="Lucida Sans Unicode"/>
          <w:sz w:val="22"/>
          <w:szCs w:val="22"/>
        </w:rPr>
        <w:t xml:space="preserve"> positive effect (</w:t>
      </w:r>
      <w:r w:rsidR="007A0235" w:rsidRPr="007A0235">
        <w:rPr>
          <w:rFonts w:ascii="Lucida Sans Unicode" w:hAnsi="Lucida Sans Unicode" w:cs="Lucida Sans Unicode"/>
          <w:color w:val="000000" w:themeColor="text1"/>
          <w:sz w:val="22"/>
          <w:szCs w:val="22"/>
        </w:rPr>
        <w:t>r = 0.18</w:t>
      </w:r>
      <w:r>
        <w:rPr>
          <w:rFonts w:ascii="Lucida Sans Unicode" w:hAnsi="Lucida Sans Unicode" w:cs="Lucida Sans Unicode"/>
          <w:sz w:val="22"/>
          <w:szCs w:val="22"/>
        </w:rPr>
        <w:t>) of anonymity (</w:t>
      </w:r>
      <w:r>
        <w:rPr>
          <w:rFonts w:ascii="Lucida Sans Unicode" w:hAnsi="Lucida Sans Unicode" w:cs="Lucida Sans Unicode"/>
          <w:sz w:val="22"/>
          <w:szCs w:val="22"/>
        </w:rPr>
        <w:t>6 studies manipulating visual anonymity, 8 studies manipulating discursive anonymity</w:t>
      </w:r>
      <w:r>
        <w:rPr>
          <w:rFonts w:ascii="Lucida Sans Unicode" w:hAnsi="Lucida Sans Unicode" w:cs="Lucida Sans Unicode"/>
          <w:sz w:val="22"/>
          <w:szCs w:val="22"/>
        </w:rPr>
        <w:t>) on self-disclosure. Further, the conzeptualization of visual vs. discursive anonymity did not lead to statistically significant differences, which is in line with our theoretical assumptions</w:t>
      </w:r>
      <w:r w:rsidR="0097050D">
        <w:rPr>
          <w:rFonts w:ascii="Lucida Sans Unicode" w:hAnsi="Lucida Sans Unicode" w:cs="Lucida Sans Unicode"/>
          <w:sz w:val="22"/>
          <w:szCs w:val="22"/>
        </w:rPr>
        <w:t xml:space="preserve"> that both factors should affect self-disclosing behavior positively. </w:t>
      </w:r>
      <w:r w:rsidR="007A0235">
        <w:rPr>
          <w:rFonts w:ascii="Lucida Sans Unicode" w:hAnsi="Lucida Sans Unicode" w:cs="Lucida Sans Unicode"/>
          <w:sz w:val="22"/>
          <w:szCs w:val="22"/>
        </w:rPr>
        <w:t xml:space="preserve"> </w:t>
      </w:r>
    </w:p>
    <w:p w14:paraId="1F3CB434" w14:textId="219E1B52" w:rsidR="007A0235" w:rsidRDefault="007A0235" w:rsidP="00B077EF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>In sum, the results show that anonymity as well as the presence of nonverbal and parasocial cues impacts self-disclosure in online environments. Concurrently, this relationship is characterized by heterogenous effect sizes and directions, which could not be explained even by taking into account several moderator</w:t>
      </w:r>
      <w:r w:rsidR="00831D01">
        <w:rPr>
          <w:rFonts w:ascii="Lucida Sans Unicode" w:hAnsi="Lucida Sans Unicode" w:cs="Lucida Sans Unicode"/>
          <w:sz w:val="22"/>
          <w:szCs w:val="22"/>
        </w:rPr>
        <w:t>s.</w:t>
      </w:r>
      <w:r>
        <w:rPr>
          <w:rFonts w:ascii="Lucida Sans Unicode" w:hAnsi="Lucida Sans Unicode" w:cs="Lucida Sans Unicode"/>
          <w:sz w:val="22"/>
          <w:szCs w:val="22"/>
        </w:rPr>
        <w:t xml:space="preserve"> </w:t>
      </w:r>
    </w:p>
    <w:p w14:paraId="0427D655" w14:textId="2FE9C157" w:rsidR="00B5093C" w:rsidRDefault="002B3510" w:rsidP="000B6463">
      <w:pPr>
        <w:spacing w:line="360" w:lineRule="auto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2B3510">
        <w:rPr>
          <w:rFonts w:ascii="Lucida Sans Unicode" w:hAnsi="Lucida Sans Unicode" w:cs="Lucida Sans Unicode"/>
          <w:b/>
          <w:bCs/>
          <w:sz w:val="22"/>
          <w:szCs w:val="22"/>
        </w:rPr>
        <w:t>UTOS Dimensions</w:t>
      </w:r>
    </w:p>
    <w:p w14:paraId="63ABC49A" w14:textId="0479FDCC" w:rsidR="00831D01" w:rsidRDefault="00831D01" w:rsidP="00F662E5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 w:rsidRPr="00831D01">
        <w:rPr>
          <w:rFonts w:ascii="Lucida Sans Unicode" w:hAnsi="Lucida Sans Unicode" w:cs="Lucida Sans Unicode"/>
          <w:sz w:val="22"/>
          <w:szCs w:val="22"/>
        </w:rPr>
        <w:t>In</w:t>
      </w:r>
      <w:r>
        <w:rPr>
          <w:rFonts w:ascii="Lucida Sans Unicode" w:hAnsi="Lucida Sans Unicode" w:cs="Lucida Sans Unicode"/>
          <w:sz w:val="22"/>
          <w:szCs w:val="22"/>
        </w:rPr>
        <w:t xml:space="preserve"> order to conduct a comprehensive evaluation of the phenomenon</w:t>
      </w:r>
      <w:r w:rsidR="00F662E5">
        <w:rPr>
          <w:rFonts w:ascii="Lucida Sans Unicode" w:hAnsi="Lucida Sans Unicode" w:cs="Lucida Sans Unicode"/>
          <w:sz w:val="22"/>
          <w:szCs w:val="22"/>
        </w:rPr>
        <w:t>’</w:t>
      </w:r>
      <w:r>
        <w:rPr>
          <w:rFonts w:ascii="Lucida Sans Unicode" w:hAnsi="Lucida Sans Unicode" w:cs="Lucida Sans Unicode"/>
          <w:sz w:val="22"/>
          <w:szCs w:val="22"/>
        </w:rPr>
        <w:t>s robustness, variabilty across UTOS dimensions (</w:t>
      </w:r>
      <w:r w:rsidRPr="00F662E5">
        <w:rPr>
          <w:rFonts w:ascii="Lucida Sans Unicode" w:hAnsi="Lucida Sans Unicode" w:cs="Lucida Sans Unicode"/>
          <w:color w:val="EE0000"/>
          <w:sz w:val="22"/>
          <w:szCs w:val="22"/>
        </w:rPr>
        <w:t>Quelle</w:t>
      </w:r>
      <w:r>
        <w:rPr>
          <w:rFonts w:ascii="Lucida Sans Unicode" w:hAnsi="Lucida Sans Unicode" w:cs="Lucida Sans Unicode"/>
          <w:sz w:val="22"/>
          <w:szCs w:val="22"/>
        </w:rPr>
        <w:t xml:space="preserve">) </w:t>
      </w:r>
      <w:r w:rsidR="00981BA3">
        <w:rPr>
          <w:rFonts w:ascii="Lucida Sans Unicode" w:hAnsi="Lucida Sans Unicode" w:cs="Lucida Sans Unicode"/>
          <w:sz w:val="22"/>
          <w:szCs w:val="22"/>
        </w:rPr>
        <w:t xml:space="preserve">is </w:t>
      </w:r>
      <w:r>
        <w:rPr>
          <w:rFonts w:ascii="Lucida Sans Unicode" w:hAnsi="Lucida Sans Unicode" w:cs="Lucida Sans Unicode"/>
          <w:sz w:val="22"/>
          <w:szCs w:val="22"/>
        </w:rPr>
        <w:t xml:space="preserve">examined below. </w:t>
      </w:r>
    </w:p>
    <w:p w14:paraId="2FD57029" w14:textId="2E9D5E46" w:rsidR="00F662E5" w:rsidRPr="00F662E5" w:rsidRDefault="00F662E5" w:rsidP="00F662E5">
      <w:pPr>
        <w:spacing w:line="360" w:lineRule="auto"/>
        <w:rPr>
          <w:rFonts w:ascii="Lucida Sans Unicode" w:hAnsi="Lucida Sans Unicode" w:cs="Lucida Sans Unicode"/>
          <w:b/>
          <w:bCs/>
          <w:i/>
          <w:iCs/>
          <w:sz w:val="22"/>
          <w:szCs w:val="22"/>
        </w:rPr>
      </w:pPr>
      <w:r w:rsidRPr="00F662E5">
        <w:rPr>
          <w:rFonts w:ascii="Lucida Sans Unicode" w:hAnsi="Lucida Sans Unicode" w:cs="Lucida Sans Unicode"/>
          <w:b/>
          <w:bCs/>
          <w:i/>
          <w:iCs/>
          <w:sz w:val="22"/>
          <w:szCs w:val="22"/>
        </w:rPr>
        <w:t xml:space="preserve">Units </w:t>
      </w:r>
    </w:p>
    <w:p w14:paraId="4AF09AEF" w14:textId="07972F31" w:rsidR="00F662E5" w:rsidRDefault="00F662E5" w:rsidP="00F662E5">
      <w:pPr>
        <w:spacing w:line="360" w:lineRule="auto"/>
        <w:ind w:firstLine="709"/>
        <w:rPr>
          <w:rFonts w:ascii="Lucida Sans Unicode" w:hAnsi="Lucida Sans Unicode" w:cs="Lucida Sans Unicode"/>
          <w:color w:val="EE0000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>While Clark-Gordon et al. (2019) do not provide an overview of the composition of samples, the primary studies report predominantly young participants</w:t>
      </w:r>
      <w:r w:rsidR="00981BA3">
        <w:rPr>
          <w:rFonts w:ascii="Lucida Sans Unicode" w:hAnsi="Lucida Sans Unicode" w:cs="Lucida Sans Unicode"/>
          <w:sz w:val="22"/>
          <w:szCs w:val="22"/>
        </w:rPr>
        <w:t xml:space="preserve"> (in many cases university students)</w:t>
      </w:r>
      <w:r>
        <w:rPr>
          <w:rFonts w:ascii="Lucida Sans Unicode" w:hAnsi="Lucida Sans Unicode" w:cs="Lucida Sans Unicode"/>
          <w:sz w:val="22"/>
          <w:szCs w:val="22"/>
        </w:rPr>
        <w:t xml:space="preserve"> from various countries and cultures </w:t>
      </w:r>
      <w:r>
        <w:rPr>
          <w:rFonts w:ascii="Lucida Sans Unicode" w:hAnsi="Lucida Sans Unicode" w:cs="Lucida Sans Unicode"/>
          <w:sz w:val="22"/>
          <w:szCs w:val="22"/>
        </w:rPr>
        <w:lastRenderedPageBreak/>
        <w:t>(e</w:t>
      </w:r>
      <w:r w:rsidRPr="00F662E5">
        <w:rPr>
          <w:rFonts w:ascii="Lucida Sans Unicode" w:hAnsi="Lucida Sans Unicode" w:cs="Lucida Sans Unicode"/>
          <w:color w:val="EE0000"/>
          <w:sz w:val="22"/>
          <w:szCs w:val="22"/>
        </w:rPr>
        <w:t>.g. China (Chen et al., ), Korea (Kang &amp; Yang, ), several english-speaking countries (Hollenbaugh &amp; Everett, ; Knoll &amp; Bronstein, )</w:t>
      </w:r>
      <w:r>
        <w:rPr>
          <w:rFonts w:ascii="Lucida Sans Unicode" w:hAnsi="Lucida Sans Unicode" w:cs="Lucida Sans Unicode"/>
          <w:color w:val="EE0000"/>
          <w:sz w:val="22"/>
          <w:szCs w:val="22"/>
        </w:rPr>
        <w:t>.</w:t>
      </w:r>
    </w:p>
    <w:p w14:paraId="446CD2DC" w14:textId="0EB3BE2A" w:rsidR="00F662E5" w:rsidRPr="00B3131B" w:rsidRDefault="00F662E5" w:rsidP="00F662E5">
      <w:pPr>
        <w:spacing w:line="360" w:lineRule="auto"/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</w:pPr>
      <w:r w:rsidRPr="00B3131B"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  <w:t xml:space="preserve">Treatment </w:t>
      </w:r>
    </w:p>
    <w:p w14:paraId="51A34488" w14:textId="558D5986" w:rsidR="000D7DA6" w:rsidRDefault="00F662E5" w:rsidP="00B3131B">
      <w:pPr>
        <w:spacing w:line="360" w:lineRule="auto"/>
        <w:ind w:firstLine="709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Both anonymity and invisibility are mostly conceptualized as dichotomous variables, which </w:t>
      </w:r>
      <w:r w:rsidR="000D7DA6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contradicts the recommendation of 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>Clark</w:t>
      </w:r>
      <w:r w:rsidR="000D7DA6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-Gordon et al. (2019) to “consider anonymity as a continuum rather than binary state” (S. 107). </w:t>
      </w:r>
    </w:p>
    <w:p w14:paraId="6537D202" w14:textId="1E32939F" w:rsidR="00B3131B" w:rsidRDefault="000D7DA6" w:rsidP="00F662E5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(Discursive) anonymity is typically manipulated by 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>using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random aliases or pseudonyms and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>, in contrast,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by 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>assigning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(fictional) identifieres 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>like name, gender or job. (Lapidot-Lefler &amp; Barak, 2015).</w:t>
      </w:r>
      <w:r w:rsidR="00BF7879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Invisibility is operationalized </w:t>
      </w:r>
      <w:r w:rsidR="00BF7879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as </w:t>
      </w:r>
      <w:r w:rsidR="00B3131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absence or presence of a profile picture (Clark-Gordon et al., 2019) or visibility vs. invisibility of the partners upper body via camera (Lapidot-Lefler &amp; Barak, 2015). </w:t>
      </w:r>
    </w:p>
    <w:p w14:paraId="440E4CED" w14:textId="0229BA6C" w:rsidR="00B3131B" w:rsidRPr="006B30C3" w:rsidRDefault="00B3131B" w:rsidP="00F662E5">
      <w:pPr>
        <w:spacing w:line="360" w:lineRule="auto"/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</w:pPr>
      <w:r w:rsidRPr="006B30C3"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  <w:t xml:space="preserve">Outcome </w:t>
      </w:r>
    </w:p>
    <w:p w14:paraId="0E09AB3F" w14:textId="35E3BC30" w:rsidR="00981BA3" w:rsidRDefault="00981BA3" w:rsidP="006B30C3">
      <w:pPr>
        <w:spacing w:line="360" w:lineRule="auto"/>
        <w:ind w:firstLine="709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>Self-Disclosure is often measured using one or more of different tools. One possibility is a text</w:t>
      </w:r>
      <w:r w:rsidR="006B30C3">
        <w:rPr>
          <w:rFonts w:ascii="Lucida Sans Unicode" w:hAnsi="Lucida Sans Unicode" w:cs="Lucida Sans Unicode"/>
          <w:color w:val="000000" w:themeColor="text1"/>
          <w:sz w:val="22"/>
          <w:szCs w:val="22"/>
        </w:rPr>
        <w:t>ual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analysis conducted by an expert, whose task it is to </w:t>
      </w:r>
      <w:r w:rsidR="006B30C3">
        <w:rPr>
          <w:rFonts w:ascii="Lucida Sans Unicode" w:hAnsi="Lucida Sans Unicode" w:cs="Lucida Sans Unicode"/>
          <w:color w:val="000000" w:themeColor="text1"/>
          <w:sz w:val="22"/>
          <w:szCs w:val="22"/>
        </w:rPr>
        <w:t>categorize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the occurrence of self-disclosing behavior </w:t>
      </w:r>
      <w:r w:rsidR="006B30C3">
        <w:rPr>
          <w:rFonts w:ascii="Lucida Sans Unicode" w:hAnsi="Lucida Sans Unicode" w:cs="Lucida Sans Unicode"/>
          <w:color w:val="000000" w:themeColor="text1"/>
          <w:sz w:val="22"/>
          <w:szCs w:val="22"/>
        </w:rPr>
        <w:t>(no, low or high degree of self-disclosure) (Lapidot-Lefler &amp; Barak, 2015). Another option is a textual analysis where prespecified expressions (e.g. “I think”) are counted. Their sum serves as indicator for the person’s tendency to self-disclose. In addition to or instead of these, self-reports on self-disclosing behavior are used (Clark-Gordon et al., 2019).</w:t>
      </w:r>
    </w:p>
    <w:p w14:paraId="39234319" w14:textId="33C4F6EF" w:rsidR="006B30C3" w:rsidRPr="006B30C3" w:rsidRDefault="006B30C3" w:rsidP="006B30C3">
      <w:pPr>
        <w:spacing w:line="360" w:lineRule="auto"/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</w:pPr>
      <w:r w:rsidRPr="006B30C3">
        <w:rPr>
          <w:rFonts w:ascii="Lucida Sans Unicode" w:hAnsi="Lucida Sans Unicode" w:cs="Lucida Sans Unicode"/>
          <w:b/>
          <w:bCs/>
          <w:i/>
          <w:iCs/>
          <w:color w:val="000000" w:themeColor="text1"/>
          <w:sz w:val="22"/>
          <w:szCs w:val="22"/>
        </w:rPr>
        <w:t xml:space="preserve">Setting </w:t>
      </w:r>
    </w:p>
    <w:p w14:paraId="4E6FF223" w14:textId="78F08509" w:rsidR="006B30C3" w:rsidRDefault="006B30C3" w:rsidP="006B30C3">
      <w:pPr>
        <w:spacing w:line="360" w:lineRule="auto"/>
        <w:ind w:firstLine="709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>Reported settings included simulated scenarios in laboratories where participants communicated via chat with other subjects (either based on a given prompt or informally), as well as the administration of short online surveys and subsequent analysis of texts that participants had published on their private profiles.</w:t>
      </w:r>
    </w:p>
    <w:p w14:paraId="2A03D308" w14:textId="61B22367" w:rsidR="00A7441E" w:rsidRPr="007E62F6" w:rsidRDefault="00BF7879" w:rsidP="000B6463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lastRenderedPageBreak/>
        <w:t xml:space="preserve">In sum, </w:t>
      </w:r>
      <w:r w:rsidR="005623D3">
        <w:rPr>
          <w:rFonts w:ascii="Lucida Sans Unicode" w:hAnsi="Lucida Sans Unicode" w:cs="Lucida Sans Unicode"/>
          <w:color w:val="000000" w:themeColor="text1"/>
          <w:sz w:val="22"/>
          <w:szCs w:val="22"/>
        </w:rPr>
        <w:t>even though a considerable number of variations over the UTOS dimensions were tested, the given empirical evidence remains inconclusive due to the specifics of the individual studies considered</w:t>
      </w:r>
      <w:r w:rsidR="007E62F6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: </w:t>
      </w:r>
      <w:r w:rsidR="005623D3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It is possible that the research questions investigated are so specific that they do not rule out spurious variables (Clark-Gordon et al., 2019). Nevertheless, it should be noted that the substantial heterogenity observed suggests that the </w:t>
      </w:r>
      <w:r w:rsidR="007E62F6">
        <w:rPr>
          <w:rFonts w:ascii="Lucida Sans Unicode" w:hAnsi="Lucida Sans Unicode" w:cs="Lucida Sans Unicode"/>
          <w:color w:val="000000" w:themeColor="text1"/>
          <w:sz w:val="22"/>
          <w:szCs w:val="22"/>
        </w:rPr>
        <w:t>examined</w:t>
      </w:r>
      <w:r w:rsidR="005623D3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phenomenon seems to be not generalizable. Based on the current research</w:t>
      </w:r>
      <w:r w:rsidR="007E62F6">
        <w:rPr>
          <w:rFonts w:ascii="Lucida Sans Unicode" w:hAnsi="Lucida Sans Unicode" w:cs="Lucida Sans Unicode"/>
          <w:color w:val="000000" w:themeColor="text1"/>
          <w:sz w:val="22"/>
          <w:szCs w:val="22"/>
        </w:rPr>
        <w:t>, increased self-disclosure as a result of higher anonymity and invisibility in online contexts cannot be considered a robust phenomenon.</w:t>
      </w:r>
    </w:p>
    <w:p w14:paraId="36792CE8" w14:textId="77777777" w:rsidR="007E1225" w:rsidRDefault="00437C72" w:rsidP="007E122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Development of Formal </w:t>
      </w:r>
      <w:r w:rsidR="00144769"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mathematical 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Model</w:t>
      </w:r>
    </w:p>
    <w:p w14:paraId="4DC8B0D5" w14:textId="1B6F3434" w:rsidR="004A2033" w:rsidRPr="004A2033" w:rsidRDefault="004A2033" w:rsidP="004A2033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4A2033">
        <w:rPr>
          <w:rFonts w:ascii="Lucida Sans Unicode" w:hAnsi="Lucida Sans Unicode" w:cs="Lucida Sans Unicode"/>
          <w:color w:val="EE0000"/>
          <w:sz w:val="22"/>
          <w:szCs w:val="22"/>
        </w:rPr>
        <w:t xml:space="preserve">Link zum Repo hierhin </w:t>
      </w:r>
    </w:p>
    <w:p w14:paraId="77B1667A" w14:textId="77777777" w:rsidR="00CB7287" w:rsidRDefault="00090AB7" w:rsidP="004A2033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090AB7">
        <w:rPr>
          <w:rFonts w:ascii="Lucida Sans Unicode" w:hAnsi="Lucida Sans Unicode" w:cs="Lucida Sans Unicode"/>
          <w:color w:val="000000" w:themeColor="text1"/>
          <w:sz w:val="22"/>
          <w:szCs w:val="22"/>
        </w:rPr>
        <w:t>Since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we had to drastically limit </w:t>
      </w:r>
      <w:r w:rsidR="00CB7287">
        <w:rPr>
          <w:rFonts w:ascii="Lucida Sans Unicode" w:hAnsi="Lucida Sans Unicode" w:cs="Lucida Sans Unicode"/>
          <w:color w:val="000000" w:themeColor="text1"/>
          <w:sz w:val="22"/>
          <w:szCs w:val="22"/>
        </w:rPr>
        <w:t>our</w:t>
      </w: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theoretical scope already and created our VAST with the mathematical formalization in mind, no further limitations of our model were necessary for this step. Table 1 displays an overview of all VAST</w:t>
      </w:r>
    </w:p>
    <w:p w14:paraId="636707A2" w14:textId="25525509" w:rsidR="00F67651" w:rsidRPr="00090AB7" w:rsidRDefault="00090AB7" w:rsidP="00CB7287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concepts that were reduced to single metrics in order to build the formal model. </w:t>
      </w:r>
    </w:p>
    <w:p w14:paraId="0224206F" w14:textId="2B52E6B9" w:rsidR="00DD4879" w:rsidRPr="00090AB7" w:rsidRDefault="00DD4879" w:rsidP="00E36F1E">
      <w:pPr>
        <w:spacing w:line="360" w:lineRule="auto"/>
        <w:rPr>
          <w:rFonts w:ascii="Lucida Sans Unicode" w:hAnsi="Lucida Sans Unicode" w:cs="Lucida Sans Unicode"/>
          <w:b/>
          <w:bCs/>
          <w:color w:val="000000" w:themeColor="text1"/>
          <w:sz w:val="22"/>
          <w:szCs w:val="22"/>
        </w:rPr>
      </w:pPr>
      <w:r w:rsidRPr="00090AB7">
        <w:rPr>
          <w:rFonts w:ascii="Lucida Sans Unicode" w:hAnsi="Lucida Sans Unicode" w:cs="Lucida Sans Unicode"/>
          <w:b/>
          <w:bCs/>
          <w:color w:val="000000" w:themeColor="text1"/>
          <w:sz w:val="22"/>
          <w:szCs w:val="22"/>
        </w:rPr>
        <w:t>Table 1</w:t>
      </w:r>
    </w:p>
    <w:tbl>
      <w:tblPr>
        <w:tblStyle w:val="Tabellenraster"/>
        <w:tblW w:w="91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1134"/>
        <w:gridCol w:w="1418"/>
        <w:gridCol w:w="1134"/>
        <w:gridCol w:w="3588"/>
      </w:tblGrid>
      <w:tr w:rsidR="00F67651" w14:paraId="514F433C" w14:textId="77777777" w:rsidTr="00FD464C">
        <w:trPr>
          <w:trHeight w:val="641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099EE5" w14:textId="2A10E23B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Construct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1C218ABD" w14:textId="5F28DBB4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Short </w:t>
            </w:r>
            <w:r w:rsidR="00FD464C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br/>
            </w: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14:paraId="4DD43C71" w14:textId="167AF188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Scale </w:t>
            </w: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br/>
              <w:t>Level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621F9556" w14:textId="0590B1FF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Range/</w:t>
            </w: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br/>
              <w:t>Values</w:t>
            </w:r>
          </w:p>
        </w:tc>
        <w:tc>
          <w:tcPr>
            <w:tcW w:w="3588" w:type="dxa"/>
            <w:tcBorders>
              <w:top w:val="single" w:sz="4" w:space="0" w:color="auto"/>
              <w:bottom w:val="single" w:sz="4" w:space="0" w:color="auto"/>
            </w:tcBorders>
          </w:tcPr>
          <w:p w14:paraId="70B0FFB9" w14:textId="4B3B4891" w:rsidR="00F67651" w:rsidRPr="00FD464C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FD464C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Anchors</w:t>
            </w:r>
          </w:p>
        </w:tc>
      </w:tr>
      <w:tr w:rsidR="00F67651" w14:paraId="035F6D83" w14:textId="77777777" w:rsidTr="0097050D">
        <w:tc>
          <w:tcPr>
            <w:tcW w:w="1843" w:type="dxa"/>
            <w:tcBorders>
              <w:top w:val="single" w:sz="4" w:space="0" w:color="auto"/>
            </w:tcBorders>
          </w:tcPr>
          <w:p w14:paraId="68D32558" w14:textId="4BEE3A22" w:rsidR="00F67651" w:rsidRPr="000271AF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Anonymity 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074C84ED" w14:textId="3D4E6329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AN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1D94376A" w14:textId="28A0A2CE" w:rsidR="00F67651" w:rsidRPr="007337F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5A1EA3A4" w14:textId="60A89B03" w:rsidR="00F67651" w:rsidRPr="000271AF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  <w:tcBorders>
              <w:top w:val="single" w:sz="4" w:space="0" w:color="auto"/>
            </w:tcBorders>
          </w:tcPr>
          <w:p w14:paraId="6478A504" w14:textId="7C0483B4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0 = User is fully known during the interaction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Full anonymity where the user remains unknowable during the interaction</w:t>
            </w:r>
          </w:p>
        </w:tc>
      </w:tr>
      <w:tr w:rsidR="00F67651" w14:paraId="03901692" w14:textId="77777777" w:rsidTr="0097050D">
        <w:tc>
          <w:tcPr>
            <w:tcW w:w="1843" w:type="dxa"/>
            <w:shd w:val="clear" w:color="auto" w:fill="D1D1D1" w:themeFill="background2" w:themeFillShade="E6"/>
          </w:tcPr>
          <w:p w14:paraId="7EF8F302" w14:textId="6EB0CEEC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Identity </w:t>
            </w:r>
            <w:r w:rsid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 </w:t>
            </w: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Compartment</w:t>
            </w:r>
            <w:r w:rsidR="00FD464C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-</w:t>
            </w: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alization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2F8F8B50" w14:textId="1F8E942E" w:rsidR="00F67651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IC</w:t>
            </w:r>
          </w:p>
        </w:tc>
        <w:tc>
          <w:tcPr>
            <w:tcW w:w="1418" w:type="dxa"/>
            <w:shd w:val="clear" w:color="auto" w:fill="D1D1D1" w:themeFill="background2" w:themeFillShade="E6"/>
          </w:tcPr>
          <w:p w14:paraId="30E05202" w14:textId="6E222856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28B6D751" w14:textId="1045754E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  <w:shd w:val="clear" w:color="auto" w:fill="D1D1D1" w:themeFill="background2" w:themeFillShade="E6"/>
          </w:tcPr>
          <w:p w14:paraId="096F07EF" w14:textId="58343FCA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0 = online</w:t>
            </w:r>
            <w:r w:rsidR="00F93F7A">
              <w:rPr>
                <w:rFonts w:ascii="Lucida Sans Unicode" w:hAnsi="Lucida Sans Unicode" w:cs="Lucida Sans Unicode"/>
                <w:sz w:val="20"/>
                <w:szCs w:val="20"/>
              </w:rPr>
              <w:t xml:space="preserve">- 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and offline</w:t>
            </w:r>
            <w:r w:rsidR="00F93F7A">
              <w:rPr>
                <w:rFonts w:ascii="Lucida Sans Unicode" w:hAnsi="Lucida Sans Unicode" w:cs="Lucida Sans Unicode"/>
                <w:sz w:val="20"/>
                <w:szCs w:val="20"/>
              </w:rPr>
              <w:t>-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self are completely identical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feeling like ‘those online behaviors “aren’t me at all.”’ (Suler, 2004)</w:t>
            </w:r>
          </w:p>
        </w:tc>
      </w:tr>
      <w:tr w:rsidR="00F67651" w14:paraId="0330E5C0" w14:textId="77777777" w:rsidTr="0097050D">
        <w:tc>
          <w:tcPr>
            <w:tcW w:w="1843" w:type="dxa"/>
          </w:tcPr>
          <w:p w14:paraId="49BEA21A" w14:textId="0FFF1F09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lastRenderedPageBreak/>
              <w:t xml:space="preserve">Felt </w:t>
            </w:r>
            <w:r w:rsidR="00FD464C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br/>
            </w: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Responsibility</w:t>
            </w:r>
          </w:p>
        </w:tc>
        <w:tc>
          <w:tcPr>
            <w:tcW w:w="1134" w:type="dxa"/>
          </w:tcPr>
          <w:p w14:paraId="315D88BA" w14:textId="39D1A3D4" w:rsidR="00F67651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FR</w:t>
            </w:r>
          </w:p>
        </w:tc>
        <w:tc>
          <w:tcPr>
            <w:tcW w:w="1418" w:type="dxa"/>
          </w:tcPr>
          <w:p w14:paraId="6C5313C5" w14:textId="2F72690C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</w:tcPr>
          <w:p w14:paraId="4A2A625A" w14:textId="53B1F419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</w:tcPr>
          <w:p w14:paraId="570C0537" w14:textId="26E6CD8D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0 = one feels no responsibility for one’s actions, temporary suspension of moral cognitive processes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maximal feeling of responsibility for one’s actions</w:t>
            </w:r>
          </w:p>
        </w:tc>
      </w:tr>
      <w:tr w:rsidR="00F67651" w14:paraId="62BEB64E" w14:textId="77777777" w:rsidTr="0097050D">
        <w:tc>
          <w:tcPr>
            <w:tcW w:w="1843" w:type="dxa"/>
            <w:shd w:val="clear" w:color="auto" w:fill="D1D1D1" w:themeFill="background2" w:themeFillShade="E6"/>
          </w:tcPr>
          <w:p w14:paraId="05EAB744" w14:textId="3513789B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Number of Interpersonal Cues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18856E3F" w14:textId="0174F519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NIC</w:t>
            </w:r>
          </w:p>
        </w:tc>
        <w:tc>
          <w:tcPr>
            <w:tcW w:w="1418" w:type="dxa"/>
            <w:shd w:val="clear" w:color="auto" w:fill="D1D1D1" w:themeFill="background2" w:themeFillShade="E6"/>
          </w:tcPr>
          <w:p w14:paraId="51E31663" w14:textId="5334CA4C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0FDEAC54" w14:textId="6CEE36D9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  <w:shd w:val="clear" w:color="auto" w:fill="D1D1D1" w:themeFill="background2" w:themeFillShade="E6"/>
          </w:tcPr>
          <w:p w14:paraId="6C85C40A" w14:textId="6006775C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0 = text-only, minimal interpersonal cues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audio, video and nonverbal feedback, maximal nonverbal, paraverbal and verbal cues</w:t>
            </w:r>
          </w:p>
        </w:tc>
      </w:tr>
      <w:tr w:rsidR="00F67651" w14:paraId="166B3D3E" w14:textId="77777777" w:rsidTr="0097050D">
        <w:tc>
          <w:tcPr>
            <w:tcW w:w="1843" w:type="dxa"/>
          </w:tcPr>
          <w:p w14:paraId="4964C625" w14:textId="1596CC18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Concern about Impression on Others</w:t>
            </w:r>
          </w:p>
        </w:tc>
        <w:tc>
          <w:tcPr>
            <w:tcW w:w="1134" w:type="dxa"/>
          </w:tcPr>
          <w:p w14:paraId="3A12644A" w14:textId="32A412F7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CAI</w:t>
            </w:r>
          </w:p>
        </w:tc>
        <w:tc>
          <w:tcPr>
            <w:tcW w:w="1418" w:type="dxa"/>
          </w:tcPr>
          <w:p w14:paraId="6E9E4578" w14:textId="2B41B6C1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</w:tcPr>
          <w:p w14:paraId="48DBFD96" w14:textId="09BB25E3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</w:tcPr>
          <w:p w14:paraId="3A9C3A09" w14:textId="6011D1E7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0 = not concerned about impression on others</w:t>
            </w:r>
            <w:r w:rsidR="0097050D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maximally concerned about impression on others</w:t>
            </w:r>
          </w:p>
        </w:tc>
      </w:tr>
      <w:tr w:rsidR="00F67651" w14:paraId="43EEF8B9" w14:textId="77777777" w:rsidTr="0097050D">
        <w:tc>
          <w:tcPr>
            <w:tcW w:w="1843" w:type="dxa"/>
            <w:shd w:val="clear" w:color="auto" w:fill="D1D1D1" w:themeFill="background2" w:themeFillShade="E6"/>
          </w:tcPr>
          <w:p w14:paraId="2B19426D" w14:textId="495653F1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Courage to </w:t>
            </w:r>
            <w:r w:rsidR="00FD464C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br/>
            </w: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Express Oneself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03160D58" w14:textId="324D1EB1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CE</w:t>
            </w:r>
          </w:p>
        </w:tc>
        <w:tc>
          <w:tcPr>
            <w:tcW w:w="1418" w:type="dxa"/>
            <w:shd w:val="clear" w:color="auto" w:fill="D1D1D1" w:themeFill="background2" w:themeFillShade="E6"/>
          </w:tcPr>
          <w:p w14:paraId="000A8FDC" w14:textId="130CC83B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303DA8D1" w14:textId="6BA91D19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  <w:shd w:val="clear" w:color="auto" w:fill="D1D1D1" w:themeFill="background2" w:themeFillShade="E6"/>
          </w:tcPr>
          <w:p w14:paraId="488225BF" w14:textId="49951816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 xml:space="preserve">0 = maximal inhibition and fear of expressing oneself; 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no fear of expressing oneself</w:t>
            </w:r>
          </w:p>
        </w:tc>
      </w:tr>
      <w:tr w:rsidR="00F67651" w14:paraId="00FB6741" w14:textId="77777777" w:rsidTr="0097050D">
        <w:tc>
          <w:tcPr>
            <w:tcW w:w="1843" w:type="dxa"/>
          </w:tcPr>
          <w:p w14:paraId="41C8BBC1" w14:textId="7D6156B6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Measure of Online Disinhibition</w:t>
            </w:r>
          </w:p>
        </w:tc>
        <w:tc>
          <w:tcPr>
            <w:tcW w:w="1134" w:type="dxa"/>
          </w:tcPr>
          <w:p w14:paraId="4CD7C031" w14:textId="105613CD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MOD</w:t>
            </w:r>
          </w:p>
        </w:tc>
        <w:tc>
          <w:tcPr>
            <w:tcW w:w="1418" w:type="dxa"/>
          </w:tcPr>
          <w:p w14:paraId="0BF4F2EB" w14:textId="6C6A4929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</w:tcPr>
          <w:p w14:paraId="4F17D00D" w14:textId="51CE4BA8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</w:tcPr>
          <w:p w14:paraId="5F9562C7" w14:textId="3B672588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 xml:space="preserve">5-point likert scale; </w:t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 = strongly disagree</w:t>
            </w:r>
            <w:r w:rsidR="00C72C5A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5 = strongly agree for the items of MOD</w:t>
            </w:r>
          </w:p>
        </w:tc>
      </w:tr>
      <w:tr w:rsidR="00F67651" w14:paraId="1DE565BA" w14:textId="77777777" w:rsidTr="0097050D">
        <w:tc>
          <w:tcPr>
            <w:tcW w:w="1843" w:type="dxa"/>
            <w:shd w:val="clear" w:color="auto" w:fill="D1D1D1" w:themeFill="background2" w:themeFillShade="E6"/>
          </w:tcPr>
          <w:p w14:paraId="37267AA5" w14:textId="080F7005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State Disinhibition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5A3BCB54" w14:textId="35F6DC06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StateDis</w:t>
            </w:r>
          </w:p>
        </w:tc>
        <w:tc>
          <w:tcPr>
            <w:tcW w:w="1418" w:type="dxa"/>
            <w:shd w:val="clear" w:color="auto" w:fill="D1D1D1" w:themeFill="background2" w:themeFillShade="E6"/>
          </w:tcPr>
          <w:p w14:paraId="42F448FB" w14:textId="44859FE8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sz w:val="22"/>
                <w:szCs w:val="22"/>
              </w:rPr>
              <w:t>continous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30A09B81" w14:textId="7239445E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[0;1]</w:t>
            </w:r>
          </w:p>
        </w:tc>
        <w:tc>
          <w:tcPr>
            <w:tcW w:w="3588" w:type="dxa"/>
            <w:shd w:val="clear" w:color="auto" w:fill="D1D1D1" w:themeFill="background2" w:themeFillShade="E6"/>
          </w:tcPr>
          <w:p w14:paraId="1C7A60EF" w14:textId="1249DD6F" w:rsidR="00F67651" w:rsidRPr="00FD464C" w:rsidRDefault="00FD464C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-0.1 = no inclination to “say and do things in cyberspace that they wouldn’t ordinarily say and do in the face-to-face world” (Suler, 2004)</w:t>
            </w:r>
            <w:r w:rsidR="0097050D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FD464C">
              <w:rPr>
                <w:rFonts w:ascii="Lucida Sans Unicode" w:hAnsi="Lucida Sans Unicode" w:cs="Lucida Sans Unicode"/>
                <w:sz w:val="20"/>
                <w:szCs w:val="20"/>
              </w:rPr>
              <w:t>1.2 = maximal inclination toward such behavior</w:t>
            </w:r>
          </w:p>
        </w:tc>
      </w:tr>
      <w:tr w:rsidR="00F67651" w14:paraId="29F58431" w14:textId="77777777" w:rsidTr="0097050D">
        <w:tc>
          <w:tcPr>
            <w:tcW w:w="1843" w:type="dxa"/>
            <w:tcBorders>
              <w:bottom w:val="single" w:sz="4" w:space="0" w:color="auto"/>
            </w:tcBorders>
          </w:tcPr>
          <w:p w14:paraId="62E058E6" w14:textId="596F76D0" w:rsidR="00F67651" w:rsidRPr="00F67651" w:rsidRDefault="00F67651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F6765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Self-Disclosure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53BF4A71" w14:textId="516EB4F3" w:rsidR="00F67651" w:rsidRPr="000271AF" w:rsidRDefault="000271AF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 w:rsidRPr="000271AF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SelfDis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97B78D" w14:textId="1470F8B2" w:rsidR="00F67651" w:rsidRDefault="007337F1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2"/>
                <w:szCs w:val="22"/>
              </w:rPr>
            </w:pPr>
            <w:r w:rsidRPr="007337F1"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 xml:space="preserve">categorial 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36988A6" w14:textId="287CA9BB" w:rsidR="00F67651" w:rsidRPr="007337F1" w:rsidRDefault="00E54B9D" w:rsidP="000271AF">
            <w:pPr>
              <w:spacing w:line="276" w:lineRule="auto"/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sz w:val="22"/>
                <w:szCs w:val="22"/>
              </w:rPr>
              <w:t>[0, 1, 2]</w:t>
            </w:r>
          </w:p>
        </w:tc>
        <w:tc>
          <w:tcPr>
            <w:tcW w:w="3588" w:type="dxa"/>
            <w:tcBorders>
              <w:bottom w:val="single" w:sz="4" w:space="0" w:color="auto"/>
            </w:tcBorders>
          </w:tcPr>
          <w:p w14:paraId="52ABF57C" w14:textId="12669664" w:rsidR="00F67651" w:rsidRPr="00E54B9D" w:rsidRDefault="00E54B9D" w:rsidP="000271AF">
            <w:pPr>
              <w:spacing w:line="276" w:lineRule="auto"/>
              <w:rPr>
                <w:rFonts w:ascii="Lucida Sans Unicode" w:hAnsi="Lucida Sans Unicode" w:cs="Lucida Sans Unicode"/>
                <w:color w:val="EE0000"/>
                <w:sz w:val="20"/>
                <w:szCs w:val="20"/>
              </w:rPr>
            </w:pPr>
            <w:r w:rsidRPr="00E54B9D">
              <w:rPr>
                <w:rFonts w:ascii="Lucida Sans Unicode" w:hAnsi="Lucida Sans Unicode" w:cs="Lucida Sans Unicode"/>
                <w:sz w:val="20"/>
                <w:szCs w:val="20"/>
              </w:rPr>
              <w:t>0 = no self-disclosure of biographical information, personal thoughts or emotions</w:t>
            </w:r>
            <w:r w:rsidR="00465B65">
              <w:rPr>
                <w:rFonts w:ascii="Lucida Sans Unicode" w:hAnsi="Lucida Sans Unicode" w:cs="Lucida Sans Unicode"/>
                <w:sz w:val="20"/>
                <w:szCs w:val="20"/>
              </w:rPr>
              <w:t>, judged by experts</w:t>
            </w:r>
            <w:r w:rsidR="0097050D">
              <w:rPr>
                <w:rFonts w:ascii="Lucida Sans Unicode" w:hAnsi="Lucida Sans Unicode" w:cs="Lucida Sans Unicode"/>
                <w:sz w:val="20"/>
                <w:szCs w:val="20"/>
              </w:rPr>
              <w:br/>
            </w:r>
            <w:r w:rsidRPr="00E54B9D">
              <w:rPr>
                <w:rFonts w:ascii="Lucida Sans Unicode" w:hAnsi="Lucida Sans Unicode" w:cs="Lucida Sans Unicode"/>
                <w:sz w:val="20"/>
                <w:szCs w:val="20"/>
              </w:rPr>
              <w:t>2 = high degree of self-disclosure of biographical information, personal thoughts or emotions</w:t>
            </w:r>
            <w:r w:rsidR="00465B65">
              <w:rPr>
                <w:rFonts w:ascii="Lucida Sans Unicode" w:hAnsi="Lucida Sans Unicode" w:cs="Lucida Sans Unicode"/>
                <w:sz w:val="20"/>
                <w:szCs w:val="20"/>
              </w:rPr>
              <w:t xml:space="preserve">, judged by experts </w:t>
            </w:r>
            <w:r w:rsidRPr="00E54B9D">
              <w:rPr>
                <w:rFonts w:ascii="Lucida Sans Unicode" w:hAnsi="Lucida Sans Unicode" w:cs="Lucida Sans Unicode"/>
                <w:sz w:val="20"/>
                <w:szCs w:val="20"/>
              </w:rPr>
              <w:t>(Lapidot-Lefler &amp; Barak, 2015)</w:t>
            </w:r>
          </w:p>
        </w:tc>
      </w:tr>
    </w:tbl>
    <w:p w14:paraId="4F0EAEAB" w14:textId="402364AD" w:rsidR="00090AB7" w:rsidRDefault="00E66DD4" w:rsidP="00F93F7A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lastRenderedPageBreak/>
        <w:t>The mathematical relationships defined are mostly not directly derived from theory</w:t>
      </w:r>
      <w:r w:rsidR="00185FBC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 and rather based on heuristic assumptions.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 </w:t>
      </w:r>
      <w:r w:rsidR="00185FBC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>W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hile there exists no robust empirical evidence for </w:t>
      </w:r>
      <w:r w:rsidR="00CB7287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either of 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>them, there are, in some cases, indications</w:t>
      </w:r>
      <w:r w:rsidR="00CB7287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 for their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 xml:space="preserve"> reasonableness.</w:t>
      </w:r>
    </w:p>
    <w:p w14:paraId="44FA966F" w14:textId="08DF3C57" w:rsidR="00E66DD4" w:rsidRPr="00CB7287" w:rsidRDefault="00CB7287" w:rsidP="00F93F7A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>The degree of identity compartmentalization (A2) in our model is determined by the extent of anonymity (A1). We chose the following formula</w:t>
      </w:r>
      <w:r w:rsidR="004858AC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t>:</w:t>
      </w:r>
      <w:r w:rsidR="008A5DE6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eastAsia="de-DE"/>
          <w14:ligatures w14:val="none"/>
        </w:rPr>
        <w:br/>
      </w:r>
      <w:r w:rsidR="008A5DE6" w:rsidRPr="008A5DE6">
        <w:rPr>
          <w:rFonts w:ascii="Cambria Math" w:eastAsia="Times New Roman" w:hAnsi="Cambria Math" w:cs="Lucida Sans Unicode"/>
          <w:i/>
          <w:color w:val="000000" w:themeColor="text1"/>
          <w:kern w:val="0"/>
          <w:sz w:val="22"/>
          <w:szCs w:val="22"/>
          <w:lang w:eastAsia="de-DE"/>
          <w14:ligatures w14:val="none"/>
        </w:rPr>
        <w:br/>
      </w:r>
      <m:oMathPara>
        <m:oMath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eastAsia="de-DE"/>
              <w14:ligatures w14:val="none"/>
            </w:rPr>
            <m:t>IC</m:t>
          </m:r>
          <m:r>
            <m:rPr>
              <m:aln/>
            </m:rP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eastAsia="de-DE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Lucida Sans Unicode"/>
                  <w:i/>
                  <w:color w:val="000000" w:themeColor="text1"/>
                  <w:kern w:val="0"/>
                  <w:sz w:val="22"/>
                  <w:szCs w:val="22"/>
                  <w:lang w:eastAsia="de-DE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eastAsia="de-DE"/>
                  <w14:ligatures w14:val="none"/>
                </w:rPr>
                <m:t>A</m:t>
              </m:r>
              <m:sSup>
                <m:sSupPr>
                  <m:ctrlPr>
                    <w:rPr>
                      <w:rFonts w:ascii="Cambria Math" w:eastAsia="Times New Roman" w:hAnsi="Cambria Math" w:cs="Lucida Sans Unicode"/>
                      <w:i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eastAsia="de-DE"/>
                  <w14:ligatures w14:val="none"/>
                </w:rPr>
                <m:t>A</m:t>
              </m:r>
              <m:sSup>
                <m:sSupPr>
                  <m:ctrlPr>
                    <w:rPr>
                      <w:rFonts w:ascii="Cambria Math" w:eastAsia="Times New Roman" w:hAnsi="Cambria Math" w:cs="Lucida Sans Unicode"/>
                      <w:i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eastAsia="de-DE"/>
                  <w14:ligatures w14:val="non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Lucida Sans Unicode"/>
                      <w:i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eastAsia="de-DE"/>
                      <w14:ligatures w14:val="none"/>
                    </w:rPr>
                    <m:t>1-A</m:t>
                  </m:r>
                  <m:sSup>
                    <m:sSupPr>
                      <m:ctrlPr>
                        <w:rPr>
                          <w:rFonts w:ascii="Cambria Math" w:eastAsia="Times New Roman" w:hAnsi="Cambria Math" w:cs="Lucida Sans Unicode"/>
                          <w:i/>
                          <w:color w:val="000000" w:themeColor="text1"/>
                          <w:kern w:val="0"/>
                          <w:sz w:val="22"/>
                          <w:szCs w:val="22"/>
                          <w:lang w:eastAsia="de-DE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Lucida Sans Unicode"/>
                          <w:color w:val="000000" w:themeColor="text1"/>
                          <w:kern w:val="0"/>
                          <w:sz w:val="22"/>
                          <w:szCs w:val="22"/>
                          <w:lang w:eastAsia="de-DE"/>
                          <w14:ligatures w14:val="none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Times New Roman" w:hAnsi="Cambria Math" w:cs="Lucida Sans Unicode"/>
                          <w:color w:val="000000" w:themeColor="text1"/>
                          <w:kern w:val="0"/>
                          <w:sz w:val="22"/>
                          <w:szCs w:val="22"/>
                          <w:lang w:eastAsia="de-DE"/>
                          <w14:ligatures w14:val="none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Lucida Sans Unicode" w:eastAsia="Times New Roman" w:hAnsi="Lucida Sans Unicode" w:cs="Lucida Sans Unicode"/>
              <w:color w:val="000000" w:themeColor="text1"/>
              <w:kern w:val="0"/>
              <w:sz w:val="22"/>
              <w:szCs w:val="22"/>
              <w:lang w:eastAsia="de-DE"/>
              <w14:ligatures w14:val="none"/>
            </w:rPr>
            <w:br/>
          </m:r>
          <m:r>
            <w:rPr>
              <w:rFonts w:ascii="Cambria Math" w:eastAsia="Times New Roman" w:hAnsi="Cambria Math" w:cs="Lucida Sans Unicode"/>
              <w:i/>
              <w:color w:val="000000" w:themeColor="text1"/>
              <w:kern w:val="0"/>
              <w:sz w:val="22"/>
              <w:szCs w:val="22"/>
              <w:lang w:eastAsia="de-DE"/>
              <w14:ligatures w14:val="none"/>
            </w:rPr>
            <w:br/>
          </m:r>
        </m:oMath>
      </m:oMathPara>
    </w:p>
    <w:p w14:paraId="2C530D6E" w14:textId="43AB2644" w:rsidR="00D7681C" w:rsidRDefault="004B0075" w:rsidP="00F93F7A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547E9C" wp14:editId="1BA8C8C9">
                <wp:simplePos x="0" y="0"/>
                <wp:positionH relativeFrom="column">
                  <wp:posOffset>-177405</wp:posOffset>
                </wp:positionH>
                <wp:positionV relativeFrom="paragraph">
                  <wp:posOffset>1914474</wp:posOffset>
                </wp:positionV>
                <wp:extent cx="3262183" cy="461319"/>
                <wp:effectExtent l="0" t="0" r="1905" b="0"/>
                <wp:wrapNone/>
                <wp:docPr id="210073436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183" cy="4613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DD0ECF" w14:textId="57F212D0" w:rsidR="00054EFF" w:rsidRPr="004B0075" w:rsidRDefault="00054EFF">
                            <w:pPr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</w:pPr>
                            <w:r w:rsidRPr="004B0075"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>Figure 2</w:t>
                            </w:r>
                            <w:r w:rsidR="004B0075" w:rsidRPr="004B0075">
                              <w:rPr>
                                <w:rFonts w:ascii="Lucida Sans Unicode" w:hAnsi="Lucida Sans Unicode" w:cs="Lucida Sans Unicode"/>
                                <w:i/>
                                <w:iCs/>
                                <w:sz w:val="15"/>
                                <w:szCs w:val="15"/>
                              </w:rPr>
                              <w:br/>
                            </w:r>
                            <w:r w:rsidR="004B0075"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>Effect of anonymity on identity compartmentalization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7E9C" id="Textfeld 2" o:spid="_x0000_s1027" type="#_x0000_t202" style="position:absolute;margin-left:-13.95pt;margin-top:150.75pt;width:256.85pt;height:3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" fillcolor="white [3201]" stroked="f" strokeweight=".5pt">
                <v:textbox>
                  <w:txbxContent>
                    <w:p w14:paraId="06DD0ECF" w14:textId="57F212D0" w:rsidR="00054EFF" w:rsidRPr="004B0075" w:rsidRDefault="00054EFF">
                      <w:pPr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</w:pPr>
                      <w:r w:rsidRPr="004B0075"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>Figure 2</w:t>
                      </w:r>
                      <w:r w:rsidR="004B0075" w:rsidRPr="004B0075">
                        <w:rPr>
                          <w:rFonts w:ascii="Lucida Sans Unicode" w:hAnsi="Lucida Sans Unicode" w:cs="Lucida Sans Unicode"/>
                          <w:i/>
                          <w:iCs/>
                          <w:sz w:val="15"/>
                          <w:szCs w:val="15"/>
                        </w:rPr>
                        <w:br/>
                      </w:r>
                      <w:r w:rsidR="004B0075"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>Effect of anonymity on identity compartmentalization</w:t>
                      </w:r>
                    </w:p>
                  </w:txbxContent>
                </v:textbox>
              </v:shape>
            </w:pict>
          </mc:Fallback>
        </mc:AlternateContent>
      </w:r>
      <w:r w:rsidRPr="00D7681C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drawing>
          <wp:anchor distT="360045" distB="360045" distL="180340" distR="180340" simplePos="0" relativeHeight="251658240" behindDoc="0" locked="0" layoutInCell="1" allowOverlap="0" wp14:anchorId="345CA403" wp14:editId="5BB0E11B">
            <wp:simplePos x="0" y="0"/>
            <wp:positionH relativeFrom="column">
              <wp:posOffset>-67945</wp:posOffset>
            </wp:positionH>
            <wp:positionV relativeFrom="paragraph">
              <wp:posOffset>14605</wp:posOffset>
            </wp:positionV>
            <wp:extent cx="3149600" cy="1900555"/>
            <wp:effectExtent l="0" t="0" r="0" b="4445"/>
            <wp:wrapSquare wrapText="bothSides"/>
            <wp:docPr id="64963451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3451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90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58AC">
        <w:rPr>
          <w:rFonts w:ascii="Lucida Sans Unicode" w:eastAsia="Times New Roman" w:hAnsi="Lucida Sans Unicode" w:cs="Lucida Sans Unicode"/>
          <w:noProof w:val="0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As Figure 2 shows, this produces a positive non-linear relationship. </w:t>
      </w:r>
      <w:r w:rsidR="004858AC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The S-shape reflects our assumption that a </w:t>
      </w:r>
      <w:r w:rsidR="00AF3E4A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very low level of anonymity does not </w:t>
      </w:r>
      <w:r w:rsidR="00655E40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>immediately</w:t>
      </w:r>
      <w:r w:rsidR="00AF3E4A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lead to identity compartmentalization, as well as a very high level of anonymity does not have any further noticable effect on compartmentalization.</w:t>
      </w:r>
    </w:p>
    <w:p w14:paraId="159DC140" w14:textId="77777777" w:rsidR="004A2033" w:rsidRDefault="004A2033" w:rsidP="00F93F7A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</w:p>
    <w:p w14:paraId="72EB5B9F" w14:textId="74B9C3E9" w:rsidR="00185FBC" w:rsidRPr="00054EFF" w:rsidRDefault="00185FBC" w:rsidP="00F93F7A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>The outcome of the IC-function</w:t>
      </w:r>
      <w:r w:rsidR="00FF102D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in turn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dictates the </w:t>
      </w:r>
      <w:r w:rsidR="00FF102D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>felt responsibility (A3):</w:t>
      </w:r>
      <w:r w:rsidR="008A5DE6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br/>
      </w:r>
      <w:r w:rsidR="008A5DE6" w:rsidRPr="008A5DE6">
        <w:rPr>
          <w:rFonts w:ascii="Cambria Math" w:eastAsia="Times New Roman" w:hAnsi="Cambria Math" w:cs="Lucida Sans Unicode"/>
          <w:i/>
          <w:color w:val="000000" w:themeColor="text1"/>
          <w:kern w:val="0"/>
          <w:sz w:val="22"/>
          <w:szCs w:val="22"/>
          <w:lang w:val="de-DE" w:eastAsia="de-DE"/>
          <w14:ligatures w14:val="none"/>
        </w:rPr>
        <w:br/>
      </w:r>
      <m:oMathPara>
        <m:oMath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m:t>FR=bas</m:t>
          </m:r>
          <m:sSub>
            <m:sSubPr>
              <m:ctrlPr>
                <w:rPr>
                  <w:rFonts w:ascii="Cambria Math" w:eastAsia="Times New Roman" w:hAnsi="Cambria Math" w:cs="Lucida Sans Unicode"/>
                  <w:i/>
                  <w:color w:val="000000" w:themeColor="text1"/>
                  <w:kern w:val="0"/>
                  <w:sz w:val="22"/>
                  <w:szCs w:val="22"/>
                  <w:lang w:val="de-DE" w:eastAsia="de-DE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val="de-DE" w:eastAsia="de-DE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val="de-DE" w:eastAsia="de-DE"/>
                  <w14:ligatures w14:val="none"/>
                </w:rPr>
                <m:t>resp</m:t>
              </m:r>
            </m:sub>
          </m:sSub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m:t>*</m:t>
          </m:r>
          <m:sSup>
            <m:sSupPr>
              <m:ctrlPr>
                <w:rPr>
                  <w:rFonts w:ascii="Cambria Math" w:eastAsia="Times New Roman" w:hAnsi="Cambria Math" w:cs="Lucida Sans Unicode"/>
                  <w:i/>
                  <w:color w:val="000000" w:themeColor="text1"/>
                  <w:kern w:val="0"/>
                  <w:sz w:val="22"/>
                  <w:szCs w:val="22"/>
                  <w:lang w:val="de-DE" w:eastAsia="de-DE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Lucida Sans Unicode"/>
                      <w:i/>
                      <w:color w:val="000000" w:themeColor="text1"/>
                      <w:kern w:val="0"/>
                      <w:sz w:val="22"/>
                      <w:szCs w:val="22"/>
                      <w:lang w:val="de-DE" w:eastAsia="de-DE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Lucida Sans Unicode"/>
                      <w:color w:val="000000" w:themeColor="text1"/>
                      <w:kern w:val="0"/>
                      <w:sz w:val="22"/>
                      <w:szCs w:val="22"/>
                      <w:lang w:val="de-DE" w:eastAsia="de-DE"/>
                      <w14:ligatures w14:val="none"/>
                    </w:rPr>
                    <m:t>1-0.8*IC</m:t>
                  </m:r>
                </m:e>
              </m:d>
            </m:e>
            <m:sup>
              <m:r>
                <w:rPr>
                  <w:rFonts w:ascii="Cambria Math" w:eastAsia="Times New Roman" w:hAnsi="Cambria Math" w:cs="Lucida Sans Unicode"/>
                  <w:color w:val="000000" w:themeColor="text1"/>
                  <w:kern w:val="0"/>
                  <w:sz w:val="22"/>
                  <w:szCs w:val="22"/>
                  <w:lang w:val="de-DE" w:eastAsia="de-DE"/>
                  <w14:ligatures w14:val="none"/>
                </w:rPr>
                <m:t>3</m:t>
              </m:r>
            </m:sup>
          </m:sSup>
          <m:r>
            <w:rPr>
              <w:rFonts w:ascii="Lucida Sans Unicode" w:eastAsia="Times New Roman" w:hAnsi="Lucida Sans Unicode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w:br/>
          </m:r>
        </m:oMath>
      </m:oMathPara>
    </w:p>
    <w:p w14:paraId="128B5693" w14:textId="60692319" w:rsidR="00DF6AB3" w:rsidRDefault="004B0075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837DC2" wp14:editId="368828D6">
                <wp:simplePos x="0" y="0"/>
                <wp:positionH relativeFrom="column">
                  <wp:posOffset>-40459</wp:posOffset>
                </wp:positionH>
                <wp:positionV relativeFrom="paragraph">
                  <wp:posOffset>2009594</wp:posOffset>
                </wp:positionV>
                <wp:extent cx="2982686" cy="468085"/>
                <wp:effectExtent l="0" t="0" r="1905" b="1905"/>
                <wp:wrapNone/>
                <wp:docPr id="167991599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2686" cy="468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42A2D7" w14:textId="4B2CF02B" w:rsidR="004B0075" w:rsidRPr="004B0075" w:rsidRDefault="004B0075" w:rsidP="004B0075">
                            <w:pPr>
                              <w:spacing w:line="240" w:lineRule="auto"/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</w:pPr>
                            <w:r w:rsidRPr="004B0075"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Figure 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>3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i/>
                                <w:iCs/>
                                <w:sz w:val="15"/>
                                <w:szCs w:val="15"/>
                              </w:rPr>
                              <w:br/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 xml:space="preserve">Effect of 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>identity compartmentalization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 xml:space="preserve"> on 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>felt responsibility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37DC2" id="_x0000_s1028" type="#_x0000_t202" style="position:absolute;margin-left:-3.2pt;margin-top:158.25pt;width:234.85pt;height:3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" fillcolor="white [3201]" stroked="f" strokeweight=".5pt">
                <v:textbox>
                  <w:txbxContent>
                    <w:p w14:paraId="3F42A2D7" w14:textId="4B2CF02B" w:rsidR="004B0075" w:rsidRPr="004B0075" w:rsidRDefault="004B0075" w:rsidP="004B0075">
                      <w:pPr>
                        <w:spacing w:line="240" w:lineRule="auto"/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</w:pPr>
                      <w:r w:rsidRPr="004B0075"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 xml:space="preserve">Figure </w:t>
                      </w:r>
                      <w:r w:rsidRPr="004B0075"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>3</w:t>
                      </w:r>
                      <w:r w:rsidRPr="004B0075">
                        <w:rPr>
                          <w:rFonts w:ascii="Lucida Sans Unicode" w:hAnsi="Lucida Sans Unicode" w:cs="Lucida Sans Unicode"/>
                          <w:i/>
                          <w:iCs/>
                          <w:sz w:val="15"/>
                          <w:szCs w:val="15"/>
                        </w:rPr>
                        <w:br/>
                      </w:r>
                      <w:r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 xml:space="preserve">Effect of </w:t>
                      </w:r>
                      <w:r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>identity compartmentalization</w:t>
                      </w:r>
                      <w:r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 xml:space="preserve"> on </w:t>
                      </w:r>
                      <w:r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>felt responsibility</w:t>
                      </w:r>
                    </w:p>
                  </w:txbxContent>
                </v:textbox>
              </v:shape>
            </w:pict>
          </mc:Fallback>
        </mc:AlternateContent>
      </w:r>
      <w:r w:rsidRPr="008A5DE6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drawing>
          <wp:anchor distT="360045" distB="360045" distL="180340" distR="180340" simplePos="0" relativeHeight="251659264" behindDoc="0" locked="0" layoutInCell="1" allowOverlap="1" wp14:anchorId="6088DAFB" wp14:editId="386A09E2">
            <wp:simplePos x="0" y="0"/>
            <wp:positionH relativeFrom="column">
              <wp:posOffset>-36569</wp:posOffset>
            </wp:positionH>
            <wp:positionV relativeFrom="paragraph">
              <wp:posOffset>68035</wp:posOffset>
            </wp:positionV>
            <wp:extent cx="2862000" cy="1875600"/>
            <wp:effectExtent l="0" t="0" r="0" b="4445"/>
            <wp:wrapSquare wrapText="bothSides"/>
            <wp:docPr id="189646610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46610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000" cy="187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102D" w:rsidRPr="00DF6AB3">
        <w:rPr>
          <w:rFonts w:ascii="Lucida Sans Unicode" w:eastAsia="Times New Roman" w:hAnsi="Lucida Sans Unicode" w:cs="Lucida Sans Unicode"/>
          <w:i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baseresp</w:t>
      </w:r>
      <w:r w:rsidR="00FF102D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stands for base responsibility, which describes a person’s trait </w:t>
      </w:r>
      <w:r w:rsidR="00DF6AB3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>accountability</w:t>
      </w:r>
      <w:r w:rsidR="00FF102D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and was included to account for inter-individual variation between participants. To facilitat</w: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>e</w:t>
      </w:r>
      <w:r w:rsidR="00FF102D"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understanding, the parameter is fixed to the heuristic value 0.8 in later analyses. As observable in Figure 3, the higher identity compartmentalization, the lower the felt responsibility. </w:t>
      </w:r>
    </w:p>
    <w:p w14:paraId="6838A7CA" w14:textId="77777777" w:rsidR="004B0075" w:rsidRDefault="004B0075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</w:p>
    <w:p w14:paraId="6FCBE1AF" w14:textId="77777777" w:rsidR="004B0075" w:rsidRDefault="004B0075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</w:p>
    <w:p w14:paraId="3438BCAD" w14:textId="36334707" w:rsidR="00DF6AB3" w:rsidRDefault="00DF6AB3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The number of interpersonal cues (B1) can be directly translated in a person’s concern about their impression on others (B2). </w:t>
      </w:r>
    </w:p>
    <w:p w14:paraId="20905A4C" w14:textId="0911566C" w:rsidR="00DF6AB3" w:rsidRPr="00DF6AB3" w:rsidRDefault="00DF6AB3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m:oMathPara>
        <m:oMath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m:t>CAI=NIC</m:t>
          </m:r>
        </m:oMath>
      </m:oMathPara>
    </w:p>
    <w:p w14:paraId="3A4933E0" w14:textId="7285EFAD" w:rsidR="00DF6AB3" w:rsidRDefault="008E7F14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This concern then causes the person’s courage to express oneself (B3): The higher the concern, the lower the courage.</w:t>
      </w:r>
    </w:p>
    <w:p w14:paraId="58529E11" w14:textId="53DC1B13" w:rsidR="004B0075" w:rsidRPr="00054EFF" w:rsidRDefault="008E7F14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m:oMathPara>
        <m:oMath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m:t>CE= -CAI+1</m:t>
          </m:r>
          <m:r>
            <w:rPr>
              <w:rFonts w:ascii="Lucida Sans Unicode" w:eastAsia="Times New Roman" w:hAnsi="Lucida Sans Unicode" w:cs="Lucida Sans Unicode"/>
              <w:iCs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w:br/>
          </m:r>
        </m:oMath>
      </m:oMathPara>
    </w:p>
    <w:p w14:paraId="4E738565" w14:textId="1671F555" w:rsidR="00054EFF" w:rsidRPr="008E7F14" w:rsidRDefault="004B0075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9292A6" wp14:editId="1E5FCB9A">
                <wp:simplePos x="0" y="0"/>
                <wp:positionH relativeFrom="column">
                  <wp:posOffset>2735399</wp:posOffset>
                </wp:positionH>
                <wp:positionV relativeFrom="paragraph">
                  <wp:posOffset>1802674</wp:posOffset>
                </wp:positionV>
                <wp:extent cx="2699657" cy="601362"/>
                <wp:effectExtent l="0" t="0" r="5715" b="0"/>
                <wp:wrapNone/>
                <wp:docPr id="179789402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657" cy="6013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F5D676" w14:textId="34EB34E6" w:rsidR="004B0075" w:rsidRPr="004B0075" w:rsidRDefault="004B0075" w:rsidP="007706D0">
                            <w:pPr>
                              <w:spacing w:line="240" w:lineRule="auto"/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</w:pPr>
                            <w:r w:rsidRPr="004B0075"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Figure </w:t>
                            </w:r>
                            <w:r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>5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i/>
                                <w:iCs/>
                                <w:sz w:val="15"/>
                                <w:szCs w:val="15"/>
                              </w:rPr>
                              <w:br/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 xml:space="preserve">Effect of </w:t>
                            </w:r>
                            <w:r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>concern about impression on others on courage to express oneself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292A6" id="_x0000_s1029" type="#_x0000_t202" style="position:absolute;margin-left:215.4pt;margin-top:141.95pt;width:212.55pt;height:47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" fillcolor="white [3201]" stroked="f" strokeweight=".5pt">
                <v:textbox>
                  <w:txbxContent>
                    <w:p w14:paraId="3AF5D676" w14:textId="34EB34E6" w:rsidR="004B0075" w:rsidRPr="004B0075" w:rsidRDefault="004B0075" w:rsidP="007706D0">
                      <w:pPr>
                        <w:spacing w:line="240" w:lineRule="auto"/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</w:pPr>
                      <w:r w:rsidRPr="004B0075"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 xml:space="preserve">Figure </w:t>
                      </w:r>
                      <w:r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>5</w:t>
                      </w:r>
                      <w:r w:rsidRPr="004B0075">
                        <w:rPr>
                          <w:rFonts w:ascii="Lucida Sans Unicode" w:hAnsi="Lucida Sans Unicode" w:cs="Lucida Sans Unicode"/>
                          <w:i/>
                          <w:iCs/>
                          <w:sz w:val="15"/>
                          <w:szCs w:val="15"/>
                        </w:rPr>
                        <w:br/>
                      </w:r>
                      <w:r w:rsidRPr="004B0075"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 xml:space="preserve">Effect of </w:t>
                      </w:r>
                      <w:r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>concern about impression on others on courage to express oneself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Lucida Sans Unicode" w:eastAsia="Times New Roman" w:hAnsi="Lucida Sans Unicode" w:cs="Lucida Sans Unicode"/>
          <w:color w:val="000000" w:themeColor="text1"/>
          <w:kern w:val="0"/>
          <w:sz w:val="22"/>
          <w:szCs w:val="22"/>
          <w:lang w:val="de-DE" w:eastAsia="de-D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7EC77B" wp14:editId="72CF5A49">
                <wp:simplePos x="0" y="0"/>
                <wp:positionH relativeFrom="column">
                  <wp:posOffset>-40459</wp:posOffset>
                </wp:positionH>
                <wp:positionV relativeFrom="paragraph">
                  <wp:posOffset>1802673</wp:posOffset>
                </wp:positionV>
                <wp:extent cx="2699658" cy="601345"/>
                <wp:effectExtent l="0" t="0" r="5715" b="0"/>
                <wp:wrapNone/>
                <wp:docPr id="57476463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658" cy="6013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936293" w14:textId="5AB45EF7" w:rsidR="004B0075" w:rsidRPr="004B0075" w:rsidRDefault="004B0075" w:rsidP="007706D0">
                            <w:pPr>
                              <w:spacing w:line="240" w:lineRule="auto"/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</w:pPr>
                            <w:r w:rsidRPr="004B0075"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Figure </w:t>
                            </w:r>
                            <w:r>
                              <w:rPr>
                                <w:rFonts w:ascii="Lucida Sans Unicode" w:hAnsi="Lucida Sans Unicode" w:cs="Lucida Sans Unicode"/>
                                <w:b/>
                                <w:bCs/>
                                <w:sz w:val="15"/>
                                <w:szCs w:val="15"/>
                              </w:rPr>
                              <w:t>4</w:t>
                            </w:r>
                            <w:r w:rsidRPr="004B0075">
                              <w:rPr>
                                <w:rFonts w:ascii="Lucida Sans Unicode" w:hAnsi="Lucida Sans Unicode" w:cs="Lucida Sans Unicode"/>
                                <w:i/>
                                <w:iCs/>
                                <w:sz w:val="15"/>
                                <w:szCs w:val="15"/>
                              </w:rPr>
                              <w:br/>
                            </w:r>
                            <w:r>
                              <w:rPr>
                                <w:rFonts w:ascii="Lucida Sans Unicode" w:hAnsi="Lucida Sans Unicode" w:cs="Lucida Sans Unicode"/>
                                <w:sz w:val="15"/>
                                <w:szCs w:val="15"/>
                              </w:rPr>
                              <w:t>Transformation of interpersonal cues into concern about impression on others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EC77B" id="_x0000_s1030" type="#_x0000_t202" style="position:absolute;margin-left:-3.2pt;margin-top:141.95pt;width:212.55pt;height:47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" fillcolor="white [3201]" stroked="f" strokeweight=".5pt">
                <v:textbox>
                  <w:txbxContent>
                    <w:p w14:paraId="20936293" w14:textId="5AB45EF7" w:rsidR="004B0075" w:rsidRPr="004B0075" w:rsidRDefault="004B0075" w:rsidP="007706D0">
                      <w:pPr>
                        <w:spacing w:line="240" w:lineRule="auto"/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</w:pPr>
                      <w:r w:rsidRPr="004B0075"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 xml:space="preserve">Figure </w:t>
                      </w:r>
                      <w:r>
                        <w:rPr>
                          <w:rFonts w:ascii="Lucida Sans Unicode" w:hAnsi="Lucida Sans Unicode" w:cs="Lucida Sans Unicode"/>
                          <w:b/>
                          <w:bCs/>
                          <w:sz w:val="15"/>
                          <w:szCs w:val="15"/>
                        </w:rPr>
                        <w:t>4</w:t>
                      </w:r>
                      <w:r w:rsidRPr="004B0075">
                        <w:rPr>
                          <w:rFonts w:ascii="Lucida Sans Unicode" w:hAnsi="Lucida Sans Unicode" w:cs="Lucida Sans Unicode"/>
                          <w:i/>
                          <w:iCs/>
                          <w:sz w:val="15"/>
                          <w:szCs w:val="15"/>
                        </w:rPr>
                        <w:br/>
                      </w:r>
                      <w:r>
                        <w:rPr>
                          <w:rFonts w:ascii="Lucida Sans Unicode" w:hAnsi="Lucida Sans Unicode" w:cs="Lucida Sans Unicode"/>
                          <w:sz w:val="15"/>
                          <w:szCs w:val="15"/>
                        </w:rPr>
                        <w:t>Transformation of interpersonal cues into concern about impression on others</w:t>
                      </w:r>
                    </w:p>
                  </w:txbxContent>
                </v:textbox>
              </v:shape>
            </w:pict>
          </mc:Fallback>
        </mc:AlternateContent>
      </w:r>
      <w:r w:rsidR="00054EFF" w:rsidRPr="00054EFF"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drawing>
          <wp:inline distT="0" distB="0" distL="0" distR="0" wp14:anchorId="3FBB53E1" wp14:editId="637AB5EB">
            <wp:extent cx="2790000" cy="1800000"/>
            <wp:effectExtent l="0" t="0" r="4445" b="3810"/>
            <wp:docPr id="5541777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77755" name=""/>
                    <pic:cNvPicPr/>
                  </pic:nvPicPr>
                  <pic:blipFill rotWithShape="1">
                    <a:blip r:embed="rId16"/>
                    <a:srcRect t="13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00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54EFF" w:rsidRPr="00054EFF">
        <w:t xml:space="preserve"> </w:t>
      </w:r>
      <w:r w:rsidR="00054EFF" w:rsidRPr="00054EFF"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drawing>
          <wp:inline distT="0" distB="0" distL="0" distR="0" wp14:anchorId="76AFB7CD" wp14:editId="3D4807A4">
            <wp:extent cx="2768400" cy="1800000"/>
            <wp:effectExtent l="0" t="0" r="635" b="3810"/>
            <wp:docPr id="1555279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7949" name=""/>
                    <pic:cNvPicPr/>
                  </pic:nvPicPr>
                  <pic:blipFill rotWithShape="1">
                    <a:blip r:embed="rId17"/>
                    <a:srcRect t="12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40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B342F" w14:textId="4EECBA6C" w:rsidR="004B0075" w:rsidRDefault="004B0075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</w:p>
    <w:p w14:paraId="5C0DCA43" w14:textId="7486C472" w:rsidR="008E7F14" w:rsidRDefault="008E7F14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State Disinhibition (D) finally results from the interplay of felt responsibility (A3), courage to express oneself (B3) and trait online disinhibition</w:t>
      </w:r>
      <w:r w:rsidR="00D7681C"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(MOD, </w:t>
      </w:r>
      <w:r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C). The mathematical relationship assumed incorporates main effects for theses predictors as well as an interaction term of felt responsibility and courage to express oneself.</w:t>
      </w:r>
    </w:p>
    <w:p w14:paraId="7C452791" w14:textId="7484FB85" w:rsidR="008E7F14" w:rsidRPr="008E7F14" w:rsidRDefault="008E7F14" w:rsidP="00DF6AB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m:oMathPara>
        <m:oMath>
          <m:r>
            <w:rPr>
              <w:rFonts w:ascii="Cambria Math" w:eastAsia="Times New Roman" w:hAnsi="Cambria Math" w:cs="Lucida Sans Unicode"/>
              <w:color w:val="000000" w:themeColor="text1"/>
              <w:kern w:val="0"/>
              <w:sz w:val="22"/>
              <w:szCs w:val="22"/>
              <w:lang w:val="de-DE" w:eastAsia="de-DE"/>
              <w14:ligatures w14:val="none"/>
            </w:rPr>
            <m:t>StateDis=0.2*MOD-0.3*FR+0.2*CE-0.1*FR*CE</m:t>
          </m:r>
        </m:oMath>
      </m:oMathPara>
    </w:p>
    <w:p w14:paraId="5EF982E4" w14:textId="3A7AA8B7" w:rsidR="00D7681C" w:rsidRDefault="008E7F14" w:rsidP="00D7681C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</w:pPr>
      <w:r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We also added slight noise at this point (simulated from N(0,0.1)) and cut the result to [0;</w:t>
      </w:r>
      <w:r w:rsidR="00D7681C"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 xml:space="preserve"> </w:t>
      </w:r>
      <w:r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1]. T</w:t>
      </w:r>
      <w:r w:rsidR="00D7681C">
        <w:rPr>
          <w:rFonts w:ascii="Lucida Sans Unicode" w:eastAsia="Times New Roman" w:hAnsi="Lucida Sans Unicode" w:cs="Lucida Sans Unicode"/>
          <w:iCs/>
          <w:color w:val="000000" w:themeColor="text1"/>
          <w:kern w:val="0"/>
          <w:sz w:val="22"/>
          <w:szCs w:val="22"/>
          <w:lang w:val="de-DE" w:eastAsia="de-DE"/>
          <w14:ligatures w14:val="none"/>
        </w:rPr>
        <w:t>he produced score is now divided into intervals to determine the resulting categorial level of self-disclosure (E). Values in the range [0; 0.4] equates to „no self-disclosure“ in the expert rating, [0.4; 0.6] corresponds to „low self-disclosure“ and [0.6; 1] represents „high self-disclosure“.</w:t>
      </w:r>
    </w:p>
    <w:p w14:paraId="50E6D740" w14:textId="32858600" w:rsidR="00EE2574" w:rsidRPr="004A2033" w:rsidRDefault="00D7681C" w:rsidP="004A2033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iCs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D7681C">
        <w:rPr>
          <w:rFonts w:ascii="Lucida Sans Unicode" w:eastAsia="Times New Roman" w:hAnsi="Lucida Sans Unicode" w:cs="Lucida Sans Unicode"/>
          <w:iCs/>
          <w:color w:val="EE0000"/>
          <w:kern w:val="0"/>
          <w:sz w:val="22"/>
          <w:szCs w:val="22"/>
          <w:lang w:val="de-DE" w:eastAsia="de-DE"/>
          <w14:ligatures w14:val="none"/>
        </w:rPr>
        <w:t>Figure 6 and 7</w:t>
      </w:r>
      <w:r w:rsidR="004A2033">
        <w:rPr>
          <w:rFonts w:ascii="Lucida Sans Unicode" w:eastAsia="Times New Roman" w:hAnsi="Lucida Sans Unicode" w:cs="Lucida Sans Unicode"/>
          <w:iCs/>
          <w:color w:val="EE0000"/>
          <w:kern w:val="0"/>
          <w:sz w:val="22"/>
          <w:szCs w:val="22"/>
          <w:lang w:val="de-DE" w:eastAsia="de-DE"/>
          <w14:ligatures w14:val="none"/>
        </w:rPr>
        <w:t xml:space="preserve">: State disinhibition &amp; Self-disclosure </w:t>
      </w:r>
    </w:p>
    <w:p w14:paraId="269F23E1" w14:textId="77777777" w:rsidR="005B09AC" w:rsidRDefault="005B09AC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</w:p>
    <w:p w14:paraId="4F354044" w14:textId="77777777" w:rsidR="005B09AC" w:rsidRDefault="005B09AC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</w:p>
    <w:p w14:paraId="7CA2D863" w14:textId="42303A31" w:rsidR="009F21F5" w:rsidRDefault="009F21F5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lastRenderedPageBreak/>
        <w:t>Evaluation</w:t>
      </w:r>
    </w:p>
    <w:p w14:paraId="5686A28A" w14:textId="12EF67F2" w:rsidR="00831D01" w:rsidRDefault="002B3510" w:rsidP="002B3510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2B3510">
        <w:rPr>
          <w:rFonts w:ascii="Lucida Sans Unicode" w:hAnsi="Lucida Sans Unicode" w:cs="Lucida Sans Unicode"/>
          <w:sz w:val="22"/>
          <w:szCs w:val="22"/>
        </w:rPr>
        <w:t>Datensimulatio</w:t>
      </w:r>
      <w:r w:rsidR="00831D01">
        <w:rPr>
          <w:rFonts w:ascii="Lucida Sans Unicode" w:hAnsi="Lucida Sans Unicode" w:cs="Lucida Sans Unicode"/>
          <w:sz w:val="22"/>
          <w:szCs w:val="22"/>
        </w:rPr>
        <w:t>n für n=90, 900 und 90000</w:t>
      </w:r>
    </w:p>
    <w:p w14:paraId="36338C45" w14:textId="77777777" w:rsidR="00831D01" w:rsidRDefault="00831D01" w:rsidP="002B3510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BE0E0DB" w14:textId="3856018F" w:rsidR="002B3510" w:rsidRDefault="002B3510" w:rsidP="002B3510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2B3510">
        <w:rPr>
          <w:rFonts w:ascii="Lucida Sans Unicode" w:hAnsi="Lucida Sans Unicode" w:cs="Lucida Sans Unicode"/>
          <w:sz w:val="22"/>
          <w:szCs w:val="22"/>
        </w:rPr>
        <w:t>Hypothesentests</w:t>
      </w:r>
    </w:p>
    <w:p w14:paraId="2BF4629F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A6101A1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19A679B" w14:textId="003C57DD" w:rsidR="009F21F5" w:rsidRPr="00BB45DB" w:rsidRDefault="009F21F5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Discussion and Meta-Reflection</w:t>
      </w:r>
    </w:p>
    <w:p w14:paraId="22C056FA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3C0DE3E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502D5C0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60C0CE9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A534D2F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59313E2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E1C067B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721556D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4D5E173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16C58C2" w14:textId="77777777" w:rsidR="00ED2768" w:rsidRPr="00BB45DB" w:rsidRDefault="00ED2768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74546C9D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DB81762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E1FA114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57A9FBF" w14:textId="79596BCC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  <w:sectPr w:rsidR="009F21F5" w:rsidRPr="00BB45DB" w:rsidSect="00153F99">
          <w:headerReference w:type="even" r:id="rId18"/>
          <w:headerReference w:type="default" r:id="rId19"/>
          <w:pgSz w:w="11906" w:h="16838"/>
          <w:pgMar w:top="1418" w:right="1418" w:bottom="1418" w:left="1418" w:header="708" w:footer="708" w:gutter="0"/>
          <w:cols w:space="708"/>
          <w:docGrid w:linePitch="360"/>
        </w:sectPr>
      </w:pPr>
    </w:p>
    <w:tbl>
      <w:tblPr>
        <w:tblStyle w:val="Tabellenraster"/>
        <w:tblpPr w:leftFromText="141" w:rightFromText="141" w:vertAnchor="page" w:horzAnchor="margin" w:tblpY="1771"/>
        <w:tblW w:w="14042" w:type="dxa"/>
        <w:tblLook w:val="04A0" w:firstRow="1" w:lastRow="0" w:firstColumn="1" w:lastColumn="0" w:noHBand="0" w:noVBand="1"/>
      </w:tblPr>
      <w:tblGrid>
        <w:gridCol w:w="1679"/>
        <w:gridCol w:w="6254"/>
        <w:gridCol w:w="3828"/>
        <w:gridCol w:w="1559"/>
        <w:gridCol w:w="722"/>
      </w:tblGrid>
      <w:tr w:rsidR="00F93F7A" w:rsidRPr="00BB45DB" w14:paraId="5E914E6D" w14:textId="77777777" w:rsidTr="00F93F7A">
        <w:trPr>
          <w:trHeight w:val="384"/>
        </w:trPr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C6882C" w14:textId="7D0FA952" w:rsidR="00F93F7A" w:rsidRPr="00BB45DB" w:rsidRDefault="00F93F7A" w:rsidP="00F93F7A">
            <w:pPr>
              <w:spacing w:line="276" w:lineRule="auto"/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lastRenderedPageBreak/>
              <w:t>Appendix A:</w:t>
            </w:r>
          </w:p>
        </w:tc>
        <w:tc>
          <w:tcPr>
            <w:tcW w:w="62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2F5B2" w14:textId="562C5041" w:rsidR="00F93F7A" w:rsidRPr="00F31AE2" w:rsidRDefault="00F93F7A" w:rsidP="00F93F7A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Construct Source Table</w:t>
            </w:r>
          </w:p>
        </w:tc>
        <w:tc>
          <w:tcPr>
            <w:tcW w:w="38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8954A" w14:textId="77777777" w:rsidR="00F93F7A" w:rsidRPr="00BB45DB" w:rsidRDefault="00F93F7A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0419BD" w14:textId="77777777" w:rsidR="00F93F7A" w:rsidRPr="00BB45DB" w:rsidRDefault="00F93F7A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</w:p>
        </w:tc>
        <w:tc>
          <w:tcPr>
            <w:tcW w:w="7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5C4A0B" w14:textId="77777777" w:rsidR="00F93F7A" w:rsidRPr="00BB45DB" w:rsidRDefault="00F93F7A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</w:p>
        </w:tc>
      </w:tr>
      <w:tr w:rsidR="005761EC" w:rsidRPr="00BB45DB" w14:paraId="5BCB85DC" w14:textId="77777777" w:rsidTr="00F93F7A">
        <w:trPr>
          <w:trHeight w:val="384"/>
        </w:trPr>
        <w:tc>
          <w:tcPr>
            <w:tcW w:w="1679" w:type="dxa"/>
            <w:tcBorders>
              <w:top w:val="single" w:sz="4" w:space="0" w:color="auto"/>
            </w:tcBorders>
            <w:vAlign w:val="center"/>
          </w:tcPr>
          <w:p w14:paraId="2ABE8B6D" w14:textId="452C127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Reference</w:t>
            </w:r>
          </w:p>
        </w:tc>
        <w:tc>
          <w:tcPr>
            <w:tcW w:w="6254" w:type="dxa"/>
            <w:tcBorders>
              <w:top w:val="single" w:sz="4" w:space="0" w:color="auto"/>
            </w:tcBorders>
          </w:tcPr>
          <w:p w14:paraId="6AF7ACDC" w14:textId="679F1DB0" w:rsidR="005761EC" w:rsidRPr="00F31AE2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F31AE2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Quote</w:t>
            </w:r>
          </w:p>
        </w:tc>
        <w:tc>
          <w:tcPr>
            <w:tcW w:w="3828" w:type="dxa"/>
            <w:tcBorders>
              <w:top w:val="single" w:sz="4" w:space="0" w:color="auto"/>
            </w:tcBorders>
          </w:tcPr>
          <w:p w14:paraId="3AAF7313" w14:textId="52588B4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Extracted element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7DE832E" w14:textId="4D1321A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Short name</w:t>
            </w:r>
          </w:p>
        </w:tc>
        <w:tc>
          <w:tcPr>
            <w:tcW w:w="722" w:type="dxa"/>
            <w:tcBorders>
              <w:top w:val="single" w:sz="4" w:space="0" w:color="auto"/>
            </w:tcBorders>
          </w:tcPr>
          <w:p w14:paraId="04CD8748" w14:textId="5C47CE5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ID</w:t>
            </w:r>
          </w:p>
        </w:tc>
      </w:tr>
      <w:tr w:rsidR="005761EC" w:rsidRPr="00BB45DB" w14:paraId="07E5EBE6" w14:textId="77777777" w:rsidTr="00F31AE2">
        <w:trPr>
          <w:trHeight w:val="1443"/>
        </w:trPr>
        <w:tc>
          <w:tcPr>
            <w:tcW w:w="1679" w:type="dxa"/>
          </w:tcPr>
          <w:p w14:paraId="583E9CAE" w14:textId="3313E73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 (2004)</w:t>
            </w:r>
          </w:p>
        </w:tc>
        <w:tc>
          <w:tcPr>
            <w:tcW w:w="6254" w:type="dxa"/>
          </w:tcPr>
          <w:p w14:paraId="750DA470" w14:textId="28B98D97" w:rsidR="005761EC" w:rsidRPr="00F31AE2" w:rsidRDefault="005761EC" w:rsidP="00235238">
            <w:pPr>
              <w:spacing w:line="276" w:lineRule="auto"/>
              <w:rPr>
                <w:rFonts w:ascii="Lucida Sans Unicode" w:hAnsi="Lucida Sans Unicode" w:cs="Lucida Sans Unicode"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“When people have the opportunity to separate their actions online from their in-person lifestyle and identity, they feel less vulnerable about self-disclosing and acting out. [...] The online self becomes a compart-mentalized self.”</w:t>
            </w:r>
          </w:p>
        </w:tc>
        <w:tc>
          <w:tcPr>
            <w:tcW w:w="3828" w:type="dxa"/>
          </w:tcPr>
          <w:p w14:paraId="276A45BD" w14:textId="1411986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Dissociative Anonymity </w:t>
            </w:r>
          </w:p>
        </w:tc>
        <w:tc>
          <w:tcPr>
            <w:tcW w:w="1559" w:type="dxa"/>
          </w:tcPr>
          <w:p w14:paraId="33023076" w14:textId="5AEAED3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DisAn</w:t>
            </w:r>
          </w:p>
        </w:tc>
        <w:tc>
          <w:tcPr>
            <w:tcW w:w="722" w:type="dxa"/>
          </w:tcPr>
          <w:p w14:paraId="78A25D65" w14:textId="12EC07B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</w:t>
            </w:r>
          </w:p>
        </w:tc>
      </w:tr>
      <w:tr w:rsidR="005761EC" w:rsidRPr="00BB45DB" w14:paraId="420CE793" w14:textId="77777777" w:rsidTr="00F31AE2">
        <w:trPr>
          <w:trHeight w:val="1109"/>
        </w:trPr>
        <w:tc>
          <w:tcPr>
            <w:tcW w:w="1679" w:type="dxa"/>
          </w:tcPr>
          <w:p w14:paraId="00EEFD70" w14:textId="0D8143D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6B7D4FCE" w14:textId="749B1A3F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“[…] for the most part others only know what a person tells them. If so desired, people can hide some or all of their identity. They also can alter their identities.”</w:t>
            </w:r>
          </w:p>
        </w:tc>
        <w:tc>
          <w:tcPr>
            <w:tcW w:w="3828" w:type="dxa"/>
          </w:tcPr>
          <w:p w14:paraId="416B92CA" w14:textId="4F62AD28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Anonymity</w:t>
            </w:r>
          </w:p>
        </w:tc>
        <w:tc>
          <w:tcPr>
            <w:tcW w:w="1559" w:type="dxa"/>
          </w:tcPr>
          <w:p w14:paraId="56EB2579" w14:textId="7191696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AN</w:t>
            </w:r>
          </w:p>
        </w:tc>
        <w:tc>
          <w:tcPr>
            <w:tcW w:w="722" w:type="dxa"/>
          </w:tcPr>
          <w:p w14:paraId="06AD5119" w14:textId="06B902D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A1</w:t>
            </w:r>
          </w:p>
        </w:tc>
      </w:tr>
      <w:tr w:rsidR="005761EC" w:rsidRPr="00BB45DB" w14:paraId="529316E4" w14:textId="77777777" w:rsidTr="00AC6674">
        <w:trPr>
          <w:trHeight w:val="393"/>
        </w:trPr>
        <w:tc>
          <w:tcPr>
            <w:tcW w:w="1679" w:type="dxa"/>
          </w:tcPr>
          <w:p w14:paraId="1F2C112D" w14:textId="1D9B1D7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789B9F58" w14:textId="6ECCA92E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“The online self becomes a compartmentalized self.”</w:t>
            </w:r>
          </w:p>
        </w:tc>
        <w:tc>
          <w:tcPr>
            <w:tcW w:w="3828" w:type="dxa"/>
          </w:tcPr>
          <w:p w14:paraId="053CF56C" w14:textId="3B43FB4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Identity Compartmentalization</w:t>
            </w:r>
          </w:p>
        </w:tc>
        <w:tc>
          <w:tcPr>
            <w:tcW w:w="1559" w:type="dxa"/>
          </w:tcPr>
          <w:p w14:paraId="0E9FECDB" w14:textId="388F3909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IC</w:t>
            </w:r>
          </w:p>
        </w:tc>
        <w:tc>
          <w:tcPr>
            <w:tcW w:w="722" w:type="dxa"/>
          </w:tcPr>
          <w:p w14:paraId="5CD42B6F" w14:textId="37F264B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A2</w:t>
            </w:r>
          </w:p>
        </w:tc>
      </w:tr>
      <w:tr w:rsidR="005761EC" w:rsidRPr="00BB45DB" w14:paraId="6858B167" w14:textId="77777777" w:rsidTr="00F31AE2">
        <w:trPr>
          <w:trHeight w:val="719"/>
        </w:trPr>
        <w:tc>
          <w:tcPr>
            <w:tcW w:w="1679" w:type="dxa"/>
          </w:tcPr>
          <w:p w14:paraId="659B7FA1" w14:textId="113A179E" w:rsidR="00070F0D" w:rsidRPr="00BB45DB" w:rsidRDefault="005761EC" w:rsidP="00070F0D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  <w:p w14:paraId="1DE5DD3D" w14:textId="093E71B7" w:rsidR="00070F0D" w:rsidRPr="00BB45DB" w:rsidRDefault="00070F0D" w:rsidP="00070F0D">
            <w:pPr>
              <w:jc w:val="center"/>
              <w:rPr>
                <w:rFonts w:ascii="Lucida Sans Unicode" w:hAnsi="Lucida Sans Unicode" w:cs="Lucida Sans Unicode"/>
                <w:sz w:val="22"/>
                <w:szCs w:val="22"/>
              </w:rPr>
            </w:pPr>
          </w:p>
        </w:tc>
        <w:tc>
          <w:tcPr>
            <w:tcW w:w="6254" w:type="dxa"/>
          </w:tcPr>
          <w:p w14:paraId="16651F71" w14:textId="1DA70705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“In the case of expressed hostilities or other deviant actions, the person can avert responsibility for those behaviors</w:t>
            </w:r>
            <w:r w:rsidR="00070F0D"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”</w:t>
            </w:r>
          </w:p>
        </w:tc>
        <w:tc>
          <w:tcPr>
            <w:tcW w:w="3828" w:type="dxa"/>
          </w:tcPr>
          <w:p w14:paraId="4073E0F5" w14:textId="297DE79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Felt Responsibility</w:t>
            </w:r>
          </w:p>
        </w:tc>
        <w:tc>
          <w:tcPr>
            <w:tcW w:w="1559" w:type="dxa"/>
          </w:tcPr>
          <w:p w14:paraId="3889E59B" w14:textId="4E72BF5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FR</w:t>
            </w:r>
          </w:p>
        </w:tc>
        <w:tc>
          <w:tcPr>
            <w:tcW w:w="722" w:type="dxa"/>
          </w:tcPr>
          <w:p w14:paraId="5CD812DE" w14:textId="4C837E8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A3</w:t>
            </w:r>
          </w:p>
        </w:tc>
      </w:tr>
      <w:tr w:rsidR="005761EC" w:rsidRPr="00BB45DB" w14:paraId="10C4B13D" w14:textId="77777777" w:rsidTr="00F72D42">
        <w:trPr>
          <w:trHeight w:val="1528"/>
        </w:trPr>
        <w:tc>
          <w:tcPr>
            <w:tcW w:w="1679" w:type="dxa"/>
          </w:tcPr>
          <w:p w14:paraId="70154314" w14:textId="1E0E2285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7ABB4335" w14:textId="5790F93E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“In many online environments, especially those that are text-driven, people cannot see each other. When people visit web sites, message boards, and even some chat rooms, other people may not even know they are present at all”</w:t>
            </w:r>
          </w:p>
        </w:tc>
        <w:tc>
          <w:tcPr>
            <w:tcW w:w="3828" w:type="dxa"/>
          </w:tcPr>
          <w:p w14:paraId="7D0E4C80" w14:textId="115DEF9E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Invisibility </w:t>
            </w:r>
          </w:p>
        </w:tc>
        <w:tc>
          <w:tcPr>
            <w:tcW w:w="1559" w:type="dxa"/>
          </w:tcPr>
          <w:p w14:paraId="2899BB45" w14:textId="081BAC42" w:rsidR="005761EC" w:rsidRPr="00BB45DB" w:rsidRDefault="00F72D42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Inv</w:t>
            </w:r>
          </w:p>
        </w:tc>
        <w:tc>
          <w:tcPr>
            <w:tcW w:w="722" w:type="dxa"/>
          </w:tcPr>
          <w:p w14:paraId="44E14299" w14:textId="262F7FA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</w:t>
            </w:r>
          </w:p>
        </w:tc>
      </w:tr>
      <w:tr w:rsidR="005761EC" w:rsidRPr="00BB45DB" w14:paraId="11E473BE" w14:textId="77777777" w:rsidTr="00AC6674">
        <w:trPr>
          <w:trHeight w:val="145"/>
        </w:trPr>
        <w:tc>
          <w:tcPr>
            <w:tcW w:w="1679" w:type="dxa"/>
          </w:tcPr>
          <w:p w14:paraId="6CFDF482" w14:textId="1AC4BF6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659A04FA" w14:textId="5669EDB9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“Avoiding eye contact and face-to-face visibility disinhibits people. Text communication offers a built-in opportunity to keep one’s eyes averted.”</w:t>
            </w:r>
          </w:p>
        </w:tc>
        <w:tc>
          <w:tcPr>
            <w:tcW w:w="3828" w:type="dxa"/>
          </w:tcPr>
          <w:p w14:paraId="60BDDE48" w14:textId="5200443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Number of Interpersonal Cues</w:t>
            </w:r>
          </w:p>
        </w:tc>
        <w:tc>
          <w:tcPr>
            <w:tcW w:w="1559" w:type="dxa"/>
          </w:tcPr>
          <w:p w14:paraId="6F056CD6" w14:textId="54B1059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NIC</w:t>
            </w:r>
          </w:p>
        </w:tc>
        <w:tc>
          <w:tcPr>
            <w:tcW w:w="722" w:type="dxa"/>
          </w:tcPr>
          <w:p w14:paraId="66C44052" w14:textId="7678115A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B1</w:t>
            </w:r>
          </w:p>
        </w:tc>
      </w:tr>
      <w:tr w:rsidR="005761EC" w:rsidRPr="00BB45DB" w14:paraId="3D450B6C" w14:textId="77777777" w:rsidTr="00AC6674">
        <w:trPr>
          <w:trHeight w:val="145"/>
        </w:trPr>
        <w:tc>
          <w:tcPr>
            <w:tcW w:w="1679" w:type="dxa"/>
          </w:tcPr>
          <w:p w14:paraId="1E8A77E1" w14:textId="726CB1E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4125A504" w14:textId="5926153C" w:rsidR="005761EC" w:rsidRPr="00F31AE2" w:rsidRDefault="005761EC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 xml:space="preserve">“People don’t have to worry about how they look or sound when they type a message. They don’t have to worry about how others look or sound in response to what they say. Seeing a frown, a shaking head, a sigh, a bored expression, </w:t>
            </w: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lastRenderedPageBreak/>
              <w:t>and many other subtle and not so subtle signs of disapproval or indifference can inhibit what people are willing to express.”</w:t>
            </w:r>
          </w:p>
        </w:tc>
        <w:tc>
          <w:tcPr>
            <w:tcW w:w="3828" w:type="dxa"/>
          </w:tcPr>
          <w:p w14:paraId="5C385FB8" w14:textId="1C45B81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lastRenderedPageBreak/>
              <w:t>Concern about Impression on others</w:t>
            </w:r>
          </w:p>
        </w:tc>
        <w:tc>
          <w:tcPr>
            <w:tcW w:w="1559" w:type="dxa"/>
          </w:tcPr>
          <w:p w14:paraId="79BD0ACE" w14:textId="3C30E97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CAI</w:t>
            </w:r>
          </w:p>
        </w:tc>
        <w:tc>
          <w:tcPr>
            <w:tcW w:w="722" w:type="dxa"/>
          </w:tcPr>
          <w:p w14:paraId="1643ACB3" w14:textId="3553ADFA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B2</w:t>
            </w:r>
          </w:p>
        </w:tc>
      </w:tr>
      <w:tr w:rsidR="005761EC" w:rsidRPr="00BB45DB" w14:paraId="4A77CE52" w14:textId="77777777" w:rsidTr="00AC6674">
        <w:trPr>
          <w:trHeight w:val="145"/>
        </w:trPr>
        <w:tc>
          <w:tcPr>
            <w:tcW w:w="1679" w:type="dxa"/>
          </w:tcPr>
          <w:p w14:paraId="12EBEF8F" w14:textId="76874E1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00520A88" w14:textId="73692E3A" w:rsidR="005761EC" w:rsidRPr="00F31AE2" w:rsidRDefault="005761EC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“This invisibility gives people the courage to go places and do things that they otherwise wouldn’t”</w:t>
            </w:r>
          </w:p>
        </w:tc>
        <w:tc>
          <w:tcPr>
            <w:tcW w:w="3828" w:type="dxa"/>
          </w:tcPr>
          <w:p w14:paraId="666AC51E" w14:textId="45DC79A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Courage to Express Oneself</w:t>
            </w:r>
          </w:p>
        </w:tc>
        <w:tc>
          <w:tcPr>
            <w:tcW w:w="1559" w:type="dxa"/>
          </w:tcPr>
          <w:p w14:paraId="2918F534" w14:textId="619D2FE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CE</w:t>
            </w:r>
          </w:p>
        </w:tc>
        <w:tc>
          <w:tcPr>
            <w:tcW w:w="722" w:type="dxa"/>
          </w:tcPr>
          <w:p w14:paraId="7E34CBB5" w14:textId="61DFDE4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B3</w:t>
            </w:r>
          </w:p>
        </w:tc>
      </w:tr>
      <w:tr w:rsidR="005761EC" w:rsidRPr="00BB45DB" w14:paraId="03B1DD2F" w14:textId="77777777" w:rsidTr="00AC6674">
        <w:trPr>
          <w:trHeight w:val="145"/>
        </w:trPr>
        <w:tc>
          <w:tcPr>
            <w:tcW w:w="1679" w:type="dxa"/>
          </w:tcPr>
          <w:p w14:paraId="7A2892D5" w14:textId="60880A54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Stuart &amp; Scott (2021)</w:t>
            </w:r>
          </w:p>
        </w:tc>
        <w:tc>
          <w:tcPr>
            <w:tcW w:w="6254" w:type="dxa"/>
          </w:tcPr>
          <w:p w14:paraId="01960180" w14:textId="0B953336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“[…] the Measure of Online Disinhibition (MOD), was developed as a comprehensive and valence free instrument for assessing self-perceptions of psychological and behavioral change in the online as compared to the offline environment.”</w:t>
            </w:r>
          </w:p>
        </w:tc>
        <w:tc>
          <w:tcPr>
            <w:tcW w:w="3828" w:type="dxa"/>
          </w:tcPr>
          <w:p w14:paraId="72C4323C" w14:textId="4C253B6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Measure of Online Disinhibition</w:t>
            </w:r>
          </w:p>
        </w:tc>
        <w:tc>
          <w:tcPr>
            <w:tcW w:w="1559" w:type="dxa"/>
          </w:tcPr>
          <w:p w14:paraId="6BC8247A" w14:textId="765EDDF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MOD</w:t>
            </w:r>
          </w:p>
        </w:tc>
        <w:tc>
          <w:tcPr>
            <w:tcW w:w="722" w:type="dxa"/>
          </w:tcPr>
          <w:p w14:paraId="5651302C" w14:textId="7DA2B43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</w:t>
            </w:r>
          </w:p>
        </w:tc>
      </w:tr>
      <w:tr w:rsidR="005761EC" w:rsidRPr="00BB45DB" w14:paraId="4E0A2369" w14:textId="77777777" w:rsidTr="00AC6674">
        <w:trPr>
          <w:trHeight w:val="145"/>
        </w:trPr>
        <w:tc>
          <w:tcPr>
            <w:tcW w:w="1679" w:type="dxa"/>
          </w:tcPr>
          <w:p w14:paraId="5B6C35BA" w14:textId="01EB8C3D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Suler, J. (2004)</w:t>
            </w:r>
          </w:p>
        </w:tc>
        <w:tc>
          <w:tcPr>
            <w:tcW w:w="6254" w:type="dxa"/>
          </w:tcPr>
          <w:p w14:paraId="61561322" w14:textId="5291563C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“people say and do things in cyberspace that they wouldn’t ordinarily say and do in the face-to-face world. They loosen up, feel less restrained, and express themselves more openly.”</w:t>
            </w:r>
          </w:p>
        </w:tc>
        <w:tc>
          <w:tcPr>
            <w:tcW w:w="3828" w:type="dxa"/>
          </w:tcPr>
          <w:p w14:paraId="3E28F524" w14:textId="73C8D16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State Disinhibition</w:t>
            </w:r>
          </w:p>
        </w:tc>
        <w:tc>
          <w:tcPr>
            <w:tcW w:w="1559" w:type="dxa"/>
          </w:tcPr>
          <w:p w14:paraId="44512E3C" w14:textId="4FC4C7F5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StateDis</w:t>
            </w:r>
          </w:p>
        </w:tc>
        <w:tc>
          <w:tcPr>
            <w:tcW w:w="722" w:type="dxa"/>
          </w:tcPr>
          <w:p w14:paraId="143B9D31" w14:textId="05F8C67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D</w:t>
            </w:r>
          </w:p>
        </w:tc>
      </w:tr>
      <w:tr w:rsidR="005761EC" w:rsidRPr="00BB45DB" w14:paraId="62C04A8C" w14:textId="77777777" w:rsidTr="00AC6674">
        <w:trPr>
          <w:trHeight w:val="384"/>
        </w:trPr>
        <w:tc>
          <w:tcPr>
            <w:tcW w:w="1679" w:type="dxa"/>
          </w:tcPr>
          <w:p w14:paraId="2087E9F0" w14:textId="55999476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Lapidot-Lefler &amp; Barak (2015)</w:t>
            </w:r>
          </w:p>
        </w:tc>
        <w:tc>
          <w:tcPr>
            <w:tcW w:w="6254" w:type="dxa"/>
          </w:tcPr>
          <w:p w14:paraId="19266D0A" w14:textId="739DB75E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“A prominent example of personal ramifications of benign online disinhibition is self-disclosure, defined as revealing personal information to others.”</w:t>
            </w:r>
          </w:p>
        </w:tc>
        <w:tc>
          <w:tcPr>
            <w:tcW w:w="3828" w:type="dxa"/>
          </w:tcPr>
          <w:p w14:paraId="7231CBBB" w14:textId="6E66A32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Self-Disclosure</w:t>
            </w:r>
          </w:p>
        </w:tc>
        <w:tc>
          <w:tcPr>
            <w:tcW w:w="1559" w:type="dxa"/>
          </w:tcPr>
          <w:p w14:paraId="7B61C07D" w14:textId="5CB5A79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SelfDis</w:t>
            </w:r>
          </w:p>
        </w:tc>
        <w:tc>
          <w:tcPr>
            <w:tcW w:w="722" w:type="dxa"/>
          </w:tcPr>
          <w:p w14:paraId="73356713" w14:textId="33E1678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E</w:t>
            </w:r>
          </w:p>
        </w:tc>
      </w:tr>
    </w:tbl>
    <w:p w14:paraId="4ABD7EEE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E46CCCC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sectPr w:rsidR="00EE2574" w:rsidRPr="00BB45DB" w:rsidSect="00E27D19">
      <w:pgSz w:w="16838" w:h="11906" w:orient="landscape"/>
      <w:pgMar w:top="1418" w:right="1418" w:bottom="1418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elie Schlieben" w:date="2026-03-15T19:20:00Z" w:initials="AS">
    <w:p w14:paraId="1FA1DE2F" w14:textId="77777777" w:rsidR="00620645" w:rsidRDefault="00620645" w:rsidP="00620645">
      <w:r>
        <w:rPr>
          <w:rStyle w:val="Kommentarzeichen"/>
        </w:rPr>
        <w:annotationRef/>
      </w:r>
      <w:r>
        <w:rPr>
          <w:sz w:val="20"/>
          <w:szCs w:val="20"/>
        </w:rPr>
        <w:t>noch einen Satz zur Erklärung?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A1DE2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81698B" w16cex:dateUtc="2026-03-15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A1DE2F" w16cid:durableId="1281698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0D743" w14:textId="77777777" w:rsidR="000D7659" w:rsidRDefault="000D7659" w:rsidP="00153F99">
      <w:pPr>
        <w:spacing w:after="0" w:line="240" w:lineRule="auto"/>
      </w:pPr>
      <w:r>
        <w:separator/>
      </w:r>
    </w:p>
  </w:endnote>
  <w:endnote w:type="continuationSeparator" w:id="0">
    <w:p w14:paraId="07B99055" w14:textId="77777777" w:rsidR="000D7659" w:rsidRDefault="000D7659" w:rsidP="00153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CDA81" w14:textId="77777777" w:rsidR="000D7659" w:rsidRDefault="000D7659" w:rsidP="00153F99">
      <w:pPr>
        <w:spacing w:after="0" w:line="240" w:lineRule="auto"/>
      </w:pPr>
      <w:r>
        <w:separator/>
      </w:r>
    </w:p>
  </w:footnote>
  <w:footnote w:type="continuationSeparator" w:id="0">
    <w:p w14:paraId="5B5FC1B6" w14:textId="77777777" w:rsidR="000D7659" w:rsidRDefault="000D7659" w:rsidP="00153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450428988"/>
      <w:docPartObj>
        <w:docPartGallery w:val="Page Numbers (Top of Page)"/>
        <w:docPartUnique/>
      </w:docPartObj>
    </w:sdtPr>
    <w:sdtContent>
      <w:p w14:paraId="74BF8C64" w14:textId="216F6DDE" w:rsidR="00153F99" w:rsidRDefault="00153F99" w:rsidP="000C3CA8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1AC0E28A" w14:textId="77777777" w:rsidR="00153F99" w:rsidRDefault="00153F99" w:rsidP="00153F99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066381193"/>
      <w:docPartObj>
        <w:docPartGallery w:val="Page Numbers (Top of Page)"/>
        <w:docPartUnique/>
      </w:docPartObj>
    </w:sdtPr>
    <w:sdtContent>
      <w:p w14:paraId="16FF5D89" w14:textId="46C563EF" w:rsidR="00153F99" w:rsidRDefault="00153F99" w:rsidP="000C3CA8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1</w:t>
        </w:r>
        <w:r>
          <w:rPr>
            <w:rStyle w:val="Seitenzahl"/>
          </w:rPr>
          <w:fldChar w:fldCharType="end"/>
        </w:r>
      </w:p>
    </w:sdtContent>
  </w:sdt>
  <w:p w14:paraId="549298DE" w14:textId="119B3876" w:rsidR="00153F99" w:rsidRPr="002F1F3F" w:rsidRDefault="00153F99" w:rsidP="00153F99">
    <w:pPr>
      <w:pStyle w:val="Kopfzeile"/>
      <w:ind w:right="360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24725"/>
    <w:multiLevelType w:val="multilevel"/>
    <w:tmpl w:val="62FC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002ED7"/>
    <w:multiLevelType w:val="multilevel"/>
    <w:tmpl w:val="72E0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594019">
    <w:abstractNumId w:val="0"/>
  </w:num>
  <w:num w:numId="2" w16cid:durableId="16926123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elie Schlieben">
    <w15:presenceInfo w15:providerId="Windows Live" w15:userId="9b675916ab0e17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F99"/>
    <w:rsid w:val="000271AF"/>
    <w:rsid w:val="000472C5"/>
    <w:rsid w:val="00053C15"/>
    <w:rsid w:val="00054EFF"/>
    <w:rsid w:val="0005587D"/>
    <w:rsid w:val="00070F0D"/>
    <w:rsid w:val="00090AB7"/>
    <w:rsid w:val="000B6463"/>
    <w:rsid w:val="000D1006"/>
    <w:rsid w:val="000D7659"/>
    <w:rsid w:val="000D7DA6"/>
    <w:rsid w:val="00115BD8"/>
    <w:rsid w:val="00116062"/>
    <w:rsid w:val="00144769"/>
    <w:rsid w:val="00153F99"/>
    <w:rsid w:val="00185FBC"/>
    <w:rsid w:val="002062F2"/>
    <w:rsid w:val="00235238"/>
    <w:rsid w:val="002B3510"/>
    <w:rsid w:val="002C00F3"/>
    <w:rsid w:val="002E6403"/>
    <w:rsid w:val="002F1F3F"/>
    <w:rsid w:val="0030564A"/>
    <w:rsid w:val="003318DB"/>
    <w:rsid w:val="00355608"/>
    <w:rsid w:val="00411748"/>
    <w:rsid w:val="00437C72"/>
    <w:rsid w:val="00465B65"/>
    <w:rsid w:val="00485057"/>
    <w:rsid w:val="004858AC"/>
    <w:rsid w:val="004A2033"/>
    <w:rsid w:val="004B0075"/>
    <w:rsid w:val="004C4321"/>
    <w:rsid w:val="004D103B"/>
    <w:rsid w:val="0051090B"/>
    <w:rsid w:val="005623D3"/>
    <w:rsid w:val="005761EC"/>
    <w:rsid w:val="005B09AC"/>
    <w:rsid w:val="005E0160"/>
    <w:rsid w:val="00620645"/>
    <w:rsid w:val="00655E40"/>
    <w:rsid w:val="00676D74"/>
    <w:rsid w:val="006B30C3"/>
    <w:rsid w:val="006C7D58"/>
    <w:rsid w:val="006F1FF3"/>
    <w:rsid w:val="00710EDB"/>
    <w:rsid w:val="007337F1"/>
    <w:rsid w:val="00740130"/>
    <w:rsid w:val="007706D0"/>
    <w:rsid w:val="007759AF"/>
    <w:rsid w:val="00792997"/>
    <w:rsid w:val="007A0235"/>
    <w:rsid w:val="007A298A"/>
    <w:rsid w:val="007A32C6"/>
    <w:rsid w:val="007C2BD6"/>
    <w:rsid w:val="007E1225"/>
    <w:rsid w:val="007E62F6"/>
    <w:rsid w:val="00800AA2"/>
    <w:rsid w:val="008172D8"/>
    <w:rsid w:val="00831D01"/>
    <w:rsid w:val="00856E96"/>
    <w:rsid w:val="00881B5A"/>
    <w:rsid w:val="00897D73"/>
    <w:rsid w:val="008A3204"/>
    <w:rsid w:val="008A5DE6"/>
    <w:rsid w:val="008B4A93"/>
    <w:rsid w:val="008E7F14"/>
    <w:rsid w:val="008F5012"/>
    <w:rsid w:val="00925A81"/>
    <w:rsid w:val="009440FE"/>
    <w:rsid w:val="009515F7"/>
    <w:rsid w:val="00960232"/>
    <w:rsid w:val="0097050D"/>
    <w:rsid w:val="00970526"/>
    <w:rsid w:val="00981BA3"/>
    <w:rsid w:val="009F21F5"/>
    <w:rsid w:val="00A7441E"/>
    <w:rsid w:val="00A85C5C"/>
    <w:rsid w:val="00A87BC0"/>
    <w:rsid w:val="00AC6674"/>
    <w:rsid w:val="00AF3E4A"/>
    <w:rsid w:val="00B077EF"/>
    <w:rsid w:val="00B30F86"/>
    <w:rsid w:val="00B3131B"/>
    <w:rsid w:val="00B5093C"/>
    <w:rsid w:val="00B749B1"/>
    <w:rsid w:val="00B961AD"/>
    <w:rsid w:val="00BB45DB"/>
    <w:rsid w:val="00BF7879"/>
    <w:rsid w:val="00C32F4D"/>
    <w:rsid w:val="00C72C5A"/>
    <w:rsid w:val="00CB7287"/>
    <w:rsid w:val="00D127DE"/>
    <w:rsid w:val="00D15CCE"/>
    <w:rsid w:val="00D3663A"/>
    <w:rsid w:val="00D41760"/>
    <w:rsid w:val="00D44437"/>
    <w:rsid w:val="00D45CCC"/>
    <w:rsid w:val="00D7681C"/>
    <w:rsid w:val="00D8056C"/>
    <w:rsid w:val="00DA2090"/>
    <w:rsid w:val="00DB73F3"/>
    <w:rsid w:val="00DD4879"/>
    <w:rsid w:val="00DE5BF3"/>
    <w:rsid w:val="00DF6AB3"/>
    <w:rsid w:val="00E27D19"/>
    <w:rsid w:val="00E36F1E"/>
    <w:rsid w:val="00E40649"/>
    <w:rsid w:val="00E51E29"/>
    <w:rsid w:val="00E54B9D"/>
    <w:rsid w:val="00E66DD4"/>
    <w:rsid w:val="00E933D5"/>
    <w:rsid w:val="00ED2768"/>
    <w:rsid w:val="00EE2574"/>
    <w:rsid w:val="00EE5038"/>
    <w:rsid w:val="00F0048F"/>
    <w:rsid w:val="00F31AE2"/>
    <w:rsid w:val="00F61684"/>
    <w:rsid w:val="00F662E5"/>
    <w:rsid w:val="00F67651"/>
    <w:rsid w:val="00F67C35"/>
    <w:rsid w:val="00F72D42"/>
    <w:rsid w:val="00F763D5"/>
    <w:rsid w:val="00F93F7A"/>
    <w:rsid w:val="00FD464C"/>
    <w:rsid w:val="00FF1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D6421"/>
  <w15:chartTrackingRefBased/>
  <w15:docId w15:val="{9B0F69D6-6DDD-014D-BE78-06158CA2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noProof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53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53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53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53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53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53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53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53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53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53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53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53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53F9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53F9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53F9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53F9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53F9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53F9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53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53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53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53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53F9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53F9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53F9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53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53F9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53F9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53F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53F99"/>
  </w:style>
  <w:style w:type="character" w:styleId="Seitenzahl">
    <w:name w:val="page number"/>
    <w:basedOn w:val="Absatz-Standardschriftart"/>
    <w:uiPriority w:val="99"/>
    <w:semiHidden/>
    <w:unhideWhenUsed/>
    <w:rsid w:val="00153F99"/>
  </w:style>
  <w:style w:type="paragraph" w:styleId="StandardWeb">
    <w:name w:val="Normal (Web)"/>
    <w:basedOn w:val="Standard"/>
    <w:uiPriority w:val="99"/>
    <w:semiHidden/>
    <w:unhideWhenUsed/>
    <w:rsid w:val="00E27D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E27D19"/>
    <w:rPr>
      <w:b/>
      <w:bCs/>
    </w:rPr>
  </w:style>
  <w:style w:type="character" w:styleId="Hervorhebung">
    <w:name w:val="Emphasis"/>
    <w:basedOn w:val="Absatz-Standardschriftart"/>
    <w:uiPriority w:val="20"/>
    <w:qFormat/>
    <w:rsid w:val="00E27D19"/>
    <w:rPr>
      <w:i/>
      <w:iCs/>
    </w:rPr>
  </w:style>
  <w:style w:type="table" w:styleId="Tabellenraster">
    <w:name w:val="Table Grid"/>
    <w:basedOn w:val="NormaleTabelle"/>
    <w:uiPriority w:val="39"/>
    <w:rsid w:val="00E27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ion-enable-hover">
    <w:name w:val="notion-enable-hover"/>
    <w:basedOn w:val="Absatz-Standardschriftart"/>
    <w:rsid w:val="00E27D19"/>
  </w:style>
  <w:style w:type="character" w:styleId="Kommentarzeichen">
    <w:name w:val="annotation reference"/>
    <w:basedOn w:val="Absatz-Standardschriftart"/>
    <w:uiPriority w:val="99"/>
    <w:semiHidden/>
    <w:unhideWhenUsed/>
    <w:rsid w:val="009440F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9440FE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9440FE"/>
    <w:rPr>
      <w:noProof/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440F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440FE"/>
    <w:rPr>
      <w:b/>
      <w:bCs/>
      <w:noProof/>
      <w:sz w:val="20"/>
      <w:szCs w:val="20"/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2F1F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1F3F"/>
    <w:rPr>
      <w:noProof/>
      <w:lang w:val="en-US"/>
    </w:rPr>
  </w:style>
  <w:style w:type="character" w:styleId="Hyperlink">
    <w:name w:val="Hyperlink"/>
    <w:basedOn w:val="Absatz-Standardschriftart"/>
    <w:uiPriority w:val="99"/>
    <w:unhideWhenUsed/>
    <w:rsid w:val="002062F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062F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bsatz-Standardschriftart"/>
    <w:rsid w:val="00F31AE2"/>
  </w:style>
  <w:style w:type="character" w:styleId="Platzhaltertext">
    <w:name w:val="Placeholder Text"/>
    <w:basedOn w:val="Absatz-Standardschriftart"/>
    <w:uiPriority w:val="99"/>
    <w:semiHidden/>
    <w:rsid w:val="00CB728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chlieben.Am@campus.lmu.de" TargetMode="Externa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microsoft.com/office/2011/relationships/commentsExtended" Target="commentsExtended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479AC1-92DF-8F44-9CB0-9C94EFA43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2266</Words>
  <Characters>14166</Characters>
  <Application>Microsoft Office Word</Application>
  <DocSecurity>0</DocSecurity>
  <Lines>404</Lines>
  <Paragraphs>238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Amelie Schlieben</dc:creator>
  <cp:keywords/>
  <dc:description/>
  <cp:lastModifiedBy>Amelie Schlieben</cp:lastModifiedBy>
  <cp:revision>54</cp:revision>
  <dcterms:created xsi:type="dcterms:W3CDTF">2026-03-08T14:31:00Z</dcterms:created>
  <dcterms:modified xsi:type="dcterms:W3CDTF">2026-03-15T18:22:00Z</dcterms:modified>
</cp:coreProperties>
</file>