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1. DESCRIPCIÓN Y ENTORNO DEL POLITÉCNICO GRANCOLOMBIANO:</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es una institución privada de educación superior en Colombia que ofrece programas de pregrado y posgrado en modalidad presencial y virtual, siendo destacada como pionera nacional de esta última.</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Su oferta académica incluye programas en cuatro áreas del conocimiento, así como cursos de educación continuada y educación no formal. Actualmente cuenta con el Sello se Acreditación de Alta Calidad para los programas profesionales de Medios Audiovisuales e Ingeniería Industrial.</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La Institución cuenta con dos sedes presenciales en las ciudades de Bogotá y Medellín y más de 100 Centros de Servicio Universitario en las 5 regiones de Colombia.</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Desde hace varios años, 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es miembro de </w:t>
      </w:r>
      <w:proofErr w:type="spellStart"/>
      <w:r>
        <w:rPr>
          <w:rFonts w:ascii="Liberation Serif" w:eastAsia="Liberation Serif" w:hAnsi="Liberation Serif" w:cs="Liberation Serif"/>
        </w:rPr>
        <w:t>Ilumno</w:t>
      </w:r>
      <w:proofErr w:type="spellEnd"/>
      <w:r>
        <w:rPr>
          <w:rFonts w:ascii="Liberation Serif" w:eastAsia="Liberation Serif" w:hAnsi="Liberation Serif" w:cs="Liberation Serif"/>
        </w:rPr>
        <w:t>, el Sistema Universitario de las Américas, conformado por trece universidades en Argentina, Brasil, Chile, Colombia, Costa Rica, México, Panamá y Paraguay.</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La Institución Universitaria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es desde 1980 una reconocida Institución Universitaria que en su primera etapa se especializó en la formación los oficios de los sectores bancario, asegurador y financiero, y con el desarrollo de prácticas empresariales que se han mantenido hasta la actualidad ofreciendo programas de formación Técnica y Tecnológica, a partir de 1987 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inició un proceso de extensión de los programas existentes. Para ello inicialmente constituyó los programas de Especialización Tecnológica en Banca Internacional, Administración de Riesgos, Finanzas Internacionales, Auditoría de Sistemas y Teleinformática, actualmente ofrece carreras en los niveles técnico, tecnológico, profesional y posgrados a nivel presencial y virtual con casi 600 tutores y más de 15.000 alumnos.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En Bogotá el </w:t>
      </w:r>
      <w:proofErr w:type="spellStart"/>
      <w:r>
        <w:rPr>
          <w:rFonts w:ascii="Liberation Serif" w:eastAsia="Liberation Serif" w:hAnsi="Liberation Serif" w:cs="Liberation Serif"/>
        </w:rPr>
        <w:t>Poligran</w:t>
      </w:r>
      <w:proofErr w:type="spellEnd"/>
      <w:r>
        <w:rPr>
          <w:rFonts w:ascii="Liberation Serif" w:eastAsia="Liberation Serif" w:hAnsi="Liberation Serif" w:cs="Liberation Serif"/>
        </w:rPr>
        <w:t xml:space="preserve"> cuenta con un campus Universitario en Bogotá y en el mes de agosto de 2013 dio apertura a su nueva sede en Medellín y cuenta con 90 Centros de Servicio Universitario (CSU) a nivel nacional que permiten apoyar la gestión de la formación virtual.</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Actualmente, 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es una Universidad altamente reconocida en Colombia, especialmente por sus egresados en las carreras de Mercadeo y Publicidad, Medios Audiovisuales, Comunicación, Ingenierías y Administración de Empresas con énfasis en Finanzas.</w:t>
      </w: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1.1. Facultades: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En la actualidad, 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cuenta con cuatro facultades, encargadas de coordinar los programas pertenecientes a cada rama del conocimiento en los niveles técnico, tecnológico, profesional y posgrado.</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Facultad de Ciencias Administrativas, Económicas y Contables </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Facultad de Ingeniería y Ciencias Básicas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Facultad de Mercadeo, Comunicación y Artes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Facultad de Ciencias Sociales </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1.2. Misión:</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tiene como fin contribuir a la inclusión social y al desarrollo de la nación, principalmente a través de la oferta de programas en toda la cadena de formación que se distingan por su calidad y pertinencia; promoviendo complementariamente el desarrollo de proyectos de extensión e investigación aplicada, fundamentados en los valores institucionales y soportados en el uso de las TIC, con el firme propósito de buscar la excelencia académica.</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1.3. Visión:</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Para el 2021, 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será reconocido en el ámbito nacional e internacional como una Institución de Educación Superior innovadora, global y socialmente responsable, que brinda más y mejores alternativas educativas, por su compromiso con la calidad, la pertinencia, el éxito profesional de sus egresados y el desarrollo de proyectos con impacto en el sector social y empresarial.</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2. ANÁLISIS DEL ENTORNO EMPRESARIAL Y CONTEXTO EMPRESARIAL:</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es una empresa enmarcada en el ámbito académico; busca que los estudiantes que ingresan a las diferentes carreras posean un nivel competitivo aportando así a la educación del país y del mundo. Es por ello importante para esta institución que sus servicios ofrecidos cuenten con una alta calidad y que brinden con materiales e información idónea para los estudiantes desarrollen una buena formación profesional  a lo largo de  su carrera y de su vida.</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El objetivo de la institución universitaria es la prestación de servicios en todos los campos de acción de la educación superior.</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En el desarrollo de su objetivo, la universidad busca:</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1.1. Adelantar todas las actividades académicas, investigativas, de extensión o de servicios conducentes a su objetivo.</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1.2. Celebrar convenios interdisciplinares para lograr una óptima utilización de los recursos.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1.3. Celebrar convenios interdisciplinares con otras universidades en el mundo.</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1.4. Constituir alianzas internacionales para los retos de internacionalización y ampliar posibilidades de acceso de educación superior.</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1.5. </w:t>
      </w:r>
      <w:proofErr w:type="gramStart"/>
      <w:r>
        <w:rPr>
          <w:rFonts w:ascii="Liberation Serif" w:eastAsia="Liberation Serif" w:hAnsi="Liberation Serif" w:cs="Liberation Serif"/>
        </w:rPr>
        <w:t>que</w:t>
      </w:r>
      <w:proofErr w:type="gramEnd"/>
      <w:r>
        <w:rPr>
          <w:rFonts w:ascii="Liberation Serif" w:eastAsia="Liberation Serif" w:hAnsi="Liberation Serif" w:cs="Liberation Serif"/>
        </w:rPr>
        <w:t xml:space="preserve"> el modelo de educación virtual, junto con la educación presencial de la Institución Universitaria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permite la ampliación de la cobertura y la calidad de la educación superior, trabajando con criterios de equidad para que el estudiante, independientemente de su lugar de residencia o de su nivel de ingreso, tenga la oportunidad de acceder a la educación superior sin tener que salir de su ciudad o región.</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1.6. Conformar alianzas como con Red </w:t>
      </w:r>
      <w:proofErr w:type="spellStart"/>
      <w:r>
        <w:rPr>
          <w:rFonts w:ascii="Liberation Serif" w:eastAsia="Liberation Serif" w:hAnsi="Liberation Serif" w:cs="Liberation Serif"/>
        </w:rPr>
        <w:t>Ilumno</w:t>
      </w:r>
      <w:proofErr w:type="spellEnd"/>
      <w:r>
        <w:rPr>
          <w:rFonts w:ascii="Liberation Serif" w:eastAsia="Liberation Serif" w:hAnsi="Liberation Serif" w:cs="Liberation Serif"/>
        </w:rPr>
        <w:t>, Sistema Universitario de las Américas, conformada por universidades de diferentes países de América Latina. Esta red tiene como objetivo aportar a la transformación de la educación superior, brindando mayor acceso a la formación universitaria de alta calidad.</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2. Presentación del proyecto:</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El proyecto que se va a desarrollar teniendo en cuenta los siguientes </w:t>
      </w:r>
      <w:proofErr w:type="spellStart"/>
      <w:r>
        <w:rPr>
          <w:rFonts w:ascii="Liberation Serif" w:eastAsia="Liberation Serif" w:hAnsi="Liberation Serif" w:cs="Liberation Serif"/>
        </w:rPr>
        <w:t>items</w:t>
      </w:r>
      <w:proofErr w:type="spellEnd"/>
      <w:r>
        <w:rPr>
          <w:rFonts w:ascii="Liberation Serif" w:eastAsia="Liberation Serif" w:hAnsi="Liberation Serif" w:cs="Liberation Serif"/>
        </w:rPr>
        <w:t>:</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2.1. Problema:</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 xml:space="preserve">Los servicios de la universidad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no son conocidos por toda la comunidad  educativa en su totalidad por lo cual no son aprovechados en un 100%, es por ello </w:t>
      </w:r>
      <w:r>
        <w:rPr>
          <w:rFonts w:ascii="Liberation Serif" w:eastAsia="Liberation Serif" w:hAnsi="Liberation Serif" w:cs="Liberation Serif"/>
        </w:rPr>
        <w:lastRenderedPageBreak/>
        <w:t xml:space="preserve">necesario promocionarlos y enseñarlos a partir de estrategias lúdicas o de juego de forma didáctica y fácil a partir de una aplicación informática que contribuya con este conocimiento. </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2.2. Justificación:</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Se considera necesario desarrollar esta metodología ya que contribuye a la enseñanza, utilización y conocimiento de los usuarios en las plataformas de aprendizaje tanto virtuales como presenciales, cursos y demás usuarios de la universidad.</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2.3. Objetivos: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2.3.1. Diseñar e implementar una estrategia lúdica de forma didáctica y fácil e informática que plantee el desarrollo de un juego o aplicación informática para que la comunidad educativa del politécnico conozcan los servicios de la universidad.</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2.3.2. Diseñar e implementar una estrategia lúdica a manera de juego o aplicación informática de forma didáctica y fácil que sirva para promocionar e incentive a los estudiantes a utilizar los servicios de la universidad.</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 xml:space="preserve">3. Descripción </w:t>
      </w:r>
      <w:proofErr w:type="spellStart"/>
      <w:r>
        <w:rPr>
          <w:rFonts w:ascii="Liberation Serif" w:eastAsia="Liberation Serif" w:hAnsi="Liberation Serif" w:cs="Liberation Serif"/>
          <w:b/>
        </w:rPr>
        <w:t>canvas</w:t>
      </w:r>
      <w:proofErr w:type="spellEnd"/>
      <w:r>
        <w:rPr>
          <w:rFonts w:ascii="Liberation Serif" w:eastAsia="Liberation Serif" w:hAnsi="Liberation Serif" w:cs="Liberation Serif"/>
          <w:b/>
        </w:rPr>
        <w:t>:</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b/>
        </w:rPr>
        <w:t>3.1. Segmentos del mercado:</w:t>
      </w:r>
      <w:r>
        <w:rPr>
          <w:rFonts w:ascii="Liberation Serif" w:eastAsia="Liberation Serif" w:hAnsi="Liberation Serif" w:cs="Liberation Serif"/>
        </w:rPr>
        <w:t xml:space="preserve"> El objetivo principal del politécnico </w:t>
      </w:r>
      <w:proofErr w:type="spellStart"/>
      <w:r>
        <w:rPr>
          <w:rFonts w:ascii="Liberation Serif" w:eastAsia="Liberation Serif" w:hAnsi="Liberation Serif" w:cs="Liberation Serif"/>
        </w:rPr>
        <w:t>Grancolombiano</w:t>
      </w:r>
      <w:proofErr w:type="spellEnd"/>
      <w:r>
        <w:rPr>
          <w:rFonts w:ascii="Liberation Serif" w:eastAsia="Liberation Serif" w:hAnsi="Liberation Serif" w:cs="Liberation Serif"/>
        </w:rPr>
        <w:t xml:space="preserve"> trabajar en la transformación de la universitaria, dando mayor acceso a educación de calidad, reduciendo la brecha digital existente entre los distintos miembros de la comunidad educativa que utilizan los servicios en general.</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b/>
        </w:rPr>
        <w:t>3.2. Propuesta de valor:</w:t>
      </w:r>
      <w:r>
        <w:rPr>
          <w:rFonts w:ascii="Liberation Serif" w:eastAsia="Liberation Serif" w:hAnsi="Liberation Serif" w:cs="Liberation Serif"/>
        </w:rPr>
        <w:t xml:space="preserve"> Los servicios de la universidad se van a promocionar en forma lúdica, didáctica y fácil a través de una aplicación informática o juego. </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b/>
        </w:rPr>
        <w:t>3.3. Canales:</w:t>
      </w:r>
      <w:r>
        <w:rPr>
          <w:rFonts w:ascii="Liberation Serif" w:eastAsia="Liberation Serif" w:hAnsi="Liberation Serif" w:cs="Liberation Serif"/>
        </w:rPr>
        <w:t xml:space="preserve"> La comunidad educativa podrá aprender de estos servicios de manera virtual o presencial para ello la universidad tiene en sus plataformas diferentes canales de comunicación constantes y portales web.</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b/>
        </w:rPr>
        <w:t>3.4. Relación con clientes:</w:t>
      </w:r>
      <w:r>
        <w:rPr>
          <w:rFonts w:ascii="Liberation Serif" w:eastAsia="Liberation Serif" w:hAnsi="Liberation Serif" w:cs="Liberation Serif"/>
        </w:rPr>
        <w:t xml:space="preserve"> La universidad tiene atención al público, además de ello, cuenta con  asesoramiento de personal que es una actividad a largo plazo y que se establece en relaciones con comunicación continua y personalizada a través de los distintos canales con los que cuenta la universidad.</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b/>
        </w:rPr>
        <w:t>3.5. Fuentes de ingreso:</w:t>
      </w:r>
      <w:r>
        <w:rPr>
          <w:rFonts w:ascii="Liberation Serif" w:eastAsia="Liberation Serif" w:hAnsi="Liberation Serif" w:cs="Liberation Serif"/>
        </w:rPr>
        <w:t xml:space="preserve"> Tener un servicio dinámico y ágil genera fortalecimiento académico de la comunidad educativa y </w:t>
      </w:r>
      <w:proofErr w:type="spellStart"/>
      <w:r>
        <w:rPr>
          <w:rFonts w:ascii="Liberation Serif" w:eastAsia="Liberation Serif" w:hAnsi="Liberation Serif" w:cs="Liberation Serif"/>
        </w:rPr>
        <w:t>y</w:t>
      </w:r>
      <w:proofErr w:type="spellEnd"/>
      <w:r>
        <w:rPr>
          <w:rFonts w:ascii="Liberation Serif" w:eastAsia="Liberation Serif" w:hAnsi="Liberation Serif" w:cs="Liberation Serif"/>
        </w:rPr>
        <w:t xml:space="preserve"> aumenta la cantidad de usuarios que van a utilizar los servicios de la universidad.</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3.6. Recursos clave:</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lastRenderedPageBreak/>
        <w:t>La universidad no solo cuenta con servicios académicos como sistema nacional de bibliotecas SISNAB, consejería académica y apoyos académicos, certificados, gestión ambiental, servicios para graduados o egresados (oferta académica),  alianza sena; sino con servicios de apoyo a la comunidad o de bienestar como consultorías especializadas (consultorio jurídico y psicológico, servicios de infancia y prácticas sociales.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Por otro lado la universidad también cuenta con su planta física para hacer de estos sitios un ambiente seguro y confiable para las actividades curriculares y extracurriculares de los estudiantes.</w:t>
      </w:r>
    </w:p>
    <w:p w:rsidR="00E7231C" w:rsidRDefault="00E7231C" w:rsidP="00E7231C">
      <w:pPr>
        <w:pStyle w:val="normal0"/>
        <w:spacing w:after="0"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b/>
        </w:rPr>
        <w:t>3.7. Actividades clave:</w:t>
      </w:r>
      <w:r>
        <w:rPr>
          <w:rFonts w:ascii="Liberation Serif" w:eastAsia="Liberation Serif" w:hAnsi="Liberation Serif" w:cs="Liberation Serif"/>
        </w:rPr>
        <w:t xml:space="preserve"> Estas actividades están enmarcadas en el óptimo proceso de todos los servicios que se prestan dentro de la universidad además de su difusión, mediante canales que la universidad brinda y que invitan a promover un fácil y ágil desarrollo de estas actividades para así hacer de estas actividades un proceso de aprendizaje para que todo este proceso de enseñanza quede en cada uno de los miembros de la comunidad educativa mediante capacitaciones y talleres en donde tienen que participar activamente con el fin de que conozcan también todos los recursos que tienen a su disposición.</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3.8. Alianzas:</w:t>
      </w:r>
    </w:p>
    <w:p w:rsidR="00E7231C" w:rsidRDefault="00E7231C" w:rsidP="00E7231C">
      <w:pPr>
        <w:pStyle w:val="normal0"/>
        <w:spacing w:after="142" w:line="240" w:lineRule="auto"/>
        <w:jc w:val="both"/>
        <w:rPr>
          <w:rFonts w:ascii="Liberation Serif" w:eastAsia="Liberation Serif" w:hAnsi="Liberation Serif" w:cs="Liberation Serif"/>
        </w:rPr>
      </w:pPr>
      <w:r>
        <w:rPr>
          <w:rFonts w:ascii="Liberation Serif" w:eastAsia="Liberation Serif" w:hAnsi="Liberation Serif" w:cs="Liberation Serif"/>
        </w:rPr>
        <w:t>Los aliados estratégicos posibilitan el desarrollo, intercambio y el compartir los recursos que se encuentran en función a la comunidad educativa, estos aliados y sus recursos permiten la interacción de la comunidad educativa que enriquecen e incluyen mecanismos de conocimiento que permiten el conocimiento más ágil y rápido.</w:t>
      </w:r>
    </w:p>
    <w:p w:rsidR="00E7231C" w:rsidRDefault="00E7231C" w:rsidP="00E7231C">
      <w:pPr>
        <w:pStyle w:val="normal0"/>
        <w:spacing w:after="142" w:line="240" w:lineRule="auto"/>
        <w:jc w:val="both"/>
      </w:pPr>
    </w:p>
    <w:p w:rsidR="00E7231C" w:rsidRDefault="00E7231C" w:rsidP="00E7231C">
      <w:pPr>
        <w:pStyle w:val="normal0"/>
        <w:spacing w:after="142" w:line="240" w:lineRule="auto"/>
        <w:jc w:val="both"/>
        <w:rPr>
          <w:rFonts w:ascii="Liberation Serif" w:eastAsia="Liberation Serif" w:hAnsi="Liberation Serif" w:cs="Liberation Serif"/>
          <w:b/>
        </w:rPr>
      </w:pPr>
      <w:r>
        <w:rPr>
          <w:rFonts w:ascii="Liberation Serif" w:eastAsia="Liberation Serif" w:hAnsi="Liberation Serif" w:cs="Liberation Serif"/>
          <w:b/>
        </w:rPr>
        <w:t>3.9. Estructura de costes:</w:t>
      </w:r>
    </w:p>
    <w:p w:rsidR="00E7231C" w:rsidRDefault="00E7231C" w:rsidP="00E7231C">
      <w:pPr>
        <w:pStyle w:val="normal0"/>
        <w:spacing w:after="142" w:line="240" w:lineRule="auto"/>
        <w:jc w:val="both"/>
      </w:pPr>
      <w:r>
        <w:rPr>
          <w:rFonts w:ascii="Liberation Serif" w:eastAsia="Liberation Serif" w:hAnsi="Liberation Serif" w:cs="Liberation Serif"/>
        </w:rPr>
        <w:t>Los recursos con que se cuentan son planta física de la universidad, instalaciones, computadores, plataformas educativas virtuales y presenciales, etc.; para que la comunidad educativa pueda desarrollar mejor sus habilidades también está el costo del personal, como estudiantes, profesores y administrativos, el personal del aseo, los desarrolladores de los portales web de las plataformas virtuales y presenciales.</w:t>
      </w:r>
    </w:p>
    <w:p w:rsidR="004023DB" w:rsidRPr="00E7231C" w:rsidRDefault="004023DB" w:rsidP="00E7231C"/>
    <w:sectPr w:rsidR="004023DB" w:rsidRPr="00E7231C" w:rsidSect="00D52E45">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0B1A"/>
    <w:rsid w:val="00153495"/>
    <w:rsid w:val="00172C88"/>
    <w:rsid w:val="001C32E7"/>
    <w:rsid w:val="003C209B"/>
    <w:rsid w:val="004023DB"/>
    <w:rsid w:val="004256E9"/>
    <w:rsid w:val="00453FF5"/>
    <w:rsid w:val="008609E1"/>
    <w:rsid w:val="00960B1A"/>
    <w:rsid w:val="009D3C38"/>
    <w:rsid w:val="009F5174"/>
    <w:rsid w:val="009F6FC0"/>
    <w:rsid w:val="00BD4F3E"/>
    <w:rsid w:val="00E01B9C"/>
    <w:rsid w:val="00E04209"/>
    <w:rsid w:val="00E7231C"/>
    <w:rsid w:val="00F853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7231C"/>
    <w:pPr>
      <w:pBdr>
        <w:top w:val="nil"/>
        <w:left w:val="nil"/>
        <w:bottom w:val="nil"/>
        <w:right w:val="nil"/>
        <w:between w:val="nil"/>
      </w:pBdr>
    </w:pPr>
    <w:rPr>
      <w:rFonts w:ascii="Calibri" w:eastAsia="Calibri" w:hAnsi="Calibri" w:cs="Calibri"/>
      <w:color w:val="00000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1546</Words>
  <Characters>8506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amauric</dc:creator>
  <cp:lastModifiedBy>amauric</cp:lastModifiedBy>
  <cp:revision>12</cp:revision>
  <dcterms:created xsi:type="dcterms:W3CDTF">2017-08-13T06:35:00Z</dcterms:created>
  <dcterms:modified xsi:type="dcterms:W3CDTF">2017-08-14T02:23:00Z</dcterms:modified>
</cp:coreProperties>
</file>