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8"/>
        </w:rPr>
        <w:t>Local Knowledge Intelligence Setup and Usage Guide</w:t>
      </w:r>
    </w:p>
    <w:p>
      <w:pPr>
        <w:spacing w:after="280"/>
      </w:pPr>
      <w:r>
        <w:rPr>
          <w:rFonts w:ascii="Calibri" w:hAnsi="Calibri"/>
          <w:color w:val="5C6370"/>
          <w:sz w:val="27"/>
        </w:rPr>
        <w:t>How to configure, run, validate, and use the local RAG agent platform</w:t>
      </w:r>
    </w:p>
    <w:p>
      <w:pPr>
        <w:spacing w:after="40"/>
      </w:pPr>
      <w:r>
        <w:rPr>
          <w:rFonts w:ascii="Calibri" w:hAnsi="Calibri"/>
          <w:b/>
        </w:rPr>
        <w:t xml:space="preserve">Prepared: </w:t>
      </w:r>
      <w:r>
        <w:rPr>
          <w:rFonts w:ascii="Calibri" w:hAnsi="Calibri"/>
        </w:rPr>
        <w:t>June 21, 2026</w:t>
      </w:r>
    </w:p>
    <w:p>
      <w:pPr>
        <w:spacing w:after="40"/>
      </w:pPr>
      <w:r>
        <w:rPr>
          <w:rFonts w:ascii="Calibri" w:hAnsi="Calibri"/>
          <w:b/>
        </w:rPr>
        <w:t xml:space="preserve">Application: </w:t>
      </w:r>
      <w:r>
        <w:rPr>
          <w:rFonts w:ascii="Calibri" w:hAnsi="Calibri"/>
        </w:rPr>
        <w:t>Local Knowledge Intelligence Agent Platform</w:t>
      </w:r>
    </w:p>
    <w:p>
      <w:pPr>
        <w:spacing w:after="40"/>
      </w:pPr>
      <w:r>
        <w:rPr>
          <w:rFonts w:ascii="Calibri" w:hAnsi="Calibri"/>
          <w:b/>
        </w:rPr>
        <w:t xml:space="preserve">Audience: </w:t>
      </w:r>
      <w:r>
        <w:rPr>
          <w:rFonts w:ascii="Calibri" w:hAnsi="Calibri"/>
        </w:rPr>
        <w:t>Developers, reviewers, operators, and demo users</w:t>
      </w:r>
    </w:p>
    <w:p>
      <w:pPr>
        <w:spacing w:after="40"/>
      </w:pPr>
      <w:r>
        <w:rPr>
          <w:rFonts w:ascii="Calibri" w:hAnsi="Calibri"/>
          <w:b/>
        </w:rPr>
        <w:t xml:space="preserve">Scope: </w:t>
      </w:r>
      <w:r>
        <w:rPr>
          <w:rFonts w:ascii="Calibri" w:hAnsi="Calibri"/>
        </w:rPr>
        <w:t>Local setup, Docker runbook, application capabilities, feature walkthrough, API usage, validation, and troubleshooting</w:t>
      </w:r>
    </w:p>
    <w:p>
      <w:pPr>
        <w:pBdr>
          <w:bottom w:val="single" w:sz="8" w:space="6" w:color="9DB5D3"/>
        </w:pBdr>
      </w:pPr>
    </w:p>
    <w:tbl>
      <w:tblPr>
        <w:tblW w:type="dxa" w:w="9360"/>
        <w:jc w:val="left"/>
        <w:tblLayout w:type="fixed"/>
        <w:tblLook w:firstColumn="1" w:firstRow="1" w:lastColumn="0" w:lastRow="0" w:noHBand="0" w:noVBand="1" w:val="04A0"/>
        <w:tblInd w:type="dxa" w:w="120"/>
        <w:tblBorders>
          <w:top w:val="single" w:sz="4" w:space="0" w:color="B8C3D1"/>
          <w:left w:val="single" w:sz="4" w:space="0" w:color="B8C3D1"/>
          <w:bottom w:val="single" w:sz="4" w:space="0" w:color="B8C3D1"/>
          <w:right w:val="single" w:sz="4" w:space="0" w:color="B8C3D1"/>
          <w:insideH w:val="single" w:sz="4" w:space="0" w:color="B8C3D1"/>
          <w:insideV w:val="single" w:sz="4" w:space="0" w:color="B8C3D1"/>
        </w:tblBorders>
      </w:tblPr>
      <w:tblGrid>
        <w:gridCol w:w="9360"/>
      </w:tblGrid>
      <w:tr>
        <w:trPr>
          <w:cantSplit/>
        </w:trPr>
        <w:tc>
          <w:tcPr>
            <w:tcW w:type="dxa" w:w="9360"/>
            <w:tcMar>
              <w:top w:w="120" w:type="dxa"/>
              <w:bottom w:w="120" w:type="dxa"/>
              <w:start w:w="160" w:type="dxa"/>
              <w:end w:w="160" w:type="dxa"/>
            </w:tcMar>
            <w:vAlign w:val="center"/>
            <w:shd w:fill="F4F6F9"/>
          </w:tcPr>
          <w:p>
            <w:pPr>
              <w:spacing w:after="80"/>
            </w:pPr>
            <w:r/>
            <w:r>
              <w:rPr>
                <w:rFonts w:ascii="Calibri" w:hAnsi="Calibri"/>
                <w:b/>
                <w:color w:val="0B2545"/>
                <w:sz w:val="21"/>
              </w:rPr>
              <w:t>Purpose</w:t>
            </w:r>
          </w:p>
          <w:p>
            <w:pPr>
              <w:spacing w:after="0" w:line="288" w:lineRule="auto"/>
            </w:pPr>
            <w:r>
              <w:rPr>
                <w:rFonts w:ascii="Calibri" w:hAnsi="Calibri"/>
                <w:sz w:val="20"/>
              </w:rPr>
              <w:t>This guide explains how to run the full stack locally and how to use the platform after it starts. The app is a local-first AI knowledge system: it stores documents, chunks them, generates OpenAI embeddings, saves vectors in PostgreSQL/pgvector, supports keyword/semantic/hybrid search, and answers questions with citations through a grounded agent.</w:t>
            </w:r>
          </w:p>
        </w:tc>
      </w:tr>
    </w:tbl>
    <w:p>
      <w:pPr>
        <w:spacing w:after="100" w:line="240" w:lineRule="auto"/>
      </w:pPr>
    </w:p>
    <w:p>
      <w:pPr>
        <w:pStyle w:val="Heading1"/>
        <w:spacing w:before="360" w:after="200"/>
      </w:pPr>
      <w:r>
        <w:t>Quick Navigation</w:t>
      </w:r>
    </w:p>
    <w:tbl>
      <w:tblPr>
        <w:tblStyle w:val="TableGrid"/>
        <w:tblW w:type="dxa" w:w="9360"/>
        <w:tblLayout w:type="fixed"/>
        <w:tblLook w:firstColumn="1" w:firstRow="1" w:lastColumn="0" w:lastRow="0" w:noHBand="0" w:noVBand="1" w:val="04A0"/>
        <w:jc w:val="left"/>
        <w:tblInd w:type="dxa" w:w="120"/>
        <w:tblBorders>
          <w:top w:val="single" w:sz="4" w:space="0" w:color="B8C3D1"/>
          <w:left w:val="single" w:sz="4" w:space="0" w:color="B8C3D1"/>
          <w:bottom w:val="single" w:sz="4" w:space="0" w:color="B8C3D1"/>
          <w:right w:val="single" w:sz="4" w:space="0" w:color="B8C3D1"/>
          <w:insideH w:val="single" w:sz="4" w:space="0" w:color="B8C3D1"/>
          <w:insideV w:val="single" w:sz="4" w:space="0" w:color="B8C3D1"/>
        </w:tblBorders>
      </w:tblPr>
      <w:tblGrid>
        <w:gridCol w:w="2300"/>
        <w:gridCol w:w="7060"/>
      </w:tblGrid>
      <w:tr>
        <w:trPr>
          <w:cantSplit/>
          <w:tblHeader/>
        </w:trPr>
        <w:tc>
          <w:tcPr>
            <w:tcW w:type="dxa" w:w="23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Section</w:t>
            </w:r>
          </w:p>
        </w:tc>
        <w:tc>
          <w:tcPr>
            <w:tcW w:type="dxa" w:w="706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Use it for</w:t>
            </w:r>
          </w:p>
        </w:tc>
      </w:tr>
      <w:tr>
        <w:trPr>
          <w:cantSplit/>
        </w:trPr>
        <w:tc>
          <w:tcPr>
            <w:tcW w:type="dxa" w:w="23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1. What the app does</w:t>
            </w:r>
          </w:p>
        </w:tc>
        <w:tc>
          <w:tcPr>
            <w:tcW w:type="dxa" w:w="70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Understand the product goal, architecture, and main capabilities.</w:t>
            </w:r>
          </w:p>
        </w:tc>
      </w:tr>
      <w:tr>
        <w:trPr>
          <w:cantSplit/>
        </w:trPr>
        <w:tc>
          <w:tcPr>
            <w:tcW w:type="dxa" w:w="23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2. Prerequisites and configuration</w:t>
            </w:r>
          </w:p>
        </w:tc>
        <w:tc>
          <w:tcPr>
            <w:tcW w:type="dxa" w:w="70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Install dependencies and create the `.env` file.</w:t>
            </w:r>
          </w:p>
        </w:tc>
      </w:tr>
      <w:tr>
        <w:trPr>
          <w:cantSplit/>
        </w:trPr>
        <w:tc>
          <w:tcPr>
            <w:tcW w:type="dxa" w:w="23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3. Run the stack</w:t>
            </w:r>
          </w:p>
        </w:tc>
        <w:tc>
          <w:tcPr>
            <w:tcW w:type="dxa" w:w="70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Start Docker services and verify health endpoints.</w:t>
            </w:r>
          </w:p>
        </w:tc>
      </w:tr>
      <w:tr>
        <w:trPr>
          <w:cantSplit/>
        </w:trPr>
        <w:tc>
          <w:tcPr>
            <w:tcW w:type="dxa" w:w="23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4. First-run workflow</w:t>
            </w:r>
          </w:p>
        </w:tc>
        <w:tc>
          <w:tcPr>
            <w:tcW w:type="dxa" w:w="70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Seed demo data, re-index, and confirm embeddings.</w:t>
            </w:r>
          </w:p>
        </w:tc>
      </w:tr>
      <w:tr>
        <w:trPr>
          <w:cantSplit/>
        </w:trPr>
        <w:tc>
          <w:tcPr>
            <w:tcW w:type="dxa" w:w="23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5. Feature walkthrough</w:t>
            </w:r>
          </w:p>
        </w:tc>
        <w:tc>
          <w:tcPr>
            <w:tcW w:type="dxa" w:w="70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Use dashboard, documents, search, agent, evaluation, and settings.</w:t>
            </w:r>
          </w:p>
        </w:tc>
      </w:tr>
      <w:tr>
        <w:trPr>
          <w:cantSplit/>
        </w:trPr>
        <w:tc>
          <w:tcPr>
            <w:tcW w:type="dxa" w:w="23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6. API and developer commands</w:t>
            </w:r>
          </w:p>
        </w:tc>
        <w:tc>
          <w:tcPr>
            <w:tcW w:type="dxa" w:w="70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Run backend/frontend locally, call endpoints, and run tests.</w:t>
            </w:r>
          </w:p>
        </w:tc>
      </w:tr>
      <w:tr>
        <w:trPr>
          <w:cantSplit/>
        </w:trPr>
        <w:tc>
          <w:tcPr>
            <w:tcW w:type="dxa" w:w="23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7. Troubleshooting and operations</w:t>
            </w:r>
          </w:p>
        </w:tc>
        <w:tc>
          <w:tcPr>
            <w:tcW w:type="dxa" w:w="70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Fix common local setup problems and reset data safely.</w:t>
            </w:r>
          </w:p>
        </w:tc>
      </w:tr>
    </w:tbl>
    <w:p>
      <w:pPr>
        <w:spacing w:after="80" w:line="240" w:lineRule="auto"/>
      </w:pPr>
    </w:p>
    <w:p>
      <w:pPr>
        <w:pStyle w:val="Heading1"/>
        <w:spacing w:before="360" w:after="200"/>
      </w:pPr>
      <w:r>
        <w:t>1. What the App Does</w:t>
      </w:r>
    </w:p>
    <w:p>
      <w:pPr>
        <w:spacing w:after="120" w:line="300" w:lineRule="auto"/>
      </w:pPr>
      <w:r>
        <w:rPr>
          <w:rFonts w:ascii="Calibri" w:hAnsi="Calibri"/>
        </w:rPr>
        <w:t>Local Knowledge Intelligence is a full-stack local RAG platform for technical knowledge. It lets an admin create or seed documents, generate embeddings, store vectorized chunks in PostgreSQL, search the knowledge base, and ask an AI agent questions grounded in retrieved local chunks.</w:t>
      </w:r>
    </w:p>
    <w:tbl>
      <w:tblPr>
        <w:tblStyle w:val="TableGrid"/>
        <w:tblW w:type="dxa" w:w="9360"/>
        <w:tblLayout w:type="fixed"/>
        <w:tblLook w:firstColumn="1" w:firstRow="1" w:lastColumn="0" w:lastRow="0" w:noHBand="0" w:noVBand="1" w:val="04A0"/>
        <w:jc w:val="left"/>
        <w:tblInd w:type="dxa" w:w="120"/>
        <w:tblBorders>
          <w:top w:val="single" w:sz="4" w:space="0" w:color="B8C3D1"/>
          <w:left w:val="single" w:sz="4" w:space="0" w:color="B8C3D1"/>
          <w:bottom w:val="single" w:sz="4" w:space="0" w:color="B8C3D1"/>
          <w:right w:val="single" w:sz="4" w:space="0" w:color="B8C3D1"/>
          <w:insideH w:val="single" w:sz="4" w:space="0" w:color="B8C3D1"/>
          <w:insideV w:val="single" w:sz="4" w:space="0" w:color="B8C3D1"/>
        </w:tblBorders>
      </w:tblPr>
      <w:tblGrid>
        <w:gridCol w:w="2100"/>
        <w:gridCol w:w="7260"/>
      </w:tblGrid>
      <w:tr>
        <w:trPr>
          <w:cantSplit/>
          <w:tblHeader/>
        </w:trPr>
        <w:tc>
          <w:tcPr>
            <w:tcW w:type="dxa" w:w="21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Capability</w:t>
            </w:r>
          </w:p>
        </w:tc>
        <w:tc>
          <w:tcPr>
            <w:tcW w:type="dxa" w:w="726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What it provides</w:t>
            </w:r>
          </w:p>
        </w:tc>
      </w:tr>
      <w:tr>
        <w:trPr>
          <w:cantSplit/>
        </w:trPr>
        <w:tc>
          <w:tcPr>
            <w:tcW w:type="dxa" w:w="21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Authentication</w:t>
            </w:r>
          </w:p>
        </w:tc>
        <w:tc>
          <w:tcPr>
            <w:tcW w:type="dxa" w:w="72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JWT login with a seeded local admin account: `admin` / `admin`.</w:t>
            </w:r>
          </w:p>
        </w:tc>
      </w:tr>
      <w:tr>
        <w:trPr>
          <w:cantSplit/>
        </w:trPr>
        <w:tc>
          <w:tcPr>
            <w:tcW w:type="dxa" w:w="21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Document management</w:t>
            </w:r>
          </w:p>
        </w:tc>
        <w:tc>
          <w:tcPr>
            <w:tcW w:type="dxa" w:w="72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Create, list, view, update, delete, chunk, embed, and re-index local knowledge documents.</w:t>
            </w:r>
          </w:p>
        </w:tc>
      </w:tr>
      <w:tr>
        <w:trPr>
          <w:cantSplit/>
        </w:trPr>
        <w:tc>
          <w:tcPr>
            <w:tcW w:type="dxa" w:w="21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Vector search</w:t>
            </w:r>
          </w:p>
        </w:tc>
        <w:tc>
          <w:tcPr>
            <w:tcW w:type="dxa" w:w="72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Semantic search with OpenAI embeddings and PostgreSQL `pgvector` cosine distance.</w:t>
            </w:r>
          </w:p>
        </w:tc>
      </w:tr>
      <w:tr>
        <w:trPr>
          <w:cantSplit/>
        </w:trPr>
        <w:tc>
          <w:tcPr>
            <w:tcW w:type="dxa" w:w="21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Hybrid search</w:t>
            </w:r>
          </w:p>
        </w:tc>
        <w:tc>
          <w:tcPr>
            <w:tcW w:type="dxa" w:w="72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Combines vector score, keyword relevance, and recency into a single ranked result list.</w:t>
            </w:r>
          </w:p>
        </w:tc>
      </w:tr>
      <w:tr>
        <w:trPr>
          <w:cantSplit/>
        </w:trPr>
        <w:tc>
          <w:tcPr>
            <w:tcW w:type="dxa" w:w="21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Agent chat</w:t>
            </w:r>
          </w:p>
        </w:tc>
        <w:tc>
          <w:tcPr>
            <w:tcW w:type="dxa" w:w="72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Retrieves local chunks before answering and returns citations to the source document chunks.</w:t>
            </w:r>
          </w:p>
        </w:tc>
      </w:tr>
      <w:tr>
        <w:trPr>
          <w:cantSplit/>
        </w:trPr>
        <w:tc>
          <w:tcPr>
            <w:tcW w:type="dxa" w:w="21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Evaluation</w:t>
            </w:r>
          </w:p>
        </w:tc>
        <w:tc>
          <w:tcPr>
            <w:tcW w:type="dxa" w:w="72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Generates and runs retrieval evaluation questions, persists results, and highlights failed cases.</w:t>
            </w:r>
          </w:p>
        </w:tc>
      </w:tr>
      <w:tr>
        <w:trPr>
          <w:cantSplit/>
        </w:trPr>
        <w:tc>
          <w:tcPr>
            <w:tcW w:type="dxa" w:w="21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Admin dashboard</w:t>
            </w:r>
          </w:p>
        </w:tc>
        <w:tc>
          <w:tcPr>
            <w:tcW w:type="dxa" w:w="72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Shows database readiness, OpenAI configuration, document/chunk counts, embedded chunks, failed embeddings, and latest evaluation score.</w:t>
            </w:r>
          </w:p>
        </w:tc>
      </w:tr>
      <w:tr>
        <w:trPr>
          <w:cantSplit/>
        </w:trPr>
        <w:tc>
          <w:tcPr>
            <w:tcW w:type="dxa" w:w="21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Frontend</w:t>
            </w:r>
          </w:p>
        </w:tc>
        <w:tc>
          <w:tcPr>
            <w:tcW w:type="dxa" w:w="72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Next.js admin UI for login, dashboard, documents, search, agent, evaluation, and settings.</w:t>
            </w:r>
          </w:p>
        </w:tc>
      </w:tr>
    </w:tbl>
    <w:p>
      <w:pPr>
        <w:spacing w:after="80" w:line="240" w:lineRule="auto"/>
      </w:pPr>
    </w:p>
    <w:p>
      <w:pPr>
        <w:pStyle w:val="Heading2"/>
        <w:spacing w:before="280" w:after="140"/>
      </w:pPr>
      <w:r>
        <w:t>Architecture at a Glance</w:t>
      </w:r>
    </w:p>
    <w:tbl>
      <w:tblPr>
        <w:tblStyle w:val="TableGrid"/>
        <w:tblW w:type="dxa" w:w="9360"/>
        <w:tblLayout w:type="fixed"/>
        <w:tblLook w:firstColumn="1" w:firstRow="1" w:lastColumn="0" w:lastRow="0" w:noHBand="0" w:noVBand="1" w:val="04A0"/>
        <w:jc w:val="left"/>
        <w:tblInd w:type="dxa" w:w="120"/>
        <w:tblBorders>
          <w:top w:val="single" w:sz="4" w:space="0" w:color="B8C3D1"/>
          <w:left w:val="single" w:sz="4" w:space="0" w:color="B8C3D1"/>
          <w:bottom w:val="single" w:sz="4" w:space="0" w:color="B8C3D1"/>
          <w:right w:val="single" w:sz="4" w:space="0" w:color="B8C3D1"/>
          <w:insideH w:val="single" w:sz="4" w:space="0" w:color="B8C3D1"/>
          <w:insideV w:val="single" w:sz="4" w:space="0" w:color="B8C3D1"/>
        </w:tblBorders>
      </w:tblPr>
      <w:tblGrid>
        <w:gridCol w:w="2500"/>
        <w:gridCol w:w="6860"/>
      </w:tblGrid>
      <w:tr>
        <w:trPr>
          <w:cantSplit/>
          <w:tblHeader/>
        </w:trPr>
        <w:tc>
          <w:tcPr>
            <w:tcW w:type="dxa" w:w="25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Layer or service</w:t>
            </w:r>
          </w:p>
        </w:tc>
        <w:tc>
          <w:tcPr>
            <w:tcW w:type="dxa" w:w="686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Responsibility</w:t>
            </w:r>
          </w:p>
        </w:tc>
      </w:tr>
      <w:tr>
        <w:trPr>
          <w:cantSplit/>
        </w:trPr>
        <w:tc>
          <w:tcPr>
            <w:tcW w:type="dxa" w:w="25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Next.js frontend</w:t>
            </w:r>
          </w:p>
        </w:tc>
        <w:tc>
          <w:tcPr>
            <w:tcW w:type="dxa" w:w="68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Admin dashboard and browser workflow.</w:t>
            </w:r>
          </w:p>
        </w:tc>
      </w:tr>
      <w:tr>
        <w:trPr>
          <w:cantSplit/>
        </w:trPr>
        <w:tc>
          <w:tcPr>
            <w:tcW w:type="dxa" w:w="25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ASP.NET Core API</w:t>
            </w:r>
          </w:p>
        </w:tc>
        <w:tc>
          <w:tcPr>
            <w:tcW w:type="dxa" w:w="68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HTTP endpoints, JWT validation, CORS, Swagger/OpenAPI, health checks, and middleware.</w:t>
            </w:r>
          </w:p>
        </w:tc>
      </w:tr>
      <w:tr>
        <w:trPr>
          <w:cantSplit/>
        </w:trPr>
        <w:tc>
          <w:tcPr>
            <w:tcW w:type="dxa" w:w="25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Application layer</w:t>
            </w:r>
          </w:p>
        </w:tc>
        <w:tc>
          <w:tcPr>
            <w:tcW w:type="dxa" w:w="68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Use cases, validation, search orchestration, chunking, agent workflow, seed data, and evaluation.</w:t>
            </w:r>
          </w:p>
        </w:tc>
      </w:tr>
      <w:tr>
        <w:trPr>
          <w:cantSplit/>
        </w:trPr>
        <w:tc>
          <w:tcPr>
            <w:tcW w:type="dxa" w:w="25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Domain layer</w:t>
            </w:r>
          </w:p>
        </w:tc>
        <w:tc>
          <w:tcPr>
            <w:tcW w:type="dxa" w:w="68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Entities, enums, invariant behavior, citations, evaluation result records, and normalization helpers.</w:t>
            </w:r>
          </w:p>
        </w:tc>
      </w:tr>
      <w:tr>
        <w:trPr>
          <w:cantSplit/>
        </w:trPr>
        <w:tc>
          <w:tcPr>
            <w:tcW w:type="dxa" w:w="25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Infrastructure layer</w:t>
            </w:r>
          </w:p>
        </w:tc>
        <w:tc>
          <w:tcPr>
            <w:tcW w:type="dxa" w:w="68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EF Core, PostgreSQL/pgvector SQL, repositories, OpenAI clients, JWT issuing, password hashing, and migrations.</w:t>
            </w:r>
          </w:p>
        </w:tc>
      </w:tr>
      <w:tr>
        <w:trPr>
          <w:cantSplit/>
        </w:trPr>
        <w:tc>
          <w:tcPr>
            <w:tcW w:type="dxa" w:w="25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PostgreSQL + pgvector</w:t>
            </w:r>
          </w:p>
        </w:tc>
        <w:tc>
          <w:tcPr>
            <w:tcW w:type="dxa" w:w="68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Relational storage plus `vector(1536)`, HNSW vector index, JSONB metadata, and trigram keyword search.</w:t>
            </w:r>
          </w:p>
        </w:tc>
      </w:tr>
      <w:tr>
        <w:trPr>
          <w:cantSplit/>
        </w:trPr>
        <w:tc>
          <w:tcPr>
            <w:tcW w:type="dxa" w:w="25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OpenAI API</w:t>
            </w:r>
          </w:p>
        </w:tc>
        <w:tc>
          <w:tcPr>
            <w:tcW w:type="dxa" w:w="68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Embeddings for query/document chunks and chat answer generation for the agent.</w:t>
            </w:r>
          </w:p>
        </w:tc>
      </w:tr>
    </w:tbl>
    <w:p>
      <w:pPr>
        <w:spacing w:after="80" w:line="240" w:lineRule="auto"/>
      </w:pPr>
    </w:p>
    <w:p>
      <w:pPr>
        <w:pStyle w:val="Heading1"/>
        <w:spacing w:before="360" w:after="200"/>
      </w:pPr>
      <w:r>
        <w:t>2. Prerequisites and Configuration</w:t>
      </w:r>
    </w:p>
    <w:tbl>
      <w:tblPr>
        <w:tblStyle w:val="TableGrid"/>
        <w:tblW w:type="dxa" w:w="9360"/>
        <w:tblLayout w:type="fixed"/>
        <w:tblLook w:firstColumn="1" w:firstRow="1" w:lastColumn="0" w:lastRow="0" w:noHBand="0" w:noVBand="1" w:val="04A0"/>
        <w:jc w:val="left"/>
        <w:tblInd w:type="dxa" w:w="120"/>
        <w:tblBorders>
          <w:top w:val="single" w:sz="4" w:space="0" w:color="B8C3D1"/>
          <w:left w:val="single" w:sz="4" w:space="0" w:color="B8C3D1"/>
          <w:bottom w:val="single" w:sz="4" w:space="0" w:color="B8C3D1"/>
          <w:right w:val="single" w:sz="4" w:space="0" w:color="B8C3D1"/>
          <w:insideH w:val="single" w:sz="4" w:space="0" w:color="B8C3D1"/>
          <w:insideV w:val="single" w:sz="4" w:space="0" w:color="B8C3D1"/>
        </w:tblBorders>
      </w:tblPr>
      <w:tblGrid>
        <w:gridCol w:w="2500"/>
        <w:gridCol w:w="6860"/>
      </w:tblGrid>
      <w:tr>
        <w:trPr>
          <w:cantSplit/>
          <w:tblHeader/>
        </w:trPr>
        <w:tc>
          <w:tcPr>
            <w:tcW w:type="dxa" w:w="25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Requirement</w:t>
            </w:r>
          </w:p>
        </w:tc>
        <w:tc>
          <w:tcPr>
            <w:tcW w:type="dxa" w:w="686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Why it is needed</w:t>
            </w:r>
          </w:p>
        </w:tc>
      </w:tr>
      <w:tr>
        <w:trPr>
          <w:cantSplit/>
        </w:trPr>
        <w:tc>
          <w:tcPr>
            <w:tcW w:type="dxa" w:w="25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Docker Desktop or compatible Docker runtime</w:t>
            </w:r>
          </w:p>
        </w:tc>
        <w:tc>
          <w:tcPr>
            <w:tcW w:type="dxa" w:w="68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Runs PostgreSQL/pgvector, backend API, and frontend services.</w:t>
            </w:r>
          </w:p>
        </w:tc>
      </w:tr>
      <w:tr>
        <w:trPr>
          <w:cantSplit/>
        </w:trPr>
        <w:tc>
          <w:tcPr>
            <w:tcW w:type="dxa" w:w="25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OpenAI API key</w:t>
            </w:r>
          </w:p>
        </w:tc>
        <w:tc>
          <w:tcPr>
            <w:tcW w:type="dxa" w:w="68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Generates document/query embeddings and grounded agent answers.</w:t>
            </w:r>
          </w:p>
        </w:tc>
      </w:tr>
      <w:tr>
        <w:trPr>
          <w:cantSplit/>
        </w:trPr>
        <w:tc>
          <w:tcPr>
            <w:tcW w:type="dxa" w:w="25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.NET 10 SDK</w:t>
            </w:r>
          </w:p>
        </w:tc>
        <w:tc>
          <w:tcPr>
            <w:tcW w:type="dxa" w:w="68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Required for local backend build, test, and run commands outside Docker.</w:t>
            </w:r>
          </w:p>
        </w:tc>
      </w:tr>
      <w:tr>
        <w:trPr>
          <w:cantSplit/>
        </w:trPr>
        <w:tc>
          <w:tcPr>
            <w:tcW w:type="dxa" w:w="25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Node.js with npm</w:t>
            </w:r>
          </w:p>
        </w:tc>
        <w:tc>
          <w:tcPr>
            <w:tcW w:type="dxa" w:w="68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Required for local frontend build, dev server, and smoke tests outside Docker.</w:t>
            </w:r>
          </w:p>
        </w:tc>
      </w:tr>
      <w:tr>
        <w:trPr>
          <w:cantSplit/>
        </w:trPr>
        <w:tc>
          <w:tcPr>
            <w:tcW w:type="dxa" w:w="25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Available ports</w:t>
            </w:r>
          </w:p>
        </w:tc>
        <w:tc>
          <w:tcPr>
            <w:tcW w:type="dxa" w:w="68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Default local ports are 3000 for frontend, 5000 for backend, and 5432 for PostgreSQL.</w:t>
            </w:r>
          </w:p>
        </w:tc>
      </w:tr>
    </w:tbl>
    <w:p>
      <w:pPr>
        <w:spacing w:after="80" w:line="240" w:lineRule="auto"/>
      </w:pPr>
    </w:p>
    <w:p>
      <w:pPr>
        <w:spacing w:after="120" w:line="300" w:lineRule="auto"/>
      </w:pPr>
      <w:r>
        <w:rPr>
          <w:rFonts w:ascii="Calibri" w:hAnsi="Calibri"/>
        </w:rPr>
        <w:t>Create the local environment file from the repository root:</w:t>
      </w:r>
    </w:p>
    <w:tbl>
      <w:tblPr>
        <w:tblW w:type="dxa" w:w="9360"/>
        <w:jc w:val="left"/>
        <w:tblLayout w:type="fixed"/>
        <w:tblLook w:firstColumn="1" w:firstRow="1" w:lastColumn="0" w:lastRow="0" w:noHBand="0" w:noVBand="1" w:val="04A0"/>
        <w:tblInd w:type="dxa" w:w="1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rPr>
          <w:cantSplit/>
        </w:trPr>
        <w:tc>
          <w:tcPr>
            <w:tcW w:type="dxa" w:w="9360"/>
            <w:tcMar>
              <w:top w:w="120" w:type="dxa"/>
              <w:bottom w:w="120" w:type="dxa"/>
              <w:start w:w="160" w:type="dxa"/>
              <w:end w:w="160" w:type="dxa"/>
            </w:tcMar>
            <w:vAlign w:val="center"/>
            <w:shd w:fill="F6F8FA"/>
          </w:tcPr>
          <w:p>
            <w:pPr>
              <w:spacing w:before="0" w:after="0" w:line="252" w:lineRule="auto"/>
            </w:pPr>
            <w:r/>
            <w:r>
              <w:rPr>
                <w:rFonts w:ascii="Consolas" w:hAnsi="Consolas"/>
                <w:color w:val="000000"/>
                <w:sz w:val="17"/>
              </w:rPr>
              <w:t>Copy-Item .env.example .env</w:t>
            </w:r>
          </w:p>
          <w:p>
            <w:pPr>
              <w:spacing w:before="0" w:after="0" w:line="252" w:lineRule="auto"/>
            </w:pPr>
            <w:r>
              <w:rPr>
                <w:rFonts w:ascii="Consolas" w:hAnsi="Consolas"/>
                <w:color w:val="000000"/>
                <w:sz w:val="17"/>
              </w:rPr>
              <w:t># or in Bash</w:t>
            </w:r>
          </w:p>
          <w:p>
            <w:pPr>
              <w:spacing w:before="0" w:after="0" w:line="252" w:lineRule="auto"/>
            </w:pPr>
            <w:r>
              <w:rPr>
                <w:rFonts w:ascii="Consolas" w:hAnsi="Consolas"/>
                <w:color w:val="000000"/>
                <w:sz w:val="17"/>
              </w:rPr>
              <w:t>cp .env.example .env</w:t>
            </w:r>
          </w:p>
        </w:tc>
      </w:tr>
    </w:tbl>
    <w:p>
      <w:pPr>
        <w:spacing w:after="100" w:line="240" w:lineRule="auto"/>
      </w:pPr>
    </w:p>
    <w:p>
      <w:pPr>
        <w:spacing w:after="120" w:line="300" w:lineRule="auto"/>
      </w:pPr>
      <w:r>
        <w:rPr>
          <w:rFonts w:ascii="Calibri" w:hAnsi="Calibri"/>
        </w:rPr>
        <w:t>Set or review these values in `.env`:</w:t>
      </w:r>
    </w:p>
    <w:tbl>
      <w:tblPr>
        <w:tblStyle w:val="TableGrid"/>
        <w:tblW w:type="dxa" w:w="9360"/>
        <w:tblLayout w:type="fixed"/>
        <w:tblLook w:firstColumn="1" w:firstRow="1" w:lastColumn="0" w:lastRow="0" w:noHBand="0" w:noVBand="1" w:val="04A0"/>
        <w:jc w:val="left"/>
        <w:tblInd w:type="dxa" w:w="120"/>
        <w:tblBorders>
          <w:top w:val="single" w:sz="4" w:space="0" w:color="B8C3D1"/>
          <w:left w:val="single" w:sz="4" w:space="0" w:color="B8C3D1"/>
          <w:bottom w:val="single" w:sz="4" w:space="0" w:color="B8C3D1"/>
          <w:right w:val="single" w:sz="4" w:space="0" w:color="B8C3D1"/>
          <w:insideH w:val="single" w:sz="4" w:space="0" w:color="B8C3D1"/>
          <w:insideV w:val="single" w:sz="4" w:space="0" w:color="B8C3D1"/>
        </w:tblBorders>
      </w:tblPr>
      <w:tblGrid>
        <w:gridCol w:w="2400"/>
        <w:gridCol w:w="1300"/>
        <w:gridCol w:w="5660"/>
      </w:tblGrid>
      <w:tr>
        <w:trPr>
          <w:cantSplit/>
          <w:tblHeader/>
        </w:trPr>
        <w:tc>
          <w:tcPr>
            <w:tcW w:type="dxa" w:w="24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Variable</w:t>
            </w:r>
          </w:p>
        </w:tc>
        <w:tc>
          <w:tcPr>
            <w:tcW w:type="dxa" w:w="13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Required?</w:t>
            </w:r>
          </w:p>
        </w:tc>
        <w:tc>
          <w:tcPr>
            <w:tcW w:type="dxa" w:w="566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Purpose</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OPENAI_API_KEY</w:t>
            </w:r>
          </w:p>
        </w:tc>
        <w:tc>
          <w:tcPr>
            <w:tcW w:type="dxa" w:w="13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Yes</w:t>
            </w:r>
          </w:p>
        </w:tc>
        <w:tc>
          <w:tcPr>
            <w:tcW w:type="dxa" w:w="56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OpenAI key used for embeddings and chat generation. Never commit it.</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JWT_SIGNING_KEY</w:t>
            </w:r>
          </w:p>
        </w:tc>
        <w:tc>
          <w:tcPr>
            <w:tcW w:type="dxa" w:w="13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Yes</w:t>
            </w:r>
          </w:p>
        </w:tc>
        <w:tc>
          <w:tcPr>
            <w:tcW w:type="dxa" w:w="56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Local JWT signing key. Replace the default value before any shared environment.</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POSTGRES_USER</w:t>
            </w:r>
          </w:p>
        </w:tc>
        <w:tc>
          <w:tcPr>
            <w:tcW w:type="dxa" w:w="13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Default ok</w:t>
            </w:r>
          </w:p>
        </w:tc>
        <w:tc>
          <w:tcPr>
            <w:tcW w:type="dxa" w:w="56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PostgreSQL user, default `lki`.</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POSTGRES_PASSWORD</w:t>
            </w:r>
          </w:p>
        </w:tc>
        <w:tc>
          <w:tcPr>
            <w:tcW w:type="dxa" w:w="13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Default ok</w:t>
            </w:r>
          </w:p>
        </w:tc>
        <w:tc>
          <w:tcPr>
            <w:tcW w:type="dxa" w:w="56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PostgreSQL password, default `lki` for local dev only.</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POSTGRES_DB</w:t>
            </w:r>
          </w:p>
        </w:tc>
        <w:tc>
          <w:tcPr>
            <w:tcW w:type="dxa" w:w="13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Default ok</w:t>
            </w:r>
          </w:p>
        </w:tc>
        <w:tc>
          <w:tcPr>
            <w:tcW w:type="dxa" w:w="56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Database name, default `lki`.</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POSTGRES_PORT</w:t>
            </w:r>
          </w:p>
        </w:tc>
        <w:tc>
          <w:tcPr>
            <w:tcW w:type="dxa" w:w="13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Default ok</w:t>
            </w:r>
          </w:p>
        </w:tc>
        <w:tc>
          <w:tcPr>
            <w:tcW w:type="dxa" w:w="56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Host port for PostgreSQL, default `5432`.</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NEXT_PUBLIC_API_BASE_URL</w:t>
            </w:r>
          </w:p>
        </w:tc>
        <w:tc>
          <w:tcPr>
            <w:tcW w:type="dxa" w:w="13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Default ok</w:t>
            </w:r>
          </w:p>
        </w:tc>
        <w:tc>
          <w:tcPr>
            <w:tcW w:type="dxa" w:w="56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Frontend API base URL, default `http://localhost:5000`.</w:t>
            </w:r>
          </w:p>
        </w:tc>
      </w:tr>
    </w:tbl>
    <w:p>
      <w:pPr>
        <w:spacing w:after="80" w:line="240" w:lineRule="auto"/>
      </w:pPr>
    </w:p>
    <w:tbl>
      <w:tblPr>
        <w:tblW w:type="dxa" w:w="9360"/>
        <w:jc w:val="left"/>
        <w:tblLayout w:type="fixed"/>
        <w:tblLook w:firstColumn="1" w:firstRow="1" w:lastColumn="0" w:lastRow="0" w:noHBand="0" w:noVBand="1" w:val="04A0"/>
        <w:tblInd w:type="dxa" w:w="120"/>
        <w:tblBorders>
          <w:top w:val="single" w:sz="4" w:space="0" w:color="B8C3D1"/>
          <w:left w:val="single" w:sz="4" w:space="0" w:color="B8C3D1"/>
          <w:bottom w:val="single" w:sz="4" w:space="0" w:color="B8C3D1"/>
          <w:right w:val="single" w:sz="4" w:space="0" w:color="B8C3D1"/>
          <w:insideH w:val="single" w:sz="4" w:space="0" w:color="B8C3D1"/>
          <w:insideV w:val="single" w:sz="4" w:space="0" w:color="B8C3D1"/>
        </w:tblBorders>
      </w:tblPr>
      <w:tblGrid>
        <w:gridCol w:w="9360"/>
      </w:tblGrid>
      <w:tr>
        <w:trPr>
          <w:cantSplit/>
        </w:trPr>
        <w:tc>
          <w:tcPr>
            <w:tcW w:type="dxa" w:w="9360"/>
            <w:tcMar>
              <w:top w:w="120" w:type="dxa"/>
              <w:bottom w:w="120" w:type="dxa"/>
              <w:start w:w="160" w:type="dxa"/>
              <w:end w:w="160" w:type="dxa"/>
            </w:tcMar>
            <w:vAlign w:val="center"/>
            <w:shd w:fill="FFF8E8"/>
          </w:tcPr>
          <w:p>
            <w:pPr>
              <w:spacing w:after="80"/>
            </w:pPr>
            <w:r/>
            <w:r>
              <w:rPr>
                <w:rFonts w:ascii="Calibri" w:hAnsi="Calibri"/>
                <w:b/>
                <w:color w:val="0B2545"/>
                <w:sz w:val="21"/>
              </w:rPr>
              <w:t>Security note</w:t>
            </w:r>
          </w:p>
          <w:p>
            <w:pPr>
              <w:spacing w:after="0" w:line="288" w:lineRule="auto"/>
            </w:pPr>
            <w:r>
              <w:rPr>
                <w:rFonts w:ascii="Calibri" w:hAnsi="Calibri"/>
                <w:sz w:val="20"/>
              </w:rPr>
              <w:t>The seeded `admin` / `admin` user and the default JWT signing key are for local development only. Change both before any real deployment or shared environment.</w:t>
            </w:r>
          </w:p>
        </w:tc>
      </w:tr>
    </w:tbl>
    <w:p>
      <w:pPr>
        <w:spacing w:after="100" w:line="240" w:lineRule="auto"/>
      </w:pPr>
    </w:p>
    <w:p>
      <w:pPr>
        <w:pStyle w:val="Heading1"/>
        <w:spacing w:before="360" w:after="200"/>
      </w:pPr>
      <w:r>
        <w:t>3. Run the Stack</w:t>
      </w:r>
    </w:p>
    <w:p>
      <w:pPr>
        <w:spacing w:after="120" w:line="300" w:lineRule="auto"/>
      </w:pPr>
      <w:r>
        <w:rPr>
          <w:rFonts w:ascii="Calibri" w:hAnsi="Calibri"/>
        </w:rPr>
        <w:t>Start all services with Docker Compose:</w:t>
      </w:r>
    </w:p>
    <w:tbl>
      <w:tblPr>
        <w:tblW w:type="dxa" w:w="9360"/>
        <w:jc w:val="left"/>
        <w:tblLayout w:type="fixed"/>
        <w:tblLook w:firstColumn="1" w:firstRow="1" w:lastColumn="0" w:lastRow="0" w:noHBand="0" w:noVBand="1" w:val="04A0"/>
        <w:tblInd w:type="dxa" w:w="1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rPr>
          <w:cantSplit/>
        </w:trPr>
        <w:tc>
          <w:tcPr>
            <w:tcW w:type="dxa" w:w="9360"/>
            <w:tcMar>
              <w:top w:w="120" w:type="dxa"/>
              <w:bottom w:w="120" w:type="dxa"/>
              <w:start w:w="160" w:type="dxa"/>
              <w:end w:w="160" w:type="dxa"/>
            </w:tcMar>
            <w:vAlign w:val="center"/>
            <w:shd w:fill="F6F8FA"/>
          </w:tcPr>
          <w:p>
            <w:pPr>
              <w:spacing w:before="0" w:after="0" w:line="252" w:lineRule="auto"/>
            </w:pPr>
            <w:r/>
            <w:r>
              <w:rPr>
                <w:rFonts w:ascii="Consolas" w:hAnsi="Consolas"/>
                <w:color w:val="000000"/>
                <w:sz w:val="17"/>
              </w:rPr>
              <w:t>docker compose up --build -d</w:t>
            </w:r>
          </w:p>
        </w:tc>
      </w:tr>
    </w:tbl>
    <w:p>
      <w:pPr>
        <w:spacing w:after="100" w:line="240" w:lineRule="auto"/>
      </w:pPr>
    </w:p>
    <w:tbl>
      <w:tblPr>
        <w:tblStyle w:val="TableGrid"/>
        <w:tblW w:type="dxa" w:w="9360"/>
        <w:tblLayout w:type="fixed"/>
        <w:tblLook w:firstColumn="1" w:firstRow="1" w:lastColumn="0" w:lastRow="0" w:noHBand="0" w:noVBand="1" w:val="04A0"/>
        <w:jc w:val="left"/>
        <w:tblInd w:type="dxa" w:w="120"/>
        <w:tblBorders>
          <w:top w:val="single" w:sz="4" w:space="0" w:color="B8C3D1"/>
          <w:left w:val="single" w:sz="4" w:space="0" w:color="B8C3D1"/>
          <w:bottom w:val="single" w:sz="4" w:space="0" w:color="B8C3D1"/>
          <w:right w:val="single" w:sz="4" w:space="0" w:color="B8C3D1"/>
          <w:insideH w:val="single" w:sz="4" w:space="0" w:color="B8C3D1"/>
          <w:insideV w:val="single" w:sz="4" w:space="0" w:color="B8C3D1"/>
        </w:tblBorders>
      </w:tblPr>
      <w:tblGrid>
        <w:gridCol w:w="1800"/>
        <w:gridCol w:w="2200"/>
        <w:gridCol w:w="5360"/>
      </w:tblGrid>
      <w:tr>
        <w:trPr>
          <w:cantSplit/>
          <w:tblHeader/>
        </w:trPr>
        <w:tc>
          <w:tcPr>
            <w:tcW w:type="dxa" w:w="18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Service</w:t>
            </w:r>
          </w:p>
        </w:tc>
        <w:tc>
          <w:tcPr>
            <w:tcW w:type="dxa" w:w="22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Container</w:t>
            </w:r>
          </w:p>
        </w:tc>
        <w:tc>
          <w:tcPr>
            <w:tcW w:type="dxa" w:w="536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Local access</w:t>
            </w:r>
          </w:p>
        </w:tc>
      </w:tr>
      <w:tr>
        <w:trPr>
          <w:cantSplit/>
        </w:trPr>
        <w:tc>
          <w:tcPr>
            <w:tcW w:type="dxa" w:w="18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Frontend</w:t>
            </w:r>
          </w:p>
        </w:tc>
        <w:tc>
          <w:tcPr>
            <w:tcW w:type="dxa" w:w="22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`lki-frontend`</w:t>
            </w:r>
          </w:p>
        </w:tc>
        <w:tc>
          <w:tcPr>
            <w:tcW w:type="dxa" w:w="53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http://localhost:3000</w:t>
            </w:r>
          </w:p>
        </w:tc>
      </w:tr>
      <w:tr>
        <w:trPr>
          <w:cantSplit/>
        </w:trPr>
        <w:tc>
          <w:tcPr>
            <w:tcW w:type="dxa" w:w="18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Backend API</w:t>
            </w:r>
          </w:p>
        </w:tc>
        <w:tc>
          <w:tcPr>
            <w:tcW w:type="dxa" w:w="22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`lki-backend`</w:t>
            </w:r>
          </w:p>
        </w:tc>
        <w:tc>
          <w:tcPr>
            <w:tcW w:type="dxa" w:w="53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http://localhost:5000</w:t>
            </w:r>
          </w:p>
        </w:tc>
      </w:tr>
      <w:tr>
        <w:trPr>
          <w:cantSplit/>
        </w:trPr>
        <w:tc>
          <w:tcPr>
            <w:tcW w:type="dxa" w:w="18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Swagger UI</w:t>
            </w:r>
          </w:p>
        </w:tc>
        <w:tc>
          <w:tcPr>
            <w:tcW w:type="dxa" w:w="22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backend</w:t>
            </w:r>
          </w:p>
        </w:tc>
        <w:tc>
          <w:tcPr>
            <w:tcW w:type="dxa" w:w="53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http://localhost:5000/swagger</w:t>
            </w:r>
          </w:p>
        </w:tc>
      </w:tr>
      <w:tr>
        <w:trPr>
          <w:cantSplit/>
        </w:trPr>
        <w:tc>
          <w:tcPr>
            <w:tcW w:type="dxa" w:w="18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Built-in OpenAPI JSON</w:t>
            </w:r>
          </w:p>
        </w:tc>
        <w:tc>
          <w:tcPr>
            <w:tcW w:type="dxa" w:w="22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backend</w:t>
            </w:r>
          </w:p>
        </w:tc>
        <w:tc>
          <w:tcPr>
            <w:tcW w:type="dxa" w:w="53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http://localhost:5000/openapi/v1.json</w:t>
            </w:r>
          </w:p>
        </w:tc>
      </w:tr>
      <w:tr>
        <w:trPr>
          <w:cantSplit/>
        </w:trPr>
        <w:tc>
          <w:tcPr>
            <w:tcW w:type="dxa" w:w="18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8"/>
              </w:rPr>
              <w:t>PostgreSQL with pgvector</w:t>
            </w:r>
          </w:p>
        </w:tc>
        <w:tc>
          <w:tcPr>
            <w:tcW w:type="dxa" w:w="22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`lki-postgres`</w:t>
            </w:r>
          </w:p>
        </w:tc>
        <w:tc>
          <w:tcPr>
            <w:tcW w:type="dxa" w:w="53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8"/>
              </w:rPr>
              <w:t>localhost:5432</w:t>
            </w:r>
          </w:p>
        </w:tc>
      </w:tr>
    </w:tbl>
    <w:p>
      <w:pPr>
        <w:spacing w:after="80" w:line="240" w:lineRule="auto"/>
      </w:pPr>
    </w:p>
    <w:p>
      <w:pPr>
        <w:spacing w:after="120" w:line="300" w:lineRule="auto"/>
      </w:pPr>
      <w:r>
        <w:rPr>
          <w:rFonts w:ascii="Calibri" w:hAnsi="Calibri"/>
        </w:rPr>
        <w:t>Check container status and backend readiness:</w:t>
      </w:r>
    </w:p>
    <w:tbl>
      <w:tblPr>
        <w:tblW w:type="dxa" w:w="9360"/>
        <w:jc w:val="left"/>
        <w:tblLayout w:type="fixed"/>
        <w:tblLook w:firstColumn="1" w:firstRow="1" w:lastColumn="0" w:lastRow="0" w:noHBand="0" w:noVBand="1" w:val="04A0"/>
        <w:tblInd w:type="dxa" w:w="1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rPr>
          <w:cantSplit/>
        </w:trPr>
        <w:tc>
          <w:tcPr>
            <w:tcW w:type="dxa" w:w="9360"/>
            <w:tcMar>
              <w:top w:w="120" w:type="dxa"/>
              <w:bottom w:w="120" w:type="dxa"/>
              <w:start w:w="160" w:type="dxa"/>
              <w:end w:w="160" w:type="dxa"/>
            </w:tcMar>
            <w:vAlign w:val="center"/>
            <w:shd w:fill="F6F8FA"/>
          </w:tcPr>
          <w:p>
            <w:pPr>
              <w:spacing w:before="0" w:after="0" w:line="252" w:lineRule="auto"/>
            </w:pPr>
            <w:r/>
            <w:r>
              <w:rPr>
                <w:rFonts w:ascii="Consolas" w:hAnsi="Consolas"/>
                <w:color w:val="000000"/>
                <w:sz w:val="17"/>
              </w:rPr>
              <w:t>docker compose ps</w:t>
            </w:r>
          </w:p>
          <w:p>
            <w:pPr>
              <w:spacing w:before="0" w:after="0" w:line="252" w:lineRule="auto"/>
            </w:pPr>
            <w:r>
              <w:rPr>
                <w:rFonts w:ascii="Consolas" w:hAnsi="Consolas"/>
                <w:color w:val="000000"/>
                <w:sz w:val="17"/>
              </w:rPr>
              <w:t>Invoke-RestMethod http://localhost:5000/health</w:t>
            </w:r>
          </w:p>
          <w:p>
            <w:pPr>
              <w:spacing w:before="0" w:after="0" w:line="252" w:lineRule="auto"/>
            </w:pPr>
            <w:r>
              <w:rPr>
                <w:rFonts w:ascii="Consolas" w:hAnsi="Consolas"/>
                <w:color w:val="000000"/>
                <w:sz w:val="17"/>
              </w:rPr>
              <w:t>Invoke-RestMethod http://localhost:5000/health/ready</w:t>
            </w:r>
          </w:p>
        </w:tc>
      </w:tr>
    </w:tbl>
    <w:p>
      <w:pPr>
        <w:spacing w:after="100" w:line="240" w:lineRule="auto"/>
      </w:pPr>
    </w:p>
    <w:p>
      <w:pPr>
        <w:spacing w:after="120" w:line="300" w:lineRule="auto"/>
      </w:pPr>
      <w:r>
        <w:rPr>
          <w:rFonts w:ascii="Calibri" w:hAnsi="Calibri"/>
        </w:rPr>
        <w:t>Sign in at `http://localhost:3000` with:</w:t>
      </w:r>
    </w:p>
    <w:tbl>
      <w:tblPr>
        <w:tblW w:type="dxa" w:w="9360"/>
        <w:jc w:val="left"/>
        <w:tblLayout w:type="fixed"/>
        <w:tblLook w:firstColumn="1" w:firstRow="1" w:lastColumn="0" w:lastRow="0" w:noHBand="0" w:noVBand="1" w:val="04A0"/>
        <w:tblInd w:type="dxa" w:w="1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rPr>
          <w:cantSplit/>
        </w:trPr>
        <w:tc>
          <w:tcPr>
            <w:tcW w:type="dxa" w:w="9360"/>
            <w:tcMar>
              <w:top w:w="120" w:type="dxa"/>
              <w:bottom w:w="120" w:type="dxa"/>
              <w:start w:w="160" w:type="dxa"/>
              <w:end w:w="160" w:type="dxa"/>
            </w:tcMar>
            <w:vAlign w:val="center"/>
            <w:shd w:fill="F6F8FA"/>
          </w:tcPr>
          <w:p>
            <w:pPr>
              <w:spacing w:before="0" w:after="0" w:line="252" w:lineRule="auto"/>
            </w:pPr>
            <w:r/>
            <w:r>
              <w:rPr>
                <w:rFonts w:ascii="Consolas" w:hAnsi="Consolas"/>
                <w:color w:val="000000"/>
                <w:sz w:val="17"/>
              </w:rPr>
              <w:t>Username: admin</w:t>
            </w:r>
          </w:p>
          <w:p>
            <w:pPr>
              <w:spacing w:before="0" w:after="0" w:line="252" w:lineRule="auto"/>
            </w:pPr>
            <w:r>
              <w:rPr>
                <w:rFonts w:ascii="Consolas" w:hAnsi="Consolas"/>
                <w:color w:val="000000"/>
                <w:sz w:val="17"/>
              </w:rPr>
              <w:t>Password: admin</w:t>
            </w:r>
          </w:p>
        </w:tc>
      </w:tr>
    </w:tbl>
    <w:p>
      <w:pPr>
        <w:spacing w:after="100" w:line="240" w:lineRule="auto"/>
      </w:pPr>
    </w:p>
    <w:p>
      <w:pPr>
        <w:pStyle w:val="Heading1"/>
        <w:spacing w:before="360" w:after="200"/>
      </w:pPr>
      <w:r>
        <w:t>4. First-Run Workflow</w:t>
      </w:r>
    </w:p>
    <w:p>
      <w:pPr>
        <w:spacing w:after="120" w:line="300" w:lineRule="auto"/>
      </w:pPr>
      <w:r>
        <w:rPr>
          <w:rFonts w:ascii="Calibri" w:hAnsi="Calibri"/>
        </w:rPr>
        <w:t>After the stack is running, initialize demo knowledge and embeddings.</w:t>
      </w:r>
    </w:p>
    <w:p>
      <w:pPr>
        <w:pStyle w:val="ListNumber"/>
        <w:spacing w:after="60" w:line="276" w:lineRule="auto"/>
      </w:pPr>
      <w:r>
        <w:rPr>
          <w:rFonts w:ascii="Calibri" w:hAnsi="Calibri"/>
          <w:sz w:val="21"/>
        </w:rPr>
        <w:t>Open the frontend at `http://localhost:3000`.</w:t>
      </w:r>
    </w:p>
    <w:p>
      <w:pPr>
        <w:pStyle w:val="ListNumber"/>
        <w:spacing w:after="60" w:line="276" w:lineRule="auto"/>
      </w:pPr>
      <w:r>
        <w:rPr>
          <w:rFonts w:ascii="Calibri" w:hAnsi="Calibri"/>
          <w:sz w:val="21"/>
        </w:rPr>
        <w:t>Log in with the local admin credentials.</w:t>
      </w:r>
    </w:p>
    <w:p>
      <w:pPr>
        <w:pStyle w:val="ListNumber"/>
        <w:spacing w:after="60" w:line="276" w:lineRule="auto"/>
      </w:pPr>
      <w:r>
        <w:rPr>
          <w:rFonts w:ascii="Calibri" w:hAnsi="Calibri"/>
          <w:sz w:val="21"/>
        </w:rPr>
        <w:t>Open Dashboard.</w:t>
      </w:r>
    </w:p>
    <w:p>
      <w:pPr>
        <w:pStyle w:val="ListNumber"/>
        <w:spacing w:after="60" w:line="276" w:lineRule="auto"/>
      </w:pPr>
      <w:r>
        <w:rPr>
          <w:rFonts w:ascii="Calibri" w:hAnsi="Calibri"/>
          <w:sz w:val="21"/>
        </w:rPr>
        <w:t>Click Generate seed data.</w:t>
      </w:r>
    </w:p>
    <w:p>
      <w:pPr>
        <w:pStyle w:val="ListNumber"/>
        <w:spacing w:after="60" w:line="276" w:lineRule="auto"/>
      </w:pPr>
      <w:r>
        <w:rPr>
          <w:rFonts w:ascii="Calibri" w:hAnsi="Calibri"/>
          <w:sz w:val="21"/>
        </w:rPr>
        <w:t>Click Re-index all documents.</w:t>
      </w:r>
    </w:p>
    <w:p>
      <w:pPr>
        <w:pStyle w:val="ListNumber"/>
        <w:spacing w:after="60" w:line="276" w:lineRule="auto"/>
      </w:pPr>
      <w:r>
        <w:rPr>
          <w:rFonts w:ascii="Calibri" w:hAnsi="Calibri"/>
          <w:sz w:val="21"/>
        </w:rPr>
        <w:t>Confirm the dashboard shows documents, chunks, and embedded chunks.</w:t>
      </w:r>
    </w:p>
    <w:p>
      <w:pPr>
        <w:pStyle w:val="ListNumber"/>
        <w:spacing w:after="60" w:line="276" w:lineRule="auto"/>
      </w:pPr>
      <w:r>
        <w:rPr>
          <w:rFonts w:ascii="Calibri" w:hAnsi="Calibri"/>
          <w:sz w:val="21"/>
        </w:rPr>
        <w:t>Open Search and run a hybrid query such as `pgvector hybrid search`.</w:t>
      </w:r>
    </w:p>
    <w:p>
      <w:pPr>
        <w:pStyle w:val="ListNumber"/>
        <w:spacing w:after="60" w:line="276" w:lineRule="auto"/>
      </w:pPr>
      <w:r>
        <w:rPr>
          <w:rFonts w:ascii="Calibri" w:hAnsi="Calibri"/>
          <w:sz w:val="21"/>
        </w:rPr>
        <w:t>Open Agent and ask a grounded question about the local vector search pipeline.</w:t>
      </w:r>
    </w:p>
    <w:p>
      <w:pPr>
        <w:pStyle w:val="ListNumber"/>
        <w:spacing w:after="60" w:line="276" w:lineRule="auto"/>
      </w:pPr>
      <w:r>
        <w:rPr>
          <w:rFonts w:ascii="Calibri" w:hAnsi="Calibri"/>
          <w:sz w:val="21"/>
        </w:rPr>
        <w:t>Open Evaluation and run the retrieval evaluation set.</w:t>
      </w:r>
    </w:p>
    <w:tbl>
      <w:tblPr>
        <w:tblW w:type="dxa" w:w="9360"/>
        <w:jc w:val="left"/>
        <w:tblLayout w:type="fixed"/>
        <w:tblLook w:firstColumn="1" w:firstRow="1" w:lastColumn="0" w:lastRow="0" w:noHBand="0" w:noVBand="1" w:val="04A0"/>
        <w:tblInd w:type="dxa" w:w="120"/>
        <w:tblBorders>
          <w:top w:val="single" w:sz="4" w:space="0" w:color="B8C3D1"/>
          <w:left w:val="single" w:sz="4" w:space="0" w:color="B8C3D1"/>
          <w:bottom w:val="single" w:sz="4" w:space="0" w:color="B8C3D1"/>
          <w:right w:val="single" w:sz="4" w:space="0" w:color="B8C3D1"/>
          <w:insideH w:val="single" w:sz="4" w:space="0" w:color="B8C3D1"/>
          <w:insideV w:val="single" w:sz="4" w:space="0" w:color="B8C3D1"/>
        </w:tblBorders>
      </w:tblPr>
      <w:tblGrid>
        <w:gridCol w:w="9360"/>
      </w:tblGrid>
      <w:tr>
        <w:trPr>
          <w:cantSplit/>
        </w:trPr>
        <w:tc>
          <w:tcPr>
            <w:tcW w:type="dxa" w:w="9360"/>
            <w:tcMar>
              <w:top w:w="120" w:type="dxa"/>
              <w:bottom w:w="120" w:type="dxa"/>
              <w:start w:w="160" w:type="dxa"/>
              <w:end w:w="160" w:type="dxa"/>
            </w:tcMar>
            <w:vAlign w:val="center"/>
            <w:shd w:fill="F4F6F9"/>
          </w:tcPr>
          <w:p>
            <w:pPr>
              <w:spacing w:after="80"/>
            </w:pPr>
            <w:r/>
            <w:r>
              <w:rPr>
                <w:rFonts w:ascii="Calibri" w:hAnsi="Calibri"/>
                <w:b/>
                <w:color w:val="0B2545"/>
                <w:sz w:val="21"/>
              </w:rPr>
              <w:t>Expected seeded state</w:t>
            </w:r>
          </w:p>
          <w:p>
            <w:pPr>
              <w:spacing w:after="0" w:line="288" w:lineRule="auto"/>
            </w:pPr>
            <w:r>
              <w:rPr>
                <w:rFonts w:ascii="Calibri" w:hAnsi="Calibri"/>
                <w:sz w:val="20"/>
              </w:rPr>
              <w:t>The current seed set is expected to create 25 documents, at least 75 chunks, and 50 evaluation questions. After re-indexing with a valid OpenAI key, embedded chunk count should match chunk count.</w:t>
            </w:r>
          </w:p>
        </w:tc>
      </w:tr>
    </w:tbl>
    <w:p>
      <w:pPr>
        <w:spacing w:after="100" w:line="240" w:lineRule="auto"/>
      </w:pPr>
    </w:p>
    <w:p>
      <w:pPr>
        <w:pStyle w:val="Heading1"/>
        <w:spacing w:before="360" w:after="200"/>
      </w:pPr>
      <w:r>
        <w:t>5. Feature Walkthrough</w:t>
      </w:r>
    </w:p>
    <w:p>
      <w:pPr>
        <w:pStyle w:val="Heading2"/>
        <w:spacing w:before="280" w:after="140"/>
      </w:pPr>
      <w:r>
        <w:t>Dashboard</w:t>
      </w:r>
    </w:p>
    <w:p>
      <w:pPr>
        <w:spacing w:after="120" w:line="300" w:lineRule="auto"/>
      </w:pPr>
      <w:r>
        <w:rPr>
          <w:rFonts w:ascii="Calibri" w:hAnsi="Calibri"/>
        </w:rPr>
        <w:t>The Dashboard is the operations home page. Use it to confirm service readiness and launch common admin workflows.</w:t>
      </w:r>
    </w:p>
    <w:p>
      <w:pPr>
        <w:pStyle w:val="ListBullet"/>
        <w:spacing w:after="60" w:line="276" w:lineRule="auto"/>
      </w:pPr>
      <w:r>
        <w:rPr>
          <w:rFonts w:ascii="Calibri" w:hAnsi="Calibri"/>
          <w:sz w:val="21"/>
        </w:rPr>
        <w:t>Shows database connection status and OpenAI key configuration status.</w:t>
      </w:r>
    </w:p>
    <w:p>
      <w:pPr>
        <w:pStyle w:val="ListBullet"/>
        <w:spacing w:after="60" w:line="276" w:lineRule="auto"/>
      </w:pPr>
      <w:r>
        <w:rPr>
          <w:rFonts w:ascii="Calibri" w:hAnsi="Calibri"/>
          <w:sz w:val="21"/>
        </w:rPr>
        <w:t>Shows total documents, chunks, embedded chunks, failed embeddings, and latest evaluation score.</w:t>
      </w:r>
    </w:p>
    <w:p>
      <w:pPr>
        <w:pStyle w:val="ListBullet"/>
        <w:spacing w:after="60" w:line="276" w:lineRule="auto"/>
      </w:pPr>
      <w:r>
        <w:rPr>
          <w:rFonts w:ascii="Calibri" w:hAnsi="Calibri"/>
          <w:sz w:val="21"/>
        </w:rPr>
        <w:t>Provides actions for seeding, re-indexing, running evaluation, and navigating to primary screens.</w:t>
      </w:r>
    </w:p>
    <w:p>
      <w:pPr>
        <w:pStyle w:val="Heading2"/>
        <w:spacing w:before="280" w:after="140"/>
      </w:pPr>
      <w:r>
        <w:t>Documents</w:t>
      </w:r>
    </w:p>
    <w:p>
      <w:pPr>
        <w:spacing w:after="120" w:line="300" w:lineRule="auto"/>
      </w:pPr>
      <w:r>
        <w:rPr>
          <w:rFonts w:ascii="Calibri" w:hAnsi="Calibri"/>
        </w:rPr>
        <w:t>The Documents area manages the local knowledge base.</w:t>
      </w:r>
    </w:p>
    <w:tbl>
      <w:tblPr>
        <w:tblStyle w:val="TableGrid"/>
        <w:tblW w:type="dxa" w:w="9360"/>
        <w:tblLayout w:type="fixed"/>
        <w:tblLook w:firstColumn="1" w:firstRow="1" w:lastColumn="0" w:lastRow="0" w:noHBand="0" w:noVBand="1" w:val="04A0"/>
        <w:jc w:val="left"/>
        <w:tblInd w:type="dxa" w:w="120"/>
        <w:tblBorders>
          <w:top w:val="single" w:sz="4" w:space="0" w:color="B8C3D1"/>
          <w:left w:val="single" w:sz="4" w:space="0" w:color="B8C3D1"/>
          <w:bottom w:val="single" w:sz="4" w:space="0" w:color="B8C3D1"/>
          <w:right w:val="single" w:sz="4" w:space="0" w:color="B8C3D1"/>
          <w:insideH w:val="single" w:sz="4" w:space="0" w:color="B8C3D1"/>
          <w:insideV w:val="single" w:sz="4" w:space="0" w:color="B8C3D1"/>
        </w:tblBorders>
      </w:tblPr>
      <w:tblGrid>
        <w:gridCol w:w="2300"/>
        <w:gridCol w:w="7060"/>
      </w:tblGrid>
      <w:tr>
        <w:trPr>
          <w:cantSplit/>
          <w:tblHeader/>
        </w:trPr>
        <w:tc>
          <w:tcPr>
            <w:tcW w:type="dxa" w:w="23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Workflow</w:t>
            </w:r>
          </w:p>
        </w:tc>
        <w:tc>
          <w:tcPr>
            <w:tcW w:type="dxa" w:w="706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How to use it</w:t>
            </w:r>
          </w:p>
        </w:tc>
      </w:tr>
      <w:tr>
        <w:trPr>
          <w:cantSplit/>
        </w:trPr>
        <w:tc>
          <w:tcPr>
            <w:tcW w:type="dxa" w:w="23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Create draft</w:t>
            </w:r>
          </w:p>
        </w:tc>
        <w:tc>
          <w:tcPr>
            <w:tcW w:type="dxa" w:w="70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Use Documents &gt; New, fill title/content/tags/metadata, then Save.</w:t>
            </w:r>
          </w:p>
        </w:tc>
      </w:tr>
      <w:tr>
        <w:trPr>
          <w:cantSplit/>
        </w:trPr>
        <w:tc>
          <w:tcPr>
            <w:tcW w:type="dxa" w:w="23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Create and index</w:t>
            </w:r>
          </w:p>
        </w:tc>
        <w:tc>
          <w:tcPr>
            <w:tcW w:type="dxa" w:w="70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Use Save and embed to call `POST /api/documents?index=true`; the app creates, chunks, and embeds immediately.</w:t>
            </w:r>
          </w:p>
        </w:tc>
      </w:tr>
      <w:tr>
        <w:trPr>
          <w:cantSplit/>
        </w:trPr>
        <w:tc>
          <w:tcPr>
            <w:tcW w:type="dxa" w:w="23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View details</w:t>
            </w:r>
          </w:p>
        </w:tc>
        <w:tc>
          <w:tcPr>
            <w:tcW w:type="dxa" w:w="70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Open a document to inspect status, metadata, chunks, and indexing state.</w:t>
            </w:r>
          </w:p>
        </w:tc>
      </w:tr>
      <w:tr>
        <w:trPr>
          <w:cantSplit/>
        </w:trPr>
        <w:tc>
          <w:tcPr>
            <w:tcW w:type="dxa" w:w="23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Chunk/embed/re-index</w:t>
            </w:r>
          </w:p>
        </w:tc>
        <w:tc>
          <w:tcPr>
            <w:tcW w:type="dxa" w:w="70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Use detail actions for a single document or Dashboard &gt; Re-index all documents for all active documents.</w:t>
            </w:r>
          </w:p>
        </w:tc>
      </w:tr>
      <w:tr>
        <w:trPr>
          <w:cantSplit/>
        </w:trPr>
        <w:tc>
          <w:tcPr>
            <w:tcW w:type="dxa" w:w="23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Delete</w:t>
            </w:r>
          </w:p>
        </w:tc>
        <w:tc>
          <w:tcPr>
            <w:tcW w:type="dxa" w:w="70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Deletes are soft deletes; deleted documents are excluded from active lists/search.</w:t>
            </w:r>
          </w:p>
        </w:tc>
      </w:tr>
    </w:tbl>
    <w:p>
      <w:pPr>
        <w:spacing w:after="80" w:line="240" w:lineRule="auto"/>
      </w:pPr>
    </w:p>
    <w:p>
      <w:pPr>
        <w:pStyle w:val="Heading2"/>
        <w:spacing w:before="280" w:after="140"/>
      </w:pPr>
      <w:r>
        <w:t>Search</w:t>
      </w:r>
    </w:p>
    <w:tbl>
      <w:tblPr>
        <w:tblStyle w:val="TableGrid"/>
        <w:tblW w:type="dxa" w:w="9360"/>
        <w:tblLayout w:type="fixed"/>
        <w:tblLook w:firstColumn="1" w:firstRow="1" w:lastColumn="0" w:lastRow="0" w:noHBand="0" w:noVBand="1" w:val="04A0"/>
        <w:jc w:val="left"/>
        <w:tblInd w:type="dxa" w:w="120"/>
        <w:tblBorders>
          <w:top w:val="single" w:sz="4" w:space="0" w:color="B8C3D1"/>
          <w:left w:val="single" w:sz="4" w:space="0" w:color="B8C3D1"/>
          <w:bottom w:val="single" w:sz="4" w:space="0" w:color="B8C3D1"/>
          <w:right w:val="single" w:sz="4" w:space="0" w:color="B8C3D1"/>
          <w:insideH w:val="single" w:sz="4" w:space="0" w:color="B8C3D1"/>
          <w:insideV w:val="single" w:sz="4" w:space="0" w:color="B8C3D1"/>
        </w:tblBorders>
      </w:tblPr>
      <w:tblGrid>
        <w:gridCol w:w="1700"/>
        <w:gridCol w:w="3000"/>
        <w:gridCol w:w="4660"/>
      </w:tblGrid>
      <w:tr>
        <w:trPr>
          <w:cantSplit/>
          <w:tblHeader/>
        </w:trPr>
        <w:tc>
          <w:tcPr>
            <w:tcW w:type="dxa" w:w="17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Mode</w:t>
            </w:r>
          </w:p>
        </w:tc>
        <w:tc>
          <w:tcPr>
            <w:tcW w:type="dxa" w:w="30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Best use</w:t>
            </w:r>
          </w:p>
        </w:tc>
        <w:tc>
          <w:tcPr>
            <w:tcW w:type="dxa" w:w="466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How it works</w:t>
            </w:r>
          </w:p>
        </w:tc>
      </w:tr>
      <w:tr>
        <w:trPr>
          <w:cantSplit/>
        </w:trPr>
        <w:tc>
          <w:tcPr>
            <w:tcW w:type="dxa" w:w="17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Keyword</w:t>
            </w:r>
          </w:p>
        </w:tc>
        <w:tc>
          <w:tcPr>
            <w:tcW w:type="dxa" w:w="30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Exact term or lexical checks.</w:t>
            </w:r>
          </w:p>
        </w:tc>
        <w:tc>
          <w:tcPr>
            <w:tcW w:type="dxa" w:w="46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Searches document title/content, chunk content, and tags.</w:t>
            </w:r>
          </w:p>
        </w:tc>
      </w:tr>
      <w:tr>
        <w:trPr>
          <w:cantSplit/>
        </w:trPr>
        <w:tc>
          <w:tcPr>
            <w:tcW w:type="dxa" w:w="17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Semantic</w:t>
            </w:r>
          </w:p>
        </w:tc>
        <w:tc>
          <w:tcPr>
            <w:tcW w:type="dxa" w:w="30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Meaning-based retrieval.</w:t>
            </w:r>
          </w:p>
        </w:tc>
        <w:tc>
          <w:tcPr>
            <w:tcW w:type="dxa" w:w="46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Embeds the query and searches pgvector by cosine distance.</w:t>
            </w:r>
          </w:p>
        </w:tc>
      </w:tr>
      <w:tr>
        <w:trPr>
          <w:cantSplit/>
        </w:trPr>
        <w:tc>
          <w:tcPr>
            <w:tcW w:type="dxa" w:w="17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Hybrid</w:t>
            </w:r>
          </w:p>
        </w:tc>
        <w:tc>
          <w:tcPr>
            <w:tcW w:type="dxa" w:w="30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Default recommendation.</w:t>
            </w:r>
          </w:p>
        </w:tc>
        <w:tc>
          <w:tcPr>
            <w:tcW w:type="dxa" w:w="46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Combines vector score, normalized keyword score, and recency score.</w:t>
            </w:r>
          </w:p>
        </w:tc>
      </w:tr>
    </w:tbl>
    <w:p>
      <w:pPr>
        <w:spacing w:after="80" w:line="240" w:lineRule="auto"/>
      </w:pPr>
    </w:p>
    <w:p>
      <w:pPr>
        <w:spacing w:after="120" w:line="300" w:lineRule="auto"/>
      </w:pPr>
      <w:r>
        <w:rPr>
          <w:rFonts w:ascii="Calibri" w:hAnsi="Calibri"/>
        </w:rPr>
        <w:t>Hybrid ranking uses:</w:t>
      </w:r>
    </w:p>
    <w:tbl>
      <w:tblPr>
        <w:tblW w:type="dxa" w:w="9360"/>
        <w:jc w:val="left"/>
        <w:tblLayout w:type="fixed"/>
        <w:tblLook w:firstColumn="1" w:firstRow="1" w:lastColumn="0" w:lastRow="0" w:noHBand="0" w:noVBand="1" w:val="04A0"/>
        <w:tblInd w:type="dxa" w:w="1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rPr>
          <w:cantSplit/>
        </w:trPr>
        <w:tc>
          <w:tcPr>
            <w:tcW w:type="dxa" w:w="9360"/>
            <w:tcMar>
              <w:top w:w="120" w:type="dxa"/>
              <w:bottom w:w="120" w:type="dxa"/>
              <w:start w:w="160" w:type="dxa"/>
              <w:end w:w="160" w:type="dxa"/>
            </w:tcMar>
            <w:vAlign w:val="center"/>
            <w:shd w:fill="F6F8FA"/>
          </w:tcPr>
          <w:p>
            <w:pPr>
              <w:spacing w:before="0" w:after="0" w:line="252" w:lineRule="auto"/>
            </w:pPr>
            <w:r/>
            <w:r>
              <w:rPr>
                <w:rFonts w:ascii="Consolas" w:hAnsi="Consolas"/>
                <w:color w:val="000000"/>
                <w:sz w:val="17"/>
              </w:rPr>
              <w:t>finalScore = 0.65 * vectorScore + 0.30 * keywordScoreNormalized + 0.05 * recencyScore</w:t>
            </w:r>
          </w:p>
        </w:tc>
      </w:tr>
    </w:tbl>
    <w:p>
      <w:pPr>
        <w:spacing w:after="100" w:line="240" w:lineRule="auto"/>
      </w:pPr>
    </w:p>
    <w:p>
      <w:pPr>
        <w:pStyle w:val="Heading2"/>
        <w:spacing w:before="280" w:after="140"/>
      </w:pPr>
      <w:r>
        <w:t>Agent</w:t>
      </w:r>
    </w:p>
    <w:p>
      <w:pPr>
        <w:spacing w:after="120" w:line="300" w:lineRule="auto"/>
      </w:pPr>
      <w:r>
        <w:rPr>
          <w:rFonts w:ascii="Calibri" w:hAnsi="Calibri"/>
        </w:rPr>
        <w:t>The agent is a retrieval-augmented assistant over the local knowledge base. It does not train OpenAI on the local database.</w:t>
      </w:r>
    </w:p>
    <w:p>
      <w:pPr>
        <w:pStyle w:val="ListBullet"/>
        <w:spacing w:after="60" w:line="276" w:lineRule="auto"/>
      </w:pPr>
      <w:r>
        <w:rPr>
          <w:rFonts w:ascii="Calibri" w:hAnsi="Calibri"/>
          <w:sz w:val="21"/>
        </w:rPr>
        <w:t>Retrieves local chunks before answering.</w:t>
      </w:r>
    </w:p>
    <w:p>
      <w:pPr>
        <w:pStyle w:val="ListBullet"/>
        <w:spacing w:after="60" w:line="276" w:lineRule="auto"/>
      </w:pPr>
      <w:r>
        <w:rPr>
          <w:rFonts w:ascii="Calibri" w:hAnsi="Calibri"/>
          <w:sz w:val="21"/>
        </w:rPr>
        <w:t>Uses hybrid search by default.</w:t>
      </w:r>
    </w:p>
    <w:p>
      <w:pPr>
        <w:pStyle w:val="ListBullet"/>
        <w:spacing w:after="60" w:line="276" w:lineRule="auto"/>
      </w:pPr>
      <w:r>
        <w:rPr>
          <w:rFonts w:ascii="Calibri" w:hAnsi="Calibri"/>
          <w:sz w:val="21"/>
        </w:rPr>
        <w:t>Builds an answer prompt from retrieved chunks.</w:t>
      </w:r>
    </w:p>
    <w:p>
      <w:pPr>
        <w:pStyle w:val="ListBullet"/>
        <w:spacing w:after="60" w:line="276" w:lineRule="auto"/>
      </w:pPr>
      <w:r>
        <w:rPr>
          <w:rFonts w:ascii="Calibri" w:hAnsi="Calibri"/>
          <w:sz w:val="21"/>
        </w:rPr>
        <w:t>Returns citations from actual retrieved chunks only.</w:t>
      </w:r>
    </w:p>
    <w:p>
      <w:pPr>
        <w:pStyle w:val="ListBullet"/>
        <w:spacing w:after="60" w:line="276" w:lineRule="auto"/>
      </w:pPr>
      <w:r>
        <w:rPr>
          <w:rFonts w:ascii="Calibri" w:hAnsi="Calibri"/>
          <w:sz w:val="21"/>
        </w:rPr>
        <w:t>Stores agent run steps for retrieval, answer generation, and citation creation.</w:t>
      </w:r>
    </w:p>
    <w:p>
      <w:pPr>
        <w:pStyle w:val="ListBullet"/>
        <w:spacing w:after="60" w:line="276" w:lineRule="auto"/>
      </w:pPr>
      <w:r>
        <w:rPr>
          <w:rFonts w:ascii="Calibri" w:hAnsi="Calibri"/>
          <w:sz w:val="21"/>
        </w:rPr>
        <w:t>Says when local context is insufficient instead of inventing unsupported citations.</w:t>
      </w:r>
    </w:p>
    <w:p>
      <w:pPr>
        <w:pStyle w:val="Heading2"/>
        <w:spacing w:before="280" w:after="140"/>
      </w:pPr>
      <w:r>
        <w:t>Evaluation</w:t>
      </w:r>
    </w:p>
    <w:p>
      <w:pPr>
        <w:spacing w:after="120" w:line="300" w:lineRule="auto"/>
      </w:pPr>
      <w:r>
        <w:rPr>
          <w:rFonts w:ascii="Calibri" w:hAnsi="Calibri"/>
        </w:rPr>
        <w:t>The Evaluation page measures retrieval quality against expected documents and keywords.</w:t>
      </w:r>
    </w:p>
    <w:p>
      <w:pPr>
        <w:pStyle w:val="ListBullet"/>
        <w:spacing w:after="60" w:line="276" w:lineRule="auto"/>
      </w:pPr>
      <w:r>
        <w:rPr>
          <w:rFonts w:ascii="Calibri" w:hAnsi="Calibri"/>
          <w:sz w:val="21"/>
        </w:rPr>
        <w:t>Generate evaluation questions from seeded knowledge.</w:t>
      </w:r>
    </w:p>
    <w:p>
      <w:pPr>
        <w:pStyle w:val="ListBullet"/>
        <w:spacing w:after="60" w:line="276" w:lineRule="auto"/>
      </w:pPr>
      <w:r>
        <w:rPr>
          <w:rFonts w:ascii="Calibri" w:hAnsi="Calibri"/>
          <w:sz w:val="21"/>
        </w:rPr>
        <w:t>Run retrieval evaluation by mode and top K.</w:t>
      </w:r>
    </w:p>
    <w:p>
      <w:pPr>
        <w:pStyle w:val="ListBullet"/>
        <w:spacing w:after="60" w:line="276" w:lineRule="auto"/>
      </w:pPr>
      <w:r>
        <w:rPr>
          <w:rFonts w:ascii="Calibri" w:hAnsi="Calibri"/>
          <w:sz w:val="21"/>
        </w:rPr>
        <w:t>Review score, failed cases, retrieved chunks, matched expected documents, and matched keywords.</w:t>
      </w:r>
    </w:p>
    <w:p>
      <w:pPr>
        <w:pStyle w:val="ListBullet"/>
        <w:spacing w:after="60" w:line="276" w:lineRule="auto"/>
      </w:pPr>
      <w:r>
        <w:rPr>
          <w:rFonts w:ascii="Calibri" w:hAnsi="Calibri"/>
          <w:sz w:val="21"/>
        </w:rPr>
        <w:t>Use it after changing chunking, seed data, search weights, or retrieval behavior.</w:t>
      </w:r>
    </w:p>
    <w:p>
      <w:pPr>
        <w:pStyle w:val="Heading2"/>
        <w:spacing w:before="280" w:after="140"/>
      </w:pPr>
      <w:r>
        <w:t>Settings</w:t>
      </w:r>
    </w:p>
    <w:tbl>
      <w:tblPr>
        <w:tblStyle w:val="TableGrid"/>
        <w:tblW w:type="dxa" w:w="9360"/>
        <w:tblLayout w:type="fixed"/>
        <w:tblLook w:firstColumn="1" w:firstRow="1" w:lastColumn="0" w:lastRow="0" w:noHBand="0" w:noVBand="1" w:val="04A0"/>
        <w:jc w:val="left"/>
        <w:tblInd w:type="dxa" w:w="120"/>
        <w:tblBorders>
          <w:top w:val="single" w:sz="4" w:space="0" w:color="B8C3D1"/>
          <w:left w:val="single" w:sz="4" w:space="0" w:color="B8C3D1"/>
          <w:bottom w:val="single" w:sz="4" w:space="0" w:color="B8C3D1"/>
          <w:right w:val="single" w:sz="4" w:space="0" w:color="B8C3D1"/>
          <w:insideH w:val="single" w:sz="4" w:space="0" w:color="B8C3D1"/>
          <w:insideV w:val="single" w:sz="4" w:space="0" w:color="B8C3D1"/>
        </w:tblBorders>
      </w:tblPr>
      <w:tblGrid>
        <w:gridCol w:w="2400"/>
        <w:gridCol w:w="3960"/>
        <w:gridCol w:w="3000"/>
      </w:tblGrid>
      <w:tr>
        <w:trPr>
          <w:cantSplit/>
          <w:tblHeader/>
        </w:trPr>
        <w:tc>
          <w:tcPr>
            <w:tcW w:type="dxa" w:w="24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Setting type</w:t>
            </w:r>
          </w:p>
        </w:tc>
        <w:tc>
          <w:tcPr>
            <w:tcW w:type="dxa" w:w="396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Examples</w:t>
            </w:r>
          </w:p>
        </w:tc>
        <w:tc>
          <w:tcPr>
            <w:tcW w:type="dxa" w:w="30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Notes</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Editable at runtime</w:t>
            </w:r>
          </w:p>
        </w:tc>
        <w:tc>
          <w:tcPr>
            <w:tcW w:type="dxa" w:w="39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Chat model, default search limit, vector/keyword/recency weights.</w:t>
            </w:r>
          </w:p>
        </w:tc>
        <w:tc>
          <w:tcPr>
            <w:tcW w:type="dxa" w:w="30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Useful for local tuning without code changes.</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Read-only infrastructure values</w:t>
            </w:r>
          </w:p>
        </w:tc>
        <w:tc>
          <w:tcPr>
            <w:tcW w:type="dxa" w:w="39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Embedding model, embedding dimensions, chunk size, chunk overlap.</w:t>
            </w:r>
          </w:p>
        </w:tc>
        <w:tc>
          <w:tcPr>
            <w:tcW w:type="dxa" w:w="30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Changing these can affect vector compatibility and indexing behavior.</w:t>
            </w:r>
          </w:p>
        </w:tc>
      </w:tr>
    </w:tbl>
    <w:p>
      <w:pPr>
        <w:spacing w:after="80" w:line="240" w:lineRule="auto"/>
      </w:pPr>
    </w:p>
    <w:p>
      <w:pPr>
        <w:pStyle w:val="Heading1"/>
        <w:spacing w:before="360" w:after="200"/>
      </w:pPr>
      <w:r>
        <w:t>6. API and Developer Commands</w:t>
      </w:r>
    </w:p>
    <w:p>
      <w:pPr>
        <w:pStyle w:val="Heading2"/>
        <w:spacing w:before="280" w:after="140"/>
      </w:pPr>
      <w:r>
        <w:t>Common API Flow</w:t>
      </w:r>
    </w:p>
    <w:p>
      <w:pPr>
        <w:spacing w:after="120" w:line="300" w:lineRule="auto"/>
      </w:pPr>
      <w:r>
        <w:rPr>
          <w:rFonts w:ascii="Calibri" w:hAnsi="Calibri"/>
        </w:rPr>
        <w:t>Authenticate first, then pass the bearer token to protected endpoints.</w:t>
      </w:r>
    </w:p>
    <w:tbl>
      <w:tblPr>
        <w:tblW w:type="dxa" w:w="9360"/>
        <w:jc w:val="left"/>
        <w:tblLayout w:type="fixed"/>
        <w:tblLook w:firstColumn="1" w:firstRow="1" w:lastColumn="0" w:lastRow="0" w:noHBand="0" w:noVBand="1" w:val="04A0"/>
        <w:tblInd w:type="dxa" w:w="1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rPr>
          <w:cantSplit/>
        </w:trPr>
        <w:tc>
          <w:tcPr>
            <w:tcW w:type="dxa" w:w="9360"/>
            <w:tcMar>
              <w:top w:w="120" w:type="dxa"/>
              <w:bottom w:w="120" w:type="dxa"/>
              <w:start w:w="160" w:type="dxa"/>
              <w:end w:w="160" w:type="dxa"/>
            </w:tcMar>
            <w:vAlign w:val="center"/>
            <w:shd w:fill="F6F8FA"/>
          </w:tcPr>
          <w:p>
            <w:pPr>
              <w:spacing w:before="0" w:after="0" w:line="252" w:lineRule="auto"/>
            </w:pPr>
            <w:r/>
            <w:r>
              <w:rPr>
                <w:rFonts w:ascii="Consolas" w:hAnsi="Consolas"/>
                <w:color w:val="000000"/>
                <w:sz w:val="17"/>
              </w:rPr>
              <w:t>$login = Invoke-RestMethod `</w:t>
            </w:r>
          </w:p>
          <w:p>
            <w:pPr>
              <w:spacing w:before="0" w:after="0" w:line="252" w:lineRule="auto"/>
            </w:pPr>
            <w:r>
              <w:rPr>
                <w:rFonts w:ascii="Consolas" w:hAnsi="Consolas"/>
                <w:color w:val="000000"/>
                <w:sz w:val="17"/>
              </w:rPr>
              <w:t xml:space="preserve">  -Uri 'http://localhost:5000/api/auth/login' `</w:t>
            </w:r>
          </w:p>
          <w:p>
            <w:pPr>
              <w:spacing w:before="0" w:after="0" w:line="252" w:lineRule="auto"/>
            </w:pPr>
            <w:r>
              <w:rPr>
                <w:rFonts w:ascii="Consolas" w:hAnsi="Consolas"/>
                <w:color w:val="000000"/>
                <w:sz w:val="17"/>
              </w:rPr>
              <w:t xml:space="preserve">  -Method Post `</w:t>
            </w:r>
          </w:p>
          <w:p>
            <w:pPr>
              <w:spacing w:before="0" w:after="0" w:line="252" w:lineRule="auto"/>
            </w:pPr>
            <w:r>
              <w:rPr>
                <w:rFonts w:ascii="Consolas" w:hAnsi="Consolas"/>
                <w:color w:val="000000"/>
                <w:sz w:val="17"/>
              </w:rPr>
              <w:t xml:space="preserve">  -ContentType 'application/json' `</w:t>
            </w:r>
          </w:p>
          <w:p>
            <w:pPr>
              <w:spacing w:before="0" w:after="0" w:line="252" w:lineRule="auto"/>
            </w:pPr>
            <w:r>
              <w:rPr>
                <w:rFonts w:ascii="Consolas" w:hAnsi="Consolas"/>
                <w:color w:val="000000"/>
                <w:sz w:val="17"/>
              </w:rPr>
              <w:t xml:space="preserve">  -Body (@{ username = 'admin'; password = 'admin' } | ConvertTo-Json)</w:t>
            </w:r>
          </w:p>
          <w:p>
            <w:pPr>
              <w:spacing w:before="0" w:after="0" w:line="252" w:lineRule="auto"/>
            </w:pPr>
            <w:r>
              <w:rPr>
                <w:rFonts w:ascii="Consolas" w:hAnsi="Consolas"/>
                <w:color w:val="000000"/>
                <w:sz w:val="17"/>
              </w:rPr>
            </w:r>
          </w:p>
          <w:p>
            <w:pPr>
              <w:spacing w:before="0" w:after="0" w:line="252" w:lineRule="auto"/>
            </w:pPr>
            <w:r>
              <w:rPr>
                <w:rFonts w:ascii="Consolas" w:hAnsi="Consolas"/>
                <w:color w:val="000000"/>
                <w:sz w:val="17"/>
              </w:rPr>
              <w:t>$headers = @{ Authorization = "Bearer $($login.accessToken)" }</w:t>
            </w:r>
          </w:p>
        </w:tc>
      </w:tr>
    </w:tbl>
    <w:p>
      <w:pPr>
        <w:spacing w:after="100" w:line="240" w:lineRule="auto"/>
      </w:pPr>
    </w:p>
    <w:p>
      <w:pPr>
        <w:spacing w:after="120" w:line="300" w:lineRule="auto"/>
      </w:pPr>
      <w:r>
        <w:rPr>
          <w:rFonts w:ascii="Calibri" w:hAnsi="Calibri"/>
        </w:rPr>
        <w:t>Seed and re-index data:</w:t>
      </w:r>
    </w:p>
    <w:tbl>
      <w:tblPr>
        <w:tblW w:type="dxa" w:w="9360"/>
        <w:jc w:val="left"/>
        <w:tblLayout w:type="fixed"/>
        <w:tblLook w:firstColumn="1" w:firstRow="1" w:lastColumn="0" w:lastRow="0" w:noHBand="0" w:noVBand="1" w:val="04A0"/>
        <w:tblInd w:type="dxa" w:w="1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rPr>
          <w:cantSplit/>
        </w:trPr>
        <w:tc>
          <w:tcPr>
            <w:tcW w:type="dxa" w:w="9360"/>
            <w:tcMar>
              <w:top w:w="120" w:type="dxa"/>
              <w:bottom w:w="120" w:type="dxa"/>
              <w:start w:w="160" w:type="dxa"/>
              <w:end w:w="160" w:type="dxa"/>
            </w:tcMar>
            <w:vAlign w:val="center"/>
            <w:shd w:fill="F6F8FA"/>
          </w:tcPr>
          <w:p>
            <w:pPr>
              <w:spacing w:before="0" w:after="0" w:line="252" w:lineRule="auto"/>
            </w:pPr>
            <w:r/>
            <w:r>
              <w:rPr>
                <w:rFonts w:ascii="Consolas" w:hAnsi="Consolas"/>
                <w:color w:val="000000"/>
                <w:sz w:val="17"/>
              </w:rPr>
              <w:t>Invoke-RestMethod -Uri 'http://localhost:5000/api/admin/seed' -Method Post -Headers $headers</w:t>
            </w:r>
          </w:p>
          <w:p>
            <w:pPr>
              <w:spacing w:before="0" w:after="0" w:line="252" w:lineRule="auto"/>
            </w:pPr>
            <w:r>
              <w:rPr>
                <w:rFonts w:ascii="Consolas" w:hAnsi="Consolas"/>
                <w:color w:val="000000"/>
                <w:sz w:val="17"/>
              </w:rPr>
              <w:t>Invoke-RestMethod -Uri 'http://localhost:5000/api/admin/reindex' -Method Post -Headers $headers</w:t>
            </w:r>
          </w:p>
        </w:tc>
      </w:tr>
    </w:tbl>
    <w:p>
      <w:pPr>
        <w:spacing w:after="100" w:line="240" w:lineRule="auto"/>
      </w:pPr>
    </w:p>
    <w:p>
      <w:pPr>
        <w:spacing w:after="120" w:line="300" w:lineRule="auto"/>
      </w:pPr>
      <w:r>
        <w:rPr>
          <w:rFonts w:ascii="Calibri" w:hAnsi="Calibri"/>
        </w:rPr>
        <w:t>Create a document and embed it immediately:</w:t>
      </w:r>
    </w:p>
    <w:tbl>
      <w:tblPr>
        <w:tblW w:type="dxa" w:w="9360"/>
        <w:jc w:val="left"/>
        <w:tblLayout w:type="fixed"/>
        <w:tblLook w:firstColumn="1" w:firstRow="1" w:lastColumn="0" w:lastRow="0" w:noHBand="0" w:noVBand="1" w:val="04A0"/>
        <w:tblInd w:type="dxa" w:w="1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rPr>
          <w:cantSplit/>
        </w:trPr>
        <w:tc>
          <w:tcPr>
            <w:tcW w:type="dxa" w:w="9360"/>
            <w:tcMar>
              <w:top w:w="120" w:type="dxa"/>
              <w:bottom w:w="120" w:type="dxa"/>
              <w:start w:w="160" w:type="dxa"/>
              <w:end w:w="160" w:type="dxa"/>
            </w:tcMar>
            <w:vAlign w:val="center"/>
            <w:shd w:fill="F6F8FA"/>
          </w:tcPr>
          <w:p>
            <w:pPr>
              <w:spacing w:before="0" w:after="0" w:line="252" w:lineRule="auto"/>
            </w:pPr>
            <w:r/>
            <w:r>
              <w:rPr>
                <w:rFonts w:ascii="Consolas" w:hAnsi="Consolas"/>
                <w:color w:val="000000"/>
                <w:sz w:val="17"/>
              </w:rPr>
              <w:t>$document = @{</w:t>
            </w:r>
          </w:p>
          <w:p>
            <w:pPr>
              <w:spacing w:before="0" w:after="0" w:line="252" w:lineRule="auto"/>
            </w:pPr>
            <w:r>
              <w:rPr>
                <w:rFonts w:ascii="Consolas" w:hAnsi="Consolas"/>
                <w:color w:val="000000"/>
                <w:sz w:val="17"/>
              </w:rPr>
              <w:t xml:space="preserve">  title = 'Local AI Search Runbook'</w:t>
            </w:r>
          </w:p>
          <w:p>
            <w:pPr>
              <w:spacing w:before="0" w:after="0" w:line="252" w:lineRule="auto"/>
            </w:pPr>
            <w:r>
              <w:rPr>
                <w:rFonts w:ascii="Consolas" w:hAnsi="Consolas"/>
                <w:color w:val="000000"/>
                <w:sz w:val="17"/>
              </w:rPr>
              <w:t xml:space="preserve">  content = 'This runbook explains chunking, embeddings, pgvector, hybrid ranking, citations, and evaluation for local knowledge workflows.'</w:t>
            </w:r>
          </w:p>
          <w:p>
            <w:pPr>
              <w:spacing w:before="0" w:after="0" w:line="252" w:lineRule="auto"/>
            </w:pPr>
            <w:r>
              <w:rPr>
                <w:rFonts w:ascii="Consolas" w:hAnsi="Consolas"/>
                <w:color w:val="000000"/>
                <w:sz w:val="17"/>
              </w:rPr>
              <w:t xml:space="preserve">  tags = @('runbook', 'ai-search')</w:t>
            </w:r>
          </w:p>
          <w:p>
            <w:pPr>
              <w:spacing w:before="0" w:after="0" w:line="252" w:lineRule="auto"/>
            </w:pPr>
            <w:r>
              <w:rPr>
                <w:rFonts w:ascii="Consolas" w:hAnsi="Consolas"/>
                <w:color w:val="000000"/>
                <w:sz w:val="17"/>
              </w:rPr>
              <w:t xml:space="preserve">  metadata = @{ owner = 'platform'; environment = 'local' }</w:t>
            </w:r>
          </w:p>
          <w:p>
            <w:pPr>
              <w:spacing w:before="0" w:after="0" w:line="252" w:lineRule="auto"/>
            </w:pPr>
            <w:r>
              <w:rPr>
                <w:rFonts w:ascii="Consolas" w:hAnsi="Consolas"/>
                <w:color w:val="000000"/>
                <w:sz w:val="17"/>
              </w:rPr>
              <w:t>} | ConvertTo-Json -Depth 8</w:t>
            </w:r>
          </w:p>
          <w:p>
            <w:pPr>
              <w:spacing w:before="0" w:after="0" w:line="252" w:lineRule="auto"/>
            </w:pPr>
            <w:r>
              <w:rPr>
                <w:rFonts w:ascii="Consolas" w:hAnsi="Consolas"/>
                <w:color w:val="000000"/>
                <w:sz w:val="17"/>
              </w:rPr>
            </w:r>
          </w:p>
          <w:p>
            <w:pPr>
              <w:spacing w:before="0" w:after="0" w:line="252" w:lineRule="auto"/>
            </w:pPr>
            <w:r>
              <w:rPr>
                <w:rFonts w:ascii="Consolas" w:hAnsi="Consolas"/>
                <w:color w:val="000000"/>
                <w:sz w:val="17"/>
              </w:rPr>
              <w:t>Invoke-RestMethod `</w:t>
            </w:r>
          </w:p>
          <w:p>
            <w:pPr>
              <w:spacing w:before="0" w:after="0" w:line="252" w:lineRule="auto"/>
            </w:pPr>
            <w:r>
              <w:rPr>
                <w:rFonts w:ascii="Consolas" w:hAnsi="Consolas"/>
                <w:color w:val="000000"/>
                <w:sz w:val="17"/>
              </w:rPr>
              <w:t xml:space="preserve">  -Uri 'http://localhost:5000/api/documents?index=true' `</w:t>
            </w:r>
          </w:p>
          <w:p>
            <w:pPr>
              <w:spacing w:before="0" w:after="0" w:line="252" w:lineRule="auto"/>
            </w:pPr>
            <w:r>
              <w:rPr>
                <w:rFonts w:ascii="Consolas" w:hAnsi="Consolas"/>
                <w:color w:val="000000"/>
                <w:sz w:val="17"/>
              </w:rPr>
              <w:t xml:space="preserve">  -Method Post `</w:t>
            </w:r>
          </w:p>
          <w:p>
            <w:pPr>
              <w:spacing w:before="0" w:after="0" w:line="252" w:lineRule="auto"/>
            </w:pPr>
            <w:r>
              <w:rPr>
                <w:rFonts w:ascii="Consolas" w:hAnsi="Consolas"/>
                <w:color w:val="000000"/>
                <w:sz w:val="17"/>
              </w:rPr>
              <w:t xml:space="preserve">  -Headers $headers `</w:t>
            </w:r>
          </w:p>
          <w:p>
            <w:pPr>
              <w:spacing w:before="0" w:after="0" w:line="252" w:lineRule="auto"/>
            </w:pPr>
            <w:r>
              <w:rPr>
                <w:rFonts w:ascii="Consolas" w:hAnsi="Consolas"/>
                <w:color w:val="000000"/>
                <w:sz w:val="17"/>
              </w:rPr>
              <w:t xml:space="preserve">  -ContentType 'application/json' `</w:t>
            </w:r>
          </w:p>
          <w:p>
            <w:pPr>
              <w:spacing w:before="0" w:after="0" w:line="252" w:lineRule="auto"/>
            </w:pPr>
            <w:r>
              <w:rPr>
                <w:rFonts w:ascii="Consolas" w:hAnsi="Consolas"/>
                <w:color w:val="000000"/>
                <w:sz w:val="17"/>
              </w:rPr>
              <w:t xml:space="preserve">  -Body $document</w:t>
            </w:r>
          </w:p>
        </w:tc>
      </w:tr>
    </w:tbl>
    <w:p>
      <w:pPr>
        <w:spacing w:after="100" w:line="240" w:lineRule="auto"/>
      </w:pPr>
    </w:p>
    <w:p>
      <w:pPr>
        <w:spacing w:after="120" w:line="300" w:lineRule="auto"/>
      </w:pPr>
      <w:r>
        <w:rPr>
          <w:rFonts w:ascii="Calibri" w:hAnsi="Calibri"/>
        </w:rPr>
        <w:t>Run hybrid search and ask the agent:</w:t>
      </w:r>
    </w:p>
    <w:tbl>
      <w:tblPr>
        <w:tblW w:type="dxa" w:w="9360"/>
        <w:jc w:val="left"/>
        <w:tblLayout w:type="fixed"/>
        <w:tblLook w:firstColumn="1" w:firstRow="1" w:lastColumn="0" w:lastRow="0" w:noHBand="0" w:noVBand="1" w:val="04A0"/>
        <w:tblInd w:type="dxa" w:w="1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rPr>
          <w:cantSplit/>
        </w:trPr>
        <w:tc>
          <w:tcPr>
            <w:tcW w:type="dxa" w:w="9360"/>
            <w:tcMar>
              <w:top w:w="120" w:type="dxa"/>
              <w:bottom w:w="120" w:type="dxa"/>
              <w:start w:w="160" w:type="dxa"/>
              <w:end w:w="160" w:type="dxa"/>
            </w:tcMar>
            <w:vAlign w:val="center"/>
            <w:shd w:fill="F6F8FA"/>
          </w:tcPr>
          <w:p>
            <w:pPr>
              <w:spacing w:before="0" w:after="0" w:line="252" w:lineRule="auto"/>
            </w:pPr>
            <w:r/>
            <w:r>
              <w:rPr>
                <w:rFonts w:ascii="Consolas" w:hAnsi="Consolas"/>
                <w:color w:val="000000"/>
                <w:sz w:val="17"/>
              </w:rPr>
              <w:t>Invoke-RestMethod `</w:t>
            </w:r>
          </w:p>
          <w:p>
            <w:pPr>
              <w:spacing w:before="0" w:after="0" w:line="252" w:lineRule="auto"/>
            </w:pPr>
            <w:r>
              <w:rPr>
                <w:rFonts w:ascii="Consolas" w:hAnsi="Consolas"/>
                <w:color w:val="000000"/>
                <w:sz w:val="17"/>
              </w:rPr>
              <w:t xml:space="preserve">  -Uri 'http://localhost:5000/api/search/hybrid?query=hybrid%20ranking&amp;limit=5' `</w:t>
            </w:r>
          </w:p>
          <w:p>
            <w:pPr>
              <w:spacing w:before="0" w:after="0" w:line="252" w:lineRule="auto"/>
            </w:pPr>
            <w:r>
              <w:rPr>
                <w:rFonts w:ascii="Consolas" w:hAnsi="Consolas"/>
                <w:color w:val="000000"/>
                <w:sz w:val="17"/>
              </w:rPr>
              <w:t xml:space="preserve">  -Headers $headers</w:t>
            </w:r>
          </w:p>
          <w:p>
            <w:pPr>
              <w:spacing w:before="0" w:after="0" w:line="252" w:lineRule="auto"/>
            </w:pPr>
            <w:r>
              <w:rPr>
                <w:rFonts w:ascii="Consolas" w:hAnsi="Consolas"/>
                <w:color w:val="000000"/>
                <w:sz w:val="17"/>
              </w:rPr>
            </w:r>
          </w:p>
          <w:p>
            <w:pPr>
              <w:spacing w:before="0" w:after="0" w:line="252" w:lineRule="auto"/>
            </w:pPr>
            <w:r>
              <w:rPr>
                <w:rFonts w:ascii="Consolas" w:hAnsi="Consolas"/>
                <w:color w:val="000000"/>
                <w:sz w:val="17"/>
              </w:rPr>
              <w:t>$chat = @{ sessionId = $null; message = 'How does hybrid search work?'; searchMode = 'Hybrid'; topK = 5 } | ConvertTo-Json</w:t>
            </w:r>
          </w:p>
          <w:p>
            <w:pPr>
              <w:spacing w:before="0" w:after="0" w:line="252" w:lineRule="auto"/>
            </w:pPr>
            <w:r>
              <w:rPr>
                <w:rFonts w:ascii="Consolas" w:hAnsi="Consolas"/>
                <w:color w:val="000000"/>
                <w:sz w:val="17"/>
              </w:rPr>
              <w:t>Invoke-RestMethod -Uri 'http://localhost:5000/api/agent/chat' -Method Post -Headers $headers -ContentType 'application/json' -Body $chat</w:t>
            </w:r>
          </w:p>
        </w:tc>
      </w:tr>
    </w:tbl>
    <w:p>
      <w:pPr>
        <w:spacing w:after="100" w:line="240" w:lineRule="auto"/>
      </w:pPr>
    </w:p>
    <w:p>
      <w:pPr>
        <w:pStyle w:val="Heading2"/>
        <w:spacing w:before="280" w:after="140"/>
      </w:pPr>
      <w:r>
        <w:t>Backend Commands</w:t>
      </w:r>
    </w:p>
    <w:tbl>
      <w:tblPr>
        <w:tblW w:type="dxa" w:w="9360"/>
        <w:jc w:val="left"/>
        <w:tblLayout w:type="fixed"/>
        <w:tblLook w:firstColumn="1" w:firstRow="1" w:lastColumn="0" w:lastRow="0" w:noHBand="0" w:noVBand="1" w:val="04A0"/>
        <w:tblInd w:type="dxa" w:w="1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rPr>
          <w:cantSplit/>
        </w:trPr>
        <w:tc>
          <w:tcPr>
            <w:tcW w:type="dxa" w:w="9360"/>
            <w:tcMar>
              <w:top w:w="120" w:type="dxa"/>
              <w:bottom w:w="120" w:type="dxa"/>
              <w:start w:w="160" w:type="dxa"/>
              <w:end w:w="160" w:type="dxa"/>
            </w:tcMar>
            <w:vAlign w:val="center"/>
            <w:shd w:fill="F6F8FA"/>
          </w:tcPr>
          <w:p>
            <w:pPr>
              <w:spacing w:before="0" w:after="0" w:line="252" w:lineRule="auto"/>
            </w:pPr>
            <w:r/>
            <w:r>
              <w:rPr>
                <w:rFonts w:ascii="Consolas" w:hAnsi="Consolas"/>
                <w:color w:val="000000"/>
                <w:sz w:val="17"/>
              </w:rPr>
              <w:t>dotnet restore backend\LocalKnowledgeIntelligence.sln</w:t>
            </w:r>
          </w:p>
          <w:p>
            <w:pPr>
              <w:spacing w:before="0" w:after="0" w:line="252" w:lineRule="auto"/>
            </w:pPr>
            <w:r>
              <w:rPr>
                <w:rFonts w:ascii="Consolas" w:hAnsi="Consolas"/>
                <w:color w:val="000000"/>
                <w:sz w:val="17"/>
              </w:rPr>
              <w:t>dotnet build backend\LocalKnowledgeIntelligence.sln -m:1</w:t>
            </w:r>
          </w:p>
          <w:p>
            <w:pPr>
              <w:spacing w:before="0" w:after="0" w:line="252" w:lineRule="auto"/>
            </w:pPr>
            <w:r>
              <w:rPr>
                <w:rFonts w:ascii="Consolas" w:hAnsi="Consolas"/>
                <w:color w:val="000000"/>
                <w:sz w:val="17"/>
              </w:rPr>
              <w:t>dotnet test backend\LocalKnowledgeIntelligence.sln --no-build -m:1</w:t>
            </w:r>
          </w:p>
          <w:p>
            <w:pPr>
              <w:spacing w:before="0" w:after="0" w:line="252" w:lineRule="auto"/>
            </w:pPr>
            <w:r>
              <w:rPr>
                <w:rFonts w:ascii="Consolas" w:hAnsi="Consolas"/>
                <w:color w:val="000000"/>
                <w:sz w:val="17"/>
              </w:rPr>
              <w:t>dotnet run --project backend\src\LocalKnowledgeIntelligence.Api</w:t>
            </w:r>
          </w:p>
        </w:tc>
      </w:tr>
    </w:tbl>
    <w:p>
      <w:pPr>
        <w:spacing w:after="100" w:line="240" w:lineRule="auto"/>
      </w:pPr>
    </w:p>
    <w:p>
      <w:pPr>
        <w:spacing w:after="120" w:line="300" w:lineRule="auto"/>
      </w:pPr>
      <w:r>
        <w:rPr>
          <w:rFonts w:ascii="Calibri" w:hAnsi="Calibri"/>
        </w:rPr>
        <w:t>The `-m:1` flag keeps MSBuild project-reference builds single-threaded and avoids a local diagnostic issue observed with parallel solution builds.</w:t>
      </w:r>
    </w:p>
    <w:p>
      <w:pPr>
        <w:pStyle w:val="Heading2"/>
        <w:spacing w:before="280" w:after="140"/>
      </w:pPr>
      <w:r>
        <w:t>Frontend Commands</w:t>
      </w:r>
    </w:p>
    <w:tbl>
      <w:tblPr>
        <w:tblW w:type="dxa" w:w="9360"/>
        <w:jc w:val="left"/>
        <w:tblLayout w:type="fixed"/>
        <w:tblLook w:firstColumn="1" w:firstRow="1" w:lastColumn="0" w:lastRow="0" w:noHBand="0" w:noVBand="1" w:val="04A0"/>
        <w:tblInd w:type="dxa" w:w="1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rPr>
          <w:cantSplit/>
        </w:trPr>
        <w:tc>
          <w:tcPr>
            <w:tcW w:type="dxa" w:w="9360"/>
            <w:tcMar>
              <w:top w:w="120" w:type="dxa"/>
              <w:bottom w:w="120" w:type="dxa"/>
              <w:start w:w="160" w:type="dxa"/>
              <w:end w:w="160" w:type="dxa"/>
            </w:tcMar>
            <w:vAlign w:val="center"/>
            <w:shd w:fill="F6F8FA"/>
          </w:tcPr>
          <w:p>
            <w:pPr>
              <w:spacing w:before="0" w:after="0" w:line="252" w:lineRule="auto"/>
            </w:pPr>
            <w:r/>
            <w:r>
              <w:rPr>
                <w:rFonts w:ascii="Consolas" w:hAnsi="Consolas"/>
                <w:color w:val="000000"/>
                <w:sz w:val="17"/>
              </w:rPr>
              <w:t>Set-Location frontend</w:t>
            </w:r>
          </w:p>
          <w:p>
            <w:pPr>
              <w:spacing w:before="0" w:after="0" w:line="252" w:lineRule="auto"/>
            </w:pPr>
            <w:r>
              <w:rPr>
                <w:rFonts w:ascii="Consolas" w:hAnsi="Consolas"/>
                <w:color w:val="000000"/>
                <w:sz w:val="17"/>
              </w:rPr>
              <w:t>npm install</w:t>
            </w:r>
          </w:p>
          <w:p>
            <w:pPr>
              <w:spacing w:before="0" w:after="0" w:line="252" w:lineRule="auto"/>
            </w:pPr>
            <w:r>
              <w:rPr>
                <w:rFonts w:ascii="Consolas" w:hAnsi="Consolas"/>
                <w:color w:val="000000"/>
                <w:sz w:val="17"/>
              </w:rPr>
              <w:t>npm.cmd run build</w:t>
            </w:r>
          </w:p>
          <w:p>
            <w:pPr>
              <w:spacing w:before="0" w:after="0" w:line="252" w:lineRule="auto"/>
            </w:pPr>
            <w:r>
              <w:rPr>
                <w:rFonts w:ascii="Consolas" w:hAnsi="Consolas"/>
                <w:color w:val="000000"/>
                <w:sz w:val="17"/>
              </w:rPr>
              <w:t>npm.cmd run dev</w:t>
            </w:r>
          </w:p>
          <w:p>
            <w:pPr>
              <w:spacing w:before="0" w:after="0" w:line="252" w:lineRule="auto"/>
            </w:pPr>
            <w:r>
              <w:rPr>
                <w:rFonts w:ascii="Consolas" w:hAnsi="Consolas"/>
                <w:color w:val="000000"/>
                <w:sz w:val="17"/>
              </w:rPr>
              <w:t>npm.cmd run test:smoke</w:t>
            </w:r>
          </w:p>
        </w:tc>
      </w:tr>
    </w:tbl>
    <w:p>
      <w:pPr>
        <w:spacing w:after="100" w:line="240" w:lineRule="auto"/>
      </w:pPr>
    </w:p>
    <w:p>
      <w:pPr>
        <w:pStyle w:val="Heading1"/>
        <w:spacing w:before="360" w:after="200"/>
      </w:pPr>
      <w:r>
        <w:t>7. Troubleshooting and Operations</w:t>
      </w:r>
    </w:p>
    <w:tbl>
      <w:tblPr>
        <w:tblStyle w:val="TableGrid"/>
        <w:tblW w:type="dxa" w:w="9360"/>
        <w:tblLayout w:type="fixed"/>
        <w:tblLook w:firstColumn="1" w:firstRow="1" w:lastColumn="0" w:lastRow="0" w:noHBand="0" w:noVBand="1" w:val="04A0"/>
        <w:jc w:val="left"/>
        <w:tblInd w:type="dxa" w:w="120"/>
        <w:tblBorders>
          <w:top w:val="single" w:sz="4" w:space="0" w:color="B8C3D1"/>
          <w:left w:val="single" w:sz="4" w:space="0" w:color="B8C3D1"/>
          <w:bottom w:val="single" w:sz="4" w:space="0" w:color="B8C3D1"/>
          <w:right w:val="single" w:sz="4" w:space="0" w:color="B8C3D1"/>
          <w:insideH w:val="single" w:sz="4" w:space="0" w:color="B8C3D1"/>
          <w:insideV w:val="single" w:sz="4" w:space="0" w:color="B8C3D1"/>
        </w:tblBorders>
      </w:tblPr>
      <w:tblGrid>
        <w:gridCol w:w="2650"/>
        <w:gridCol w:w="3100"/>
        <w:gridCol w:w="3610"/>
      </w:tblGrid>
      <w:tr>
        <w:trPr>
          <w:cantSplit/>
          <w:tblHeader/>
        </w:trPr>
        <w:tc>
          <w:tcPr>
            <w:tcW w:type="dxa" w:w="265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Symptom</w:t>
            </w:r>
          </w:p>
        </w:tc>
        <w:tc>
          <w:tcPr>
            <w:tcW w:type="dxa" w:w="31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Likely cause</w:t>
            </w:r>
          </w:p>
        </w:tc>
        <w:tc>
          <w:tcPr>
            <w:tcW w:type="dxa" w:w="361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Fix</w:t>
            </w:r>
          </w:p>
        </w:tc>
      </w:tr>
      <w:tr>
        <w:trPr>
          <w:cantSplit/>
        </w:trPr>
        <w:tc>
          <w:tcPr>
            <w:tcW w:type="dxa" w:w="265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Embedding, semantic search, or agent setup error</w:t>
            </w:r>
          </w:p>
        </w:tc>
        <w:tc>
          <w:tcPr>
            <w:tcW w:type="dxa" w:w="31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`OPENAI_API_KEY` missing or invalid.</w:t>
            </w:r>
          </w:p>
        </w:tc>
        <w:tc>
          <w:tcPr>
            <w:tcW w:type="dxa" w:w="361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Update `.env`, restart containers, and re-index.</w:t>
            </w:r>
          </w:p>
        </w:tc>
      </w:tr>
      <w:tr>
        <w:trPr>
          <w:cantSplit/>
        </w:trPr>
        <w:tc>
          <w:tcPr>
            <w:tcW w:type="dxa" w:w="265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Frontend cannot reach backend</w:t>
            </w:r>
          </w:p>
        </w:tc>
        <w:tc>
          <w:tcPr>
            <w:tcW w:type="dxa" w:w="31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API base URL mismatch or backend not running.</w:t>
            </w:r>
          </w:p>
        </w:tc>
        <w:tc>
          <w:tcPr>
            <w:tcW w:type="dxa" w:w="361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Confirm `NEXT_PUBLIC_API_BASE_URL=http://localhost:5000` and run `docker compose ps`.</w:t>
            </w:r>
          </w:p>
        </w:tc>
      </w:tr>
      <w:tr>
        <w:trPr>
          <w:cantSplit/>
        </w:trPr>
        <w:tc>
          <w:tcPr>
            <w:tcW w:type="dxa" w:w="265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Port conflict</w:t>
            </w:r>
          </w:p>
        </w:tc>
        <w:tc>
          <w:tcPr>
            <w:tcW w:type="dxa" w:w="31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Another service uses 3000, 5000, or 5432.</w:t>
            </w:r>
          </w:p>
        </w:tc>
        <w:tc>
          <w:tcPr>
            <w:tcW w:type="dxa" w:w="361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Stop the other service or adjust Compose port mappings.</w:t>
            </w:r>
          </w:p>
        </w:tc>
      </w:tr>
      <w:tr>
        <w:trPr>
          <w:cantSplit/>
        </w:trPr>
        <w:tc>
          <w:tcPr>
            <w:tcW w:type="dxa" w:w="265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No embedded chunks after seeding</w:t>
            </w:r>
          </w:p>
        </w:tc>
        <w:tc>
          <w:tcPr>
            <w:tcW w:type="dxa" w:w="31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Documents were seeded but not re-indexed.</w:t>
            </w:r>
          </w:p>
        </w:tc>
        <w:tc>
          <w:tcPr>
            <w:tcW w:type="dxa" w:w="361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Run Dashboard &gt; Re-index all documents.</w:t>
            </w:r>
          </w:p>
        </w:tc>
      </w:tr>
      <w:tr>
        <w:trPr>
          <w:cantSplit/>
        </w:trPr>
        <w:tc>
          <w:tcPr>
            <w:tcW w:type="dxa" w:w="265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Stale data</w:t>
            </w:r>
          </w:p>
        </w:tc>
        <w:tc>
          <w:tcPr>
            <w:tcW w:type="dxa" w:w="31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PostgreSQL volume preserved previous state.</w:t>
            </w:r>
          </w:p>
        </w:tc>
        <w:tc>
          <w:tcPr>
            <w:tcW w:type="dxa" w:w="361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Run `docker compose down -v` only if you want to wipe local data.</w:t>
            </w:r>
          </w:p>
        </w:tc>
      </w:tr>
      <w:tr>
        <w:trPr>
          <w:cantSplit/>
        </w:trPr>
        <w:tc>
          <w:tcPr>
            <w:tcW w:type="dxa" w:w="265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PowerShell blocks `npm`</w:t>
            </w:r>
          </w:p>
        </w:tc>
        <w:tc>
          <w:tcPr>
            <w:tcW w:type="dxa" w:w="310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Execution policy blocks `npm.ps1`.</w:t>
            </w:r>
          </w:p>
        </w:tc>
        <w:tc>
          <w:tcPr>
            <w:tcW w:type="dxa" w:w="361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Use `npm.cmd run build` or `npm.cmd run test:smoke`.</w:t>
            </w:r>
          </w:p>
        </w:tc>
      </w:tr>
    </w:tbl>
    <w:p>
      <w:pPr>
        <w:spacing w:after="80" w:line="240" w:lineRule="auto"/>
      </w:pPr>
    </w:p>
    <w:p>
      <w:pPr>
        <w:spacing w:after="120" w:line="300" w:lineRule="auto"/>
      </w:pPr>
      <w:r>
        <w:rPr>
          <w:rFonts w:ascii="Calibri" w:hAnsi="Calibri"/>
        </w:rPr>
        <w:t>Stop or reset the stack:</w:t>
      </w:r>
    </w:p>
    <w:tbl>
      <w:tblPr>
        <w:tblW w:type="dxa" w:w="9360"/>
        <w:jc w:val="left"/>
        <w:tblLayout w:type="fixed"/>
        <w:tblLook w:firstColumn="1" w:firstRow="1" w:lastColumn="0" w:lastRow="0" w:noHBand="0" w:noVBand="1" w:val="04A0"/>
        <w:tblInd w:type="dxa" w:w="1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rPr>
          <w:cantSplit/>
        </w:trPr>
        <w:tc>
          <w:tcPr>
            <w:tcW w:type="dxa" w:w="9360"/>
            <w:tcMar>
              <w:top w:w="120" w:type="dxa"/>
              <w:bottom w:w="120" w:type="dxa"/>
              <w:start w:w="160" w:type="dxa"/>
              <w:end w:w="160" w:type="dxa"/>
            </w:tcMar>
            <w:vAlign w:val="center"/>
            <w:shd w:fill="F6F8FA"/>
          </w:tcPr>
          <w:p>
            <w:pPr>
              <w:spacing w:before="0" w:after="0" w:line="252" w:lineRule="auto"/>
            </w:pPr>
            <w:r/>
            <w:r>
              <w:rPr>
                <w:rFonts w:ascii="Consolas" w:hAnsi="Consolas"/>
                <w:color w:val="000000"/>
                <w:sz w:val="17"/>
              </w:rPr>
              <w:t>docker compose down</w:t>
            </w:r>
          </w:p>
          <w:p>
            <w:pPr>
              <w:spacing w:before="0" w:after="0" w:line="252" w:lineRule="auto"/>
            </w:pPr>
            <w:r>
              <w:rPr>
                <w:rFonts w:ascii="Consolas" w:hAnsi="Consolas"/>
                <w:color w:val="000000"/>
                <w:sz w:val="17"/>
              </w:rPr>
              <w:t># destructive reset of local database volume</w:t>
            </w:r>
          </w:p>
          <w:p>
            <w:pPr>
              <w:spacing w:before="0" w:after="0" w:line="252" w:lineRule="auto"/>
            </w:pPr>
            <w:r>
              <w:rPr>
                <w:rFonts w:ascii="Consolas" w:hAnsi="Consolas"/>
                <w:color w:val="000000"/>
                <w:sz w:val="17"/>
              </w:rPr>
              <w:t>docker compose down -v</w:t>
            </w:r>
          </w:p>
        </w:tc>
      </w:tr>
    </w:tbl>
    <w:p>
      <w:pPr>
        <w:spacing w:after="100" w:line="240" w:lineRule="auto"/>
      </w:pPr>
    </w:p>
    <w:p>
      <w:pPr>
        <w:pStyle w:val="Heading2"/>
        <w:spacing w:before="280" w:after="140"/>
      </w:pPr>
      <w:r>
        <w:t>Validation Checklist</w:t>
      </w:r>
    </w:p>
    <w:tbl>
      <w:tblPr>
        <w:tblStyle w:val="TableGrid"/>
        <w:tblW w:type="dxa" w:w="9360"/>
        <w:tblLayout w:type="fixed"/>
        <w:tblLook w:firstColumn="1" w:firstRow="1" w:lastColumn="0" w:lastRow="0" w:noHBand="0" w:noVBand="1" w:val="04A0"/>
        <w:jc w:val="left"/>
        <w:tblInd w:type="dxa" w:w="120"/>
        <w:tblBorders>
          <w:top w:val="single" w:sz="4" w:space="0" w:color="B8C3D1"/>
          <w:left w:val="single" w:sz="4" w:space="0" w:color="B8C3D1"/>
          <w:bottom w:val="single" w:sz="4" w:space="0" w:color="B8C3D1"/>
          <w:right w:val="single" w:sz="4" w:space="0" w:color="B8C3D1"/>
          <w:insideH w:val="single" w:sz="4" w:space="0" w:color="B8C3D1"/>
          <w:insideV w:val="single" w:sz="4" w:space="0" w:color="B8C3D1"/>
        </w:tblBorders>
      </w:tblPr>
      <w:tblGrid>
        <w:gridCol w:w="2400"/>
        <w:gridCol w:w="6960"/>
      </w:tblGrid>
      <w:tr>
        <w:trPr>
          <w:cantSplit/>
          <w:tblHeader/>
        </w:trPr>
        <w:tc>
          <w:tcPr>
            <w:tcW w:type="dxa" w:w="24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Check</w:t>
            </w:r>
          </w:p>
        </w:tc>
        <w:tc>
          <w:tcPr>
            <w:tcW w:type="dxa" w:w="696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Expected result</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Docker services</w:t>
            </w:r>
          </w:p>
        </w:tc>
        <w:tc>
          <w:tcPr>
            <w:tcW w:type="dxa" w:w="69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`lki-postgres`, `lki-backend`, and `lki-frontend` are running.</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Health</w:t>
            </w:r>
          </w:p>
        </w:tc>
        <w:tc>
          <w:tcPr>
            <w:tcW w:type="dxa" w:w="69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`/health` returns Healthy and `/health/ready` returns ready.</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Frontend</w:t>
            </w:r>
          </w:p>
        </w:tc>
        <w:tc>
          <w:tcPr>
            <w:tcW w:type="dxa" w:w="69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`http://localhost:3000` opens and login succeeds with local admin credentials.</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Swagger/OpenAPI</w:t>
            </w:r>
          </w:p>
        </w:tc>
        <w:tc>
          <w:tcPr>
            <w:tcW w:type="dxa" w:w="69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`/swagger` and `/openapi/v1.json` are available in development.</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Seed data</w:t>
            </w:r>
          </w:p>
        </w:tc>
        <w:tc>
          <w:tcPr>
            <w:tcW w:type="dxa" w:w="69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Dashboard shows 25 documents and at least 75 chunks after seed and re-index.</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Embeddings</w:t>
            </w:r>
          </w:p>
        </w:tc>
        <w:tc>
          <w:tcPr>
            <w:tcW w:type="dxa" w:w="69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Embedded chunks match chunk count after re-indexing with a valid OpenAI key.</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Search</w:t>
            </w:r>
          </w:p>
        </w:tc>
        <w:tc>
          <w:tcPr>
            <w:tcW w:type="dxa" w:w="69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Hybrid search returns ranked results with score details.</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Agent</w:t>
            </w:r>
          </w:p>
        </w:tc>
        <w:tc>
          <w:tcPr>
            <w:tcW w:type="dxa" w:w="69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Agent answer includes citations to retrieved local chunks.</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Evaluation</w:t>
            </w:r>
          </w:p>
        </w:tc>
        <w:tc>
          <w:tcPr>
            <w:tcW w:type="dxa" w:w="69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Evaluation run stores score and per-question result details.</w:t>
            </w:r>
          </w:p>
        </w:tc>
      </w:tr>
      <w:tr>
        <w:trPr>
          <w:cantSplit/>
        </w:trPr>
        <w:tc>
          <w:tcPr>
            <w:tcW w:type="dxa" w:w="24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Tests</w:t>
            </w:r>
          </w:p>
        </w:tc>
        <w:tc>
          <w:tcPr>
            <w:tcW w:type="dxa" w:w="69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Backend tests and frontend smoke tests pass.</w:t>
            </w:r>
          </w:p>
        </w:tc>
      </w:tr>
    </w:tbl>
    <w:p>
      <w:pPr>
        <w:spacing w:after="80" w:line="240" w:lineRule="auto"/>
      </w:pPr>
    </w:p>
    <w:p>
      <w:pPr>
        <w:pStyle w:val="Heading1"/>
        <w:spacing w:before="360" w:after="200"/>
      </w:pPr>
      <w:r>
        <w:t>Key API Endpoints</w:t>
      </w:r>
    </w:p>
    <w:tbl>
      <w:tblPr>
        <w:tblStyle w:val="TableGrid"/>
        <w:tblW w:type="dxa" w:w="9360"/>
        <w:tblLayout w:type="fixed"/>
        <w:tblLook w:firstColumn="1" w:firstRow="1" w:lastColumn="0" w:lastRow="0" w:noHBand="0" w:noVBand="1" w:val="04A0"/>
        <w:jc w:val="left"/>
        <w:tblInd w:type="dxa" w:w="120"/>
        <w:tblBorders>
          <w:top w:val="single" w:sz="4" w:space="0" w:color="B8C3D1"/>
          <w:left w:val="single" w:sz="4" w:space="0" w:color="B8C3D1"/>
          <w:bottom w:val="single" w:sz="4" w:space="0" w:color="B8C3D1"/>
          <w:right w:val="single" w:sz="4" w:space="0" w:color="B8C3D1"/>
          <w:insideH w:val="single" w:sz="4" w:space="0" w:color="B8C3D1"/>
          <w:insideV w:val="single" w:sz="4" w:space="0" w:color="B8C3D1"/>
        </w:tblBorders>
      </w:tblPr>
      <w:tblGrid>
        <w:gridCol w:w="1900"/>
        <w:gridCol w:w="7460"/>
      </w:tblGrid>
      <w:tr>
        <w:trPr>
          <w:cantSplit/>
          <w:tblHeader/>
        </w:trPr>
        <w:tc>
          <w:tcPr>
            <w:tcW w:type="dxa" w:w="190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Area</w:t>
            </w:r>
          </w:p>
        </w:tc>
        <w:tc>
          <w:tcPr>
            <w:tcW w:type="dxa" w:w="7460"/>
            <w:tcMar>
              <w:top w:w="80" w:type="dxa"/>
              <w:bottom w:w="80" w:type="dxa"/>
              <w:start w:w="120" w:type="dxa"/>
              <w:end w:w="120" w:type="dxa"/>
            </w:tcMar>
            <w:vAlign w:val="center"/>
            <w:shd w:fill="E8EEF5"/>
          </w:tcPr>
          <w:p>
            <w:pPr>
              <w:spacing w:before="0" w:after="40" w:line="264" w:lineRule="auto"/>
            </w:pPr>
            <w:r/>
            <w:r>
              <w:rPr>
                <w:rFonts w:ascii="Calibri" w:hAnsi="Calibri"/>
                <w:b/>
                <w:color w:val="0B2545"/>
                <w:sz w:val="18"/>
              </w:rPr>
              <w:t>Endpoints</w:t>
            </w:r>
          </w:p>
        </w:tc>
      </w:tr>
      <w:tr>
        <w:trPr>
          <w:cantSplit/>
        </w:trPr>
        <w:tc>
          <w:tcPr>
            <w:tcW w:type="dxa" w:w="19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Auth</w:t>
            </w:r>
          </w:p>
        </w:tc>
        <w:tc>
          <w:tcPr>
            <w:tcW w:type="dxa" w:w="74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`POST /api/auth/login`, `POST /api/auth/logout`, `GET /api/auth/me`.</w:t>
            </w:r>
          </w:p>
        </w:tc>
      </w:tr>
      <w:tr>
        <w:trPr>
          <w:cantSplit/>
        </w:trPr>
        <w:tc>
          <w:tcPr>
            <w:tcW w:type="dxa" w:w="19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Admin</w:t>
            </w:r>
          </w:p>
        </w:tc>
        <w:tc>
          <w:tcPr>
            <w:tcW w:type="dxa" w:w="74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`GET /api/admin/dashboard`, `POST /api/admin/seed`, `POST /api/admin/reindex`, settings GET/PUT.</w:t>
            </w:r>
          </w:p>
        </w:tc>
      </w:tr>
      <w:tr>
        <w:trPr>
          <w:cantSplit/>
        </w:trPr>
        <w:tc>
          <w:tcPr>
            <w:tcW w:type="dxa" w:w="19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Documents</w:t>
            </w:r>
          </w:p>
        </w:tc>
        <w:tc>
          <w:tcPr>
            <w:tcW w:type="dxa" w:w="74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Create/list/detail/update/delete plus chunk, embed, re-index, and chunks endpoints.</w:t>
            </w:r>
          </w:p>
        </w:tc>
      </w:tr>
      <w:tr>
        <w:trPr>
          <w:cantSplit/>
        </w:trPr>
        <w:tc>
          <w:tcPr>
            <w:tcW w:type="dxa" w:w="19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Search</w:t>
            </w:r>
          </w:p>
        </w:tc>
        <w:tc>
          <w:tcPr>
            <w:tcW w:type="dxa" w:w="74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`GET /api/search/keyword`, `GET /api/search/semantic`, `GET /api/search/hybrid`.</w:t>
            </w:r>
          </w:p>
        </w:tc>
      </w:tr>
      <w:tr>
        <w:trPr>
          <w:cantSplit/>
        </w:trPr>
        <w:tc>
          <w:tcPr>
            <w:tcW w:type="dxa" w:w="19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Agent</w:t>
            </w:r>
          </w:p>
        </w:tc>
        <w:tc>
          <w:tcPr>
            <w:tcW w:type="dxa" w:w="74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`POST /api/agent/chat`, session list/detail, and run detail endpoints.</w:t>
            </w:r>
          </w:p>
        </w:tc>
      </w:tr>
      <w:tr>
        <w:trPr>
          <w:cantSplit/>
        </w:trPr>
        <w:tc>
          <w:tcPr>
            <w:tcW w:type="dxa" w:w="19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Evaluation</w:t>
            </w:r>
          </w:p>
        </w:tc>
        <w:tc>
          <w:tcPr>
            <w:tcW w:type="dxa" w:w="74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Generate questions, list questions, run evaluation, and get evaluation run details.</w:t>
            </w:r>
          </w:p>
        </w:tc>
      </w:tr>
      <w:tr>
        <w:trPr>
          <w:cantSplit/>
        </w:trPr>
        <w:tc>
          <w:tcPr>
            <w:tcW w:type="dxa" w:w="1900"/>
            <w:shd w:fill="F2F4F7"/>
            <w:tcMar>
              <w:top w:w="80" w:type="dxa"/>
              <w:bottom w:w="80" w:type="dxa"/>
              <w:start w:w="120" w:type="dxa"/>
              <w:end w:w="120" w:type="dxa"/>
            </w:tcMar>
            <w:vAlign w:val="center"/>
          </w:tcPr>
          <w:p>
            <w:pPr>
              <w:spacing w:before="0" w:after="40" w:line="264" w:lineRule="auto"/>
            </w:pPr>
            <w:r/>
            <w:r>
              <w:rPr>
                <w:rFonts w:ascii="Calibri" w:hAnsi="Calibri"/>
                <w:b/>
                <w:color w:val="1F4D78"/>
                <w:sz w:val="17"/>
              </w:rPr>
              <w:t>Health</w:t>
            </w:r>
          </w:p>
        </w:tc>
        <w:tc>
          <w:tcPr>
            <w:tcW w:type="dxa" w:w="7460"/>
            <w:shd w:fill="FFFFFF"/>
            <w:tcMar>
              <w:top w:w="80" w:type="dxa"/>
              <w:bottom w:w="80" w:type="dxa"/>
              <w:start w:w="120" w:type="dxa"/>
              <w:end w:w="120" w:type="dxa"/>
            </w:tcMar>
            <w:vAlign w:val="center"/>
          </w:tcPr>
          <w:p>
            <w:pPr>
              <w:spacing w:before="0" w:after="40" w:line="264" w:lineRule="auto"/>
            </w:pPr>
            <w:r/>
            <w:r>
              <w:rPr>
                <w:rFonts w:ascii="Calibri" w:hAnsi="Calibri"/>
                <w:b w:val="0"/>
                <w:color w:val="000000"/>
                <w:sz w:val="17"/>
              </w:rPr>
              <w:t>`GET /health`, `GET /health/ready`.</w:t>
            </w:r>
          </w:p>
        </w:tc>
      </w:tr>
    </w:tbl>
    <w:p>
      <w:pPr>
        <w:spacing w:after="80" w:line="240" w:lineRule="auto"/>
      </w:pPr>
    </w:p>
    <w:p>
      <w:pPr>
        <w:pStyle w:val="Heading1"/>
        <w:spacing w:before="360" w:after="200"/>
      </w:pPr>
      <w:r>
        <w:t>Operational Notes</w:t>
      </w:r>
    </w:p>
    <w:p>
      <w:pPr>
        <w:pStyle w:val="ListBullet"/>
        <w:spacing w:after="60" w:line="276" w:lineRule="auto"/>
      </w:pPr>
      <w:r>
        <w:rPr>
          <w:rFonts w:ascii="Calibri" w:hAnsi="Calibri"/>
          <w:sz w:val="21"/>
        </w:rPr>
        <w:t>OpenAI embedding and chat calls can incur API cost.</w:t>
      </w:r>
    </w:p>
    <w:p>
      <w:pPr>
        <w:pStyle w:val="ListBullet"/>
        <w:spacing w:after="60" w:line="276" w:lineRule="auto"/>
      </w:pPr>
      <w:r>
        <w:rPr>
          <w:rFonts w:ascii="Calibri" w:hAnsi="Calibri"/>
          <w:sz w:val="21"/>
        </w:rPr>
        <w:t>Do not commit `.env` or any real secret values.</w:t>
      </w:r>
    </w:p>
    <w:p>
      <w:pPr>
        <w:pStyle w:val="ListBullet"/>
        <w:spacing w:after="60" w:line="276" w:lineRule="auto"/>
      </w:pPr>
      <w:r>
        <w:rPr>
          <w:rFonts w:ascii="Calibri" w:hAnsi="Calibri"/>
          <w:sz w:val="21"/>
        </w:rPr>
        <w:t>Re-indexing regenerates chunk embeddings and may call OpenAI many times.</w:t>
      </w:r>
    </w:p>
    <w:p>
      <w:pPr>
        <w:pStyle w:val="ListBullet"/>
        <w:spacing w:after="60" w:line="276" w:lineRule="auto"/>
      </w:pPr>
      <w:r>
        <w:rPr>
          <w:rFonts w:ascii="Calibri" w:hAnsi="Calibri"/>
          <w:sz w:val="21"/>
        </w:rPr>
        <w:t>The agent should be treated as a grounded assistant, not as a source of truth without citations.</w:t>
      </w:r>
    </w:p>
    <w:p>
      <w:pPr>
        <w:pStyle w:val="ListBullet"/>
        <w:spacing w:after="60" w:line="276" w:lineRule="auto"/>
      </w:pPr>
      <w:r>
        <w:rPr>
          <w:rFonts w:ascii="Calibri" w:hAnsi="Calibri"/>
          <w:sz w:val="21"/>
        </w:rPr>
        <w:t>For production deployment, replace local admin credentials, harden secret storage, review CORS, add production identity, and consider OpenTelemetry tracing.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370"/>
        <w:sz w:val="17"/>
      </w:rPr>
      <w:t>Generated operator guide - setup, features, usage, and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C6370"/>
        <w:sz w:val="17"/>
      </w:rPr>
      <w:t>Local Knowledge Intelligence - Setup and Usage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Knowledge Intelligence Setup and Usage Guide</dc:title>
  <dc:subject>Setup, usage, capabilities, API examples, validation, and troubleshooting</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