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2024-01 to 2024-09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wlan0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3999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8.25451076467706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85.438806562371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49.11071477576128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50.970499820105005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13.279449854756983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27.74472551849004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68.38768103762258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fiA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