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2024-02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697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29.992435016358534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806.3066852875196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694.1969174571101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712.411093147141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93.5892293346281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616.039791488886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774.3060221874774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02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