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2024-04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991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144.15661330879536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815.2165079337143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710.8453865341049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724.5507064875337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74.73227011863912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624.688253933715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787.5572867261257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04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