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120" w:hRule="atLeast"/>
        </w:trPr>
        <w:tc>
          <w:tcPr>
            <w:tcW w:type="dxa" w:w="9072"/>
            <w:shd w:val="clear" w:color="auto" w:fill="1D4E89"/>
          </w:tcPr>
          <w:p>
            <w:r/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149A8C"/>
          <w:sz w:val="24"/>
          <w:spacing w:val="30"/>
        </w:rPr>
        <w:t>TECHNICAL ARCHITECTURE SPECIFICATION</w:t>
      </w:r>
    </w:p>
    <w:p>
      <w:pPr>
        <w:jc w:val="center"/>
      </w:pPr>
      <w:r>
        <w:rPr>
          <w:rFonts w:ascii="Calibri" w:hAnsi="Calibri"/>
          <w:b/>
          <w:color w:val="0B4F4A"/>
          <w:sz w:val="68"/>
        </w:rPr>
        <w:t>Rural Health Connect</w:t>
      </w:r>
    </w:p>
    <w:p>
      <w:pPr>
        <w:jc w:val="center"/>
      </w:pPr>
      <w:r>
        <w:rPr>
          <w:rFonts w:ascii="Calibri" w:hAnsi="Calibri"/>
          <w:i w:val="0"/>
          <w:color w:val="6B7280"/>
          <w:sz w:val="28"/>
        </w:rPr>
        <w:t>System design, service boundaries, data model &amp; offline-first strategy</w:t>
      </w:r>
    </w:p>
    <w:p/>
    <w:p/>
    <w:p>
      <w:pPr>
        <w:jc w:val="center"/>
      </w:pPr>
      <w:r>
        <w:rPr>
          <w:rFonts w:ascii="Calibri" w:hAnsi="Calibri"/>
          <w:color w:val="6B7280"/>
          <w:sz w:val="21"/>
        </w:rPr>
        <w:t>Version 1.0  •  Draft for Development Handoff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Companion to: Product Requirements Document, Design Specification, Phased Roadmap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Author: Bilal  •  bilal@mail.fasttrackexp.com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Date: 24 August 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120" w:hRule="atLeast"/>
        </w:trPr>
        <w:tc>
          <w:tcPr>
            <w:tcW w:type="dxa" w:w="9072"/>
            <w:shd w:val="clear" w:color="auto" w:fill="1D4E89"/>
          </w:tcPr>
          <w:p>
            <w:r/>
          </w:p>
        </w:tc>
      </w:tr>
    </w:tbl>
    <w:p>
      <w:r>
        <w:br w:type="page"/>
      </w:r>
    </w:p>
    <w:p>
      <w:pPr>
        <w:pStyle w:val="Heading1"/>
        <w:pBdr>
          <w:bottom w:val="single" w:sz="14" w:space="4" w:color="0F766E"/>
        </w:pBdr>
      </w:pPr>
      <w:r>
        <w:t>1. Architecture Principles</w:t>
      </w:r>
    </w:p>
    <w:p>
      <w:pPr>
        <w:pStyle w:val="ListBullet"/>
      </w:pPr>
      <w:r>
        <w:rPr>
          <w:b/>
          <w:color w:val="0B4F4A"/>
        </w:rPr>
        <w:t xml:space="preserve">Offline-first, not offline-tolerant. </w:t>
      </w:r>
      <w:r>
        <w:t>Every core patient/doctor action is designed against a local-first data store with background sync — connectivity is treated as an enhancement, not a requirement.</w:t>
      </w:r>
    </w:p>
    <w:p>
      <w:pPr>
        <w:pStyle w:val="ListBullet"/>
      </w:pPr>
      <w:r>
        <w:rPr>
          <w:b/>
          <w:color w:val="0B4F4A"/>
        </w:rPr>
        <w:t xml:space="preserve">Structured over free-text. </w:t>
      </w:r>
      <w:r>
        <w:t>Diagnosis, referral specialty, facility affiliation and credential data are all constrained/coded fields, directly fixing eSanjeevani's mis-routed-referral problem.</w:t>
      </w:r>
    </w:p>
    <w:p>
      <w:pPr>
        <w:pStyle w:val="ListBullet"/>
      </w:pPr>
      <w:r>
        <w:rPr>
          <w:b/>
          <w:color w:val="0B4F4A"/>
        </w:rPr>
        <w:t xml:space="preserve">Interoperable by design. </w:t>
      </w:r>
      <w:r>
        <w:t>Patient identity and clinical records map onto FHIR R4 resources and ABDM/ABHA identifiers from day one, without making ABHA a hard requirement to use the app.</w:t>
      </w:r>
    </w:p>
    <w:p>
      <w:pPr>
        <w:pStyle w:val="ListBullet"/>
      </w:pPr>
      <w:r>
        <w:rPr>
          <w:b/>
          <w:color w:val="0B4F4A"/>
        </w:rPr>
        <w:t xml:space="preserve">Progressive degradation. </w:t>
      </w:r>
      <w:r>
        <w:t>Video → audio → async callback for consultations; full UI → low-bandwidth UI → SMS/voice channel for every critical patient action.</w:t>
      </w:r>
    </w:p>
    <w:p>
      <w:pPr>
        <w:pStyle w:val="ListBullet"/>
      </w:pPr>
      <w:r>
        <w:rPr>
          <w:b/>
          <w:color w:val="0B4F4A"/>
        </w:rPr>
        <w:t xml:space="preserve">Verifiable identity for staff. </w:t>
      </w:r>
      <w:r>
        <w:t>No doctor can transact until facility affiliation is matched against a government registry and credentials are human-approved.</w:t>
      </w:r>
    </w:p>
    <w:p>
      <w:pPr>
        <w:pStyle w:val="ListBullet"/>
      </w:pPr>
      <w:r>
        <w:rPr>
          <w:b/>
          <w:color w:val="0B4F4A"/>
        </w:rPr>
        <w:t xml:space="preserve">Strengthen, don't fragment. </w:t>
      </w:r>
      <w:r>
        <w:t>RHC is built as a layer that can sync into ABDM's Health Information Exchange rather than a walled-garden competitor to it.</w:t>
      </w:r>
    </w:p>
    <w:p>
      <w:pPr>
        <w:pStyle w:val="Heading1"/>
        <w:pBdr>
          <w:bottom w:val="single" w:sz="14" w:space="4" w:color="0F766E"/>
        </w:pBdr>
      </w:pPr>
      <w:r>
        <w:t>2. Recommended Technology Stack</w:t>
      </w:r>
    </w:p>
    <w:p>
      <w:r>
        <w:rPr>
          <w:b w:val="0"/>
          <w:i w:val="0"/>
          <w:color w:val="1F2937"/>
          <w:sz w:val="21"/>
        </w:rPr>
        <w:t>Chosen for fast iteration inside AI-assisted builders (Bolt, Cursor, v0) while remaining production-credible for a government-facing rural health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4176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Frontend (Patient + Doctor web/PWA)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React 18 + TypeScript + Vite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Fast HMR, huge ecosystem, first-class PWA/offline tooling, plays well with AI scaffolding tools.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UI / Design system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Tailwind CSS + shadcn/ui + Radix primitives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Accessible-by-default components, fully themeable to the brand system in the Design Specification.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Mobile packaging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PWA (installable) first; Capacitor wrapper for Android/iOS if a store app is needed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One codebase; avoids a separate native build for V1.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State &amp; offline data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TanStack Query + Dexie.js (IndexedDB) + Background Sync API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Local-first cache, queued writes, automatic replay when connectivity returns.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Backend 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Node.js + NestJS (TypeScript)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Modular, testable service boundaries; shares types with the React frontend.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Database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PostgreSQL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Relational integrity for referrals/records; native JSONB for flexible clinical fields; strong FHIR-mapping ecosystem.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ORM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Prisma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Type-safe schema, migrations that are easy for an AI tool or a small team to reason about.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Cache / real-time queue state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Redis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Live queue position, session state, rate limiting.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Real-time updates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WebSocket (Socket.IO) over Redis pub/sub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Live queue position, referral status, doctor dashboard updates.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Teleconsultation (video/audio)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WebRTC via a managed SDK (e.g., Agora/Twilio) with a self-hosted fallback (Jitsi)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Auto-degrade path: video → audio-only on the same SDK → SMS/IVR callback request.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SMS / voice / OTP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Carrier-grade gateway (e.g., MSG91/Twilio) supporting OTP, template SMS, and IVR callback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Reaches non-smartphone users for reminders and emergency confirmation.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Auth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OTP-based auth (patients) + Staff ID/Facility Code + OTP or password (staff), JWT sessions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No email required for patients; stronger verification path for staff.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File / credential storage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S3-compatible object storage (encrypted at rest)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Doctor certificate photos, QR-shareable record snapshots.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i18n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react-i18next + ICU message format; voice via device TTS/STT and a cloud speech API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Central translation catalogue; voice input/output layered on the same catalogue.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Interoperability layer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FHIR R4 resource mapping + ABDM Health Information Provider/User (HIP/HIU) integration module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Publishes/consumes records through ABDM's consent-managed exchange.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Facility/credential registries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Sync jobs against government facility registry &amp; NMC/State Medical Council datasets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Used to populate searchable, non-free-text affiliation &amp; credential lookups.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Infrastructure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color w:val="1F2937"/>
                <w:sz w:val="19"/>
              </w:rPr>
              <w:t>Containerised services (Docker) on a cloud provider, CDN for static assets, edge caching for low-connectivity regions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color w:val="1F2937"/>
                <w:sz w:val="19"/>
              </w:rPr>
              <w:t>Consistent deploys; fast asset delivery even on poor links.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Observability</w:t>
            </w:r>
          </w:p>
        </w:tc>
        <w:tc>
          <w:tcPr>
            <w:tcW w:type="dxa" w:w="2880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Structured logging + a metrics/dashboard stack (e.g., Grafana) feeding the Facility Dashboard's quality metrics</w:t>
            </w:r>
          </w:p>
        </w:tc>
        <w:tc>
          <w:tcPr>
            <w:tcW w:type="dxa" w:w="417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Same telemetry powers both engineering ops and clinical-quality reporting.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4" w:space="4" w:color="0F766E"/>
        </w:pBdr>
      </w:pPr>
      <w:r>
        <w:t>3. High-Level System Architecture</w:t>
      </w:r>
    </w:p>
    <w:p>
      <w:r>
        <w:rPr>
          <w:b w:val="0"/>
          <w:i w:val="0"/>
          <w:color w:val="1F2937"/>
          <w:sz w:val="21"/>
        </w:rPr>
        <w:t>Layered view — client apps at the top, domain services in the middle, shared data &amp; external national registries at the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056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Contains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Client layer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color w:val="1F2937"/>
                <w:sz w:val="19"/>
              </w:rPr>
              <w:t>Patient PWA (mobile-first) · Doctor/Health-Worker Web App · Facility Admin Dashboard — all offline-capable via a local-first data cache and service worker.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Edge / gateway</w:t>
            </w:r>
          </w:p>
        </w:tc>
        <w:tc>
          <w:tcPr>
            <w:tcW w:type="dxa" w:w="705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API Gateway (auth, rate limiting, request routing) · CDN + edge cache for static and low-bandwidth payloads · WebSocket gateway for live updates.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Domain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color w:val="1F2937"/>
                <w:sz w:val="19"/>
              </w:rPr>
              <w:t>Identity &amp; Verification · Triage Engine · Appointment &amp; Queue · Teleconsultation · Health Records (EHR) · Referral · Diagnostics &amp; Medicine Inventory · Notification &amp; Follow-up · Facility &amp; Quality Dashboard.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Interoperability layer</w:t>
            </w:r>
          </w:p>
        </w:tc>
        <w:tc>
          <w:tcPr>
            <w:tcW w:type="dxa" w:w="705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FHIR resource mapper · ABDM HIP/HIU connector · Government Facility Registry sync · NMC/State Medical Council credential sync.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Data layer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color w:val="1F2937"/>
                <w:sz w:val="19"/>
              </w:rPr>
              <w:t>PostgreSQL (system of record) · Redis (real-time/cache) · Object storage (documents, certificates, QR snapshots).</w:t>
            </w:r>
          </w:p>
        </w:tc>
      </w:tr>
      <w:tr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Channels</w:t>
            </w:r>
          </w:p>
        </w:tc>
        <w:tc>
          <w:tcPr>
            <w:tcW w:type="dxa" w:w="705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SMS gateway · IVR/voice callback · Push notification.</w:t>
            </w:r>
          </w:p>
        </w:tc>
      </w:tr>
    </w:tbl>
    <w:p/>
    <w:p>
      <w:pPr>
        <w:pStyle w:val="Heading1"/>
        <w:pBdr>
          <w:bottom w:val="single" w:sz="14" w:space="4" w:color="0F766E"/>
        </w:pBdr>
      </w:pPr>
      <w:r>
        <w:t>4. Domain Services (bounded contexts)</w:t>
      </w:r>
    </w:p>
    <w:p>
      <w:r>
        <w:rPr>
          <w:b/>
          <w:color w:val="0B4F4A"/>
          <w:sz w:val="22"/>
        </w:rPr>
        <w:t>Identity &amp; Verification</w:t>
      </w:r>
    </w:p>
    <w:p>
      <w:r>
        <w:rPr>
          <w:b w:val="0"/>
          <w:i w:val="0"/>
          <w:color w:val="1F2937"/>
          <w:sz w:val="21"/>
        </w:rPr>
        <w:t>Patient OTP auth; staff registration (role, facility, specialty, credential upload); Pending Verification state machine; admin approval workflow; scoped session issuance (facility + specialty context baked into the doctor's token).</w:t>
      </w:r>
    </w:p>
    <w:p>
      <w:r>
        <w:rPr>
          <w:b/>
          <w:color w:val="0B4F4A"/>
          <w:sz w:val="22"/>
        </w:rPr>
        <w:t>Triage Engine</w:t>
      </w:r>
    </w:p>
    <w:p>
      <w:r>
        <w:rPr>
          <w:b w:val="0"/>
          <w:i w:val="0"/>
          <w:color w:val="1F2937"/>
          <w:sz w:val="21"/>
        </w:rPr>
        <w:t>Multilingual, icon-assisted rule-based questionnaire; maps symptoms + risk flags (e.g., pregnancy, chronic illness, paediatric) to one of: self-care / teleconsult / in-person / emergency; versioned decision rules so clinical logic can be audited and updated.</w:t>
      </w:r>
    </w:p>
    <w:p>
      <w:r>
        <w:rPr>
          <w:b/>
          <w:color w:val="0B4F4A"/>
          <w:sz w:val="22"/>
        </w:rPr>
        <w:t>Appointment &amp; Queue</w:t>
      </w:r>
    </w:p>
    <w:p>
      <w:r>
        <w:rPr>
          <w:b w:val="0"/>
          <w:i w:val="0"/>
          <w:color w:val="1F2937"/>
          <w:sz w:val="21"/>
        </w:rPr>
        <w:t>Slot management per facility/doctor; live queue-position computation; teleconsult vs. in-person booking; feeds real-time position to the patient client over WebSocket.</w:t>
      </w:r>
    </w:p>
    <w:p>
      <w:r>
        <w:rPr>
          <w:b/>
          <w:color w:val="0B4F4A"/>
          <w:sz w:val="22"/>
        </w:rPr>
        <w:t>Teleconsultation</w:t>
      </w:r>
    </w:p>
    <w:p>
      <w:r>
        <w:rPr>
          <w:b w:val="0"/>
          <w:i w:val="0"/>
          <w:color w:val="1F2937"/>
          <w:sz w:val="21"/>
        </w:rPr>
        <w:t>Session orchestration for video/audio; automatic quality-based degrade to audio-only, then to a scheduled callback request, without losing the linked triage/queue context.</w:t>
      </w:r>
    </w:p>
    <w:p>
      <w:r>
        <w:rPr>
          <w:b/>
          <w:color w:val="0B4F4A"/>
          <w:sz w:val="22"/>
        </w:rPr>
        <w:t>Health Records (EHR)</w:t>
      </w:r>
    </w:p>
    <w:p>
      <w:r>
        <w:rPr>
          <w:b w:val="0"/>
          <w:i w:val="0"/>
          <w:color w:val="1F2937"/>
          <w:sz w:val="21"/>
        </w:rPr>
        <w:t>Longitudinal, patient-owned record; visit history, prescriptions, diagnoses; QR/ID-based retrieval so any facility tier can pull the same record; FHIR-mapped for ABDM exchange.</w:t>
      </w:r>
    </w:p>
    <w:p>
      <w:r>
        <w:rPr>
          <w:b/>
          <w:color w:val="0B4F4A"/>
          <w:sz w:val="22"/>
        </w:rPr>
        <w:t>Referral</w:t>
      </w:r>
    </w:p>
    <w:p>
      <w:r>
        <w:rPr>
          <w:b w:val="0"/>
          <w:i w:val="0"/>
          <w:color w:val="1F2937"/>
          <w:sz w:val="21"/>
        </w:rPr>
        <w:t>Structured referral object (specialty tag, urgency, structured clinical summary, originating and receiving facility); status machine — pending / confirmed / completed; visible to both patient and receiving doctor, closing eSanjeevani's referral-accuracy and tracking gaps.</w:t>
      </w:r>
    </w:p>
    <w:p>
      <w:r>
        <w:rPr>
          <w:b/>
          <w:color w:val="0B4F4A"/>
          <w:sz w:val="22"/>
        </w:rPr>
        <w:t>Diagnostics &amp; Medicine Inventory</w:t>
      </w:r>
    </w:p>
    <w:p>
      <w:r>
        <w:rPr>
          <w:b w:val="0"/>
          <w:i w:val="0"/>
          <w:color w:val="1F2937"/>
          <w:sz w:val="21"/>
        </w:rPr>
        <w:t>Facility-level stock/availability feed for common medicines and diagnostic tests; queried by doctors before referring and by patients from the home screen.</w:t>
      </w:r>
    </w:p>
    <w:p>
      <w:r>
        <w:rPr>
          <w:b/>
          <w:color w:val="0B4F4A"/>
          <w:sz w:val="22"/>
        </w:rPr>
        <w:t>Notification &amp; Follow-up</w:t>
      </w:r>
    </w:p>
    <w:p>
      <w:r>
        <w:rPr>
          <w:b w:val="0"/>
          <w:i w:val="0"/>
          <w:color w:val="1F2937"/>
          <w:sz w:val="21"/>
        </w:rPr>
        <w:t>Rules-based high-risk flagging (maternal, child, chronic) driving scheduled SMS/IVR/app reminders; delivery-channel fallback for non-smartphone users.</w:t>
      </w:r>
    </w:p>
    <w:p>
      <w:r>
        <w:rPr>
          <w:b/>
          <w:color w:val="0B4F4A"/>
          <w:sz w:val="22"/>
        </w:rPr>
        <w:t>Facility &amp; Quality Dashboard</w:t>
      </w:r>
    </w:p>
    <w:p>
      <w:r>
        <w:rPr>
          <w:b w:val="0"/>
          <w:i w:val="0"/>
          <w:color w:val="1F2937"/>
          <w:sz w:val="21"/>
        </w:rPr>
        <w:t>Aggregates load, referral completion rate, stock visibility and quality metrics per sub-centre/PHC/district hospital for admins and district authorities.</w:t>
      </w:r>
    </w:p>
    <w:p>
      <w:r>
        <w:rPr>
          <w:b/>
          <w:color w:val="0B4F4A"/>
          <w:sz w:val="22"/>
        </w:rPr>
        <w:t>Emergency SOS</w:t>
      </w:r>
    </w:p>
    <w:p>
      <w:r>
        <w:rPr>
          <w:b w:val="0"/>
          <w:i w:val="0"/>
          <w:color w:val="1F2937"/>
          <w:sz w:val="21"/>
        </w:rPr>
        <w:t>One-tap, always-available escalation that bypasses standard queue/booking flow and routes to the nearest emergency-capable facility/contact, with SMS fallback if the app can't complete the request online.</w:t>
      </w:r>
    </w:p>
    <w:p>
      <w:r>
        <w:br w:type="page"/>
      </w:r>
    </w:p>
    <w:p>
      <w:pPr>
        <w:pStyle w:val="Heading1"/>
        <w:pBdr>
          <w:bottom w:val="single" w:sz="14" w:space="4" w:color="0F766E"/>
        </w:pBdr>
      </w:pPr>
      <w:r>
        <w:t>5. Core Data Model (key entities)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768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8"/>
              </w:rPr>
              <w:t>Patient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8"/>
              </w:rPr>
              <w:t>id, abha_id (nullable), name, dob, gender, guardian_of[], preferred_language, phone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StaffUser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id, name, phone, email, role[Doctor|Specialist|CHO|FacilityAdmin], specialty, facility_id, nmc_registration_no, credential_doc_url, verification_status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8"/>
              </w:rPr>
              <w:t>Facility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8"/>
              </w:rPr>
              <w:t>id (registry-linked), name, tier[SubCentre|PHC|RuralHospital|DistrictHospital], location, registry_ref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TriageSession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id, patient_id, answers[], computed_urgency, recommended_action, created_at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8"/>
              </w:rPr>
              <w:t>Appointment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8"/>
              </w:rPr>
              <w:t>id, patient_id, facility_id/doctor_id, type[Teleconsult|InPerson], slot, queue_position, status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Consultation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id, appointment_id, mode[Video|Audio|Callback], structured_diagnosis, prescription, notes, started_at, ended_at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8"/>
              </w:rPr>
              <w:t>Referral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8"/>
              </w:rPr>
              <w:t>id, patient_id, from_facility_id, to_facility_id, specialty, urgency, structured_summary, status[Pending|Confirmed|Completed]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HealthRecord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id, patient_id, source_consultation/referral, fhir_resource_refs[], shareable_qr_token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8"/>
              </w:rPr>
              <w:t>MedicineStock / DiagnosticAvailability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8"/>
              </w:rPr>
              <w:t>id, facility_id, item, available_qty/status, updated_at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FollowUpTask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id, patient_id, risk_category[Maternal|Child|Chronic], due_at, channel[App|SMS|Call],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8"/>
              </w:rPr>
              <w:t>EmergencySOSEvent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8"/>
              </w:rPr>
              <w:t>id, patient_id, location, triggered_at, routed_facility_id, status</w:t>
            </w:r>
          </w:p>
        </w:tc>
      </w:tr>
    </w:tbl>
    <w:p/>
    <w:p>
      <w:pPr>
        <w:pStyle w:val="Heading1"/>
        <w:pBdr>
          <w:bottom w:val="single" w:sz="14" w:space="4" w:color="0F766E"/>
        </w:pBdr>
      </w:pPr>
      <w:r>
        <w:t>6. Offline-First &amp; Sync Strategy</w:t>
      </w:r>
    </w:p>
    <w:p>
      <w:pPr>
        <w:pStyle w:val="ListBullet"/>
      </w:pPr>
      <w:r>
        <w:rPr>
          <w:b/>
          <w:color w:val="0B4F4A"/>
        </w:rPr>
        <w:t xml:space="preserve">Local-first store. </w:t>
      </w:r>
      <w:r>
        <w:t>Triage forms, the patient's own health record, and current appointment/queue state are cached in IndexedDB (via Dexie.js) after first successful load.</w:t>
      </w:r>
    </w:p>
    <w:p>
      <w:pPr>
        <w:pStyle w:val="ListBullet"/>
      </w:pPr>
      <w:r>
        <w:rPr>
          <w:b/>
          <w:color w:val="0B4F4A"/>
        </w:rPr>
        <w:t xml:space="preserve">Queued writes. </w:t>
      </w:r>
      <w:r>
        <w:t>Actions taken offline (completing a triage form, requesting a callback) are queued locally and replayed via the Background Sync API once connectivity returns, with optimistic UI + conflict resolution favouring the server's canonical record on sync.</w:t>
      </w:r>
    </w:p>
    <w:p>
      <w:pPr>
        <w:pStyle w:val="ListBullet"/>
      </w:pPr>
      <w:r>
        <w:rPr>
          <w:b/>
          <w:color w:val="0B4F4A"/>
        </w:rPr>
        <w:t xml:space="preserve">Service worker caching. </w:t>
      </w:r>
      <w:r>
        <w:t>App shell and static assets are cached for instant load on repeat visits even with no network.</w:t>
      </w:r>
    </w:p>
    <w:p>
      <w:pPr>
        <w:pStyle w:val="ListBullet"/>
      </w:pPr>
      <w:r>
        <w:rPr>
          <w:b/>
          <w:color w:val="0B4F4A"/>
        </w:rPr>
        <w:t xml:space="preserve">Graceful channel fallback. </w:t>
      </w:r>
      <w:r>
        <w:t>If the app itself cannot reach the network, critical flows (emergency escalation, high-risk follow-up) fall back to SMS/IVR, which does not depend on the patient's data connection at all.</w:t>
      </w:r>
    </w:p>
    <w:p>
      <w:pPr>
        <w:pStyle w:val="ListBullet"/>
      </w:pPr>
      <w:r>
        <w:rPr>
          <w:b/>
          <w:color w:val="0B4F4A"/>
        </w:rPr>
        <w:t xml:space="preserve">Low-bandwidth payloads. </w:t>
      </w:r>
      <w:r>
        <w:t>API responses are paginated/trimmed for low-bandwidth clients; images (e.g., credential photos) are compressed client-side before upload.</w:t>
      </w:r>
    </w:p>
    <w:p>
      <w:pPr>
        <w:pStyle w:val="Heading1"/>
        <w:pBdr>
          <w:bottom w:val="single" w:sz="14" w:space="4" w:color="0F766E"/>
        </w:pBdr>
      </w:pPr>
      <w:r>
        <w:t>7. Security &amp; Compliance Architecture</w:t>
      </w:r>
    </w:p>
    <w:p>
      <w:pPr>
        <w:pStyle w:val="ListBullet"/>
      </w:pPr>
      <w:r>
        <w:rPr>
          <w:b/>
          <w:color w:val="0B4F4A"/>
        </w:rPr>
        <w:t xml:space="preserve">Role-based access control (RBAC). </w:t>
      </w:r>
      <w:r>
        <w:t>Every StaffUser role (Doctor/Specialist/CHO/Facility Admin) maps to an explicit permission set enforced at the API layer, not just hidden in the UI.</w:t>
      </w:r>
    </w:p>
    <w:p>
      <w:pPr>
        <w:pStyle w:val="ListBullet"/>
      </w:pPr>
      <w:r>
        <w:rPr>
          <w:b/>
          <w:color w:val="0B4F4A"/>
        </w:rPr>
        <w:t xml:space="preserve">Verified-identity gate for staff. </w:t>
      </w:r>
      <w:r>
        <w:t>A StaffUser cannot create consultations, prescriptions or referrals while verification_status is Pending — enforced server-side, independent of the UI.</w:t>
      </w:r>
    </w:p>
    <w:p>
      <w:pPr>
        <w:pStyle w:val="ListBullet"/>
      </w:pPr>
      <w:r>
        <w:rPr>
          <w:b/>
          <w:color w:val="0B4F4A"/>
        </w:rPr>
        <w:t xml:space="preserve">Facility-truth from a registry, not free text. </w:t>
      </w:r>
      <w:r>
        <w:t>Facility affiliation is selected from a synced government registry dataset; the API rejects any facility_id not present in that registry.</w:t>
      </w:r>
    </w:p>
    <w:p>
      <w:pPr>
        <w:pStyle w:val="ListBullet"/>
      </w:pPr>
      <w:r>
        <w:rPr>
          <w:b/>
          <w:color w:val="0B4F4A"/>
        </w:rPr>
        <w:t xml:space="preserve">Encryption. </w:t>
      </w:r>
      <w:r>
        <w:t>TLS in transit; encryption at rest for the database and object storage (credential photos, QR snapshots).</w:t>
      </w:r>
    </w:p>
    <w:p>
      <w:pPr>
        <w:pStyle w:val="ListBullet"/>
      </w:pPr>
      <w:r>
        <w:rPr>
          <w:b/>
          <w:color w:val="0B4F4A"/>
        </w:rPr>
        <w:t xml:space="preserve">Consent logging. </w:t>
      </w:r>
      <w:r>
        <w:t>Every health-record view/share (including QR-based access at a new facility) is logged with who/when/why, and explained to the patient in plain multilingual language at the point of sharing — directly addressing the ABDM privacy-understanding gap.</w:t>
      </w:r>
    </w:p>
    <w:p>
      <w:pPr>
        <w:pStyle w:val="ListBullet"/>
      </w:pPr>
      <w:r>
        <w:rPr>
          <w:b/>
          <w:color w:val="0B4F4A"/>
        </w:rPr>
        <w:t xml:space="preserve">ABDM alignment. </w:t>
      </w:r>
      <w:r>
        <w:t>Records map to FHIR R4 resources; sharing across facilities is designed to be expressible as an ABDM consent-managed Health Information Exchange transaction where the patient has an ABHA ID, while remaining fully functional without one.</w:t>
      </w:r>
    </w:p>
    <w:p>
      <w:pPr>
        <w:pStyle w:val="Heading1"/>
        <w:pBdr>
          <w:bottom w:val="single" w:sz="14" w:space="4" w:color="0F766E"/>
        </w:pBdr>
      </w:pPr>
      <w:r>
        <w:t>8. External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6768"/>
            <w:shd w:val="clear" w:color="auto" w:fill="1D4E8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9"/>
              </w:rPr>
              <w:t>ABDM / ABHA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9"/>
              </w:rPr>
              <w:t>Optional patient identity linkage; FHIR-based record exchange via HIP/HIU APIs.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Government Facility Registry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Source of truth for facility search/selection during staff registration.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9"/>
              </w:rPr>
              <w:t>NMC / State Medical Council registry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9"/>
              </w:rPr>
              <w:t>Validates doctor registration numbers where an API is available; otherwise credential photo + human admin approval is the source of truth.</w:t>
            </w:r>
          </w:p>
        </w:tc>
      </w:tr>
      <w:tr>
        <w:tc>
          <w:tcPr>
            <w:tcW w:type="dxa" w:w="2592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SMS / IVR gateway</w:t>
            </w:r>
          </w:p>
        </w:tc>
        <w:tc>
          <w:tcPr>
            <w:tcW w:type="dxa" w:w="6768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OTP, appointment/queue notices, high-risk follow-up reminders, emergency confirmations.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color w:val="1F2937"/>
                <w:sz w:val="19"/>
              </w:rPr>
              <w:t>WebRTC video/audio SDK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color w:val="1F2937"/>
                <w:sz w:val="19"/>
              </w:rPr>
              <w:t>Teleconsultation session transport, with graceful degrade logic owned by RHC, not the SDK.</w:t>
            </w:r>
          </w:p>
        </w:tc>
      </w:tr>
    </w:tbl>
    <w:p/>
    <w:p>
      <w:pPr>
        <w:pStyle w:val="Heading1"/>
        <w:pBdr>
          <w:bottom w:val="single" w:sz="14" w:space="4" w:color="0F766E"/>
        </w:pBdr>
      </w:pPr>
      <w:r>
        <w:t>9. Deployment &amp; Scalability View</w:t>
      </w:r>
    </w:p>
    <w:p>
      <w:pPr>
        <w:pStyle w:val="ListBullet"/>
      </w:pPr>
      <w:r>
        <w:rPr>
          <w:b/>
          <w:color w:val="0B4F4A"/>
        </w:rPr>
        <w:t xml:space="preserve">Containerised services. </w:t>
      </w:r>
      <w:r>
        <w:t>Each domain service ships as an independently deployable container behind the API gateway, so a pilot district's load doesn't require scaling the whole platform.</w:t>
      </w:r>
    </w:p>
    <w:p>
      <w:pPr>
        <w:pStyle w:val="ListBullet"/>
      </w:pPr>
      <w:r>
        <w:rPr>
          <w:b/>
          <w:color w:val="0B4F4A"/>
        </w:rPr>
        <w:t xml:space="preserve">CDN + edge caching. </w:t>
      </w:r>
      <w:r>
        <w:t>Static assets and cacheable low-bandwidth payloads are served from the edge closest to the rural client.</w:t>
      </w:r>
    </w:p>
    <w:p>
      <w:pPr>
        <w:pStyle w:val="ListBullet"/>
      </w:pPr>
      <w:r>
        <w:rPr>
          <w:b/>
          <w:color w:val="0B4F4A"/>
        </w:rPr>
        <w:t xml:space="preserve">Horizontal scale on the hot paths. </w:t>
      </w:r>
      <w:r>
        <w:t>Queue/real-time (Redis + WebSocket gateway) and Triage Engine are the first services scaled out, since they see the highest concurrent patient traffic.</w:t>
      </w:r>
    </w:p>
    <w:p>
      <w:pPr>
        <w:pStyle w:val="ListBullet"/>
      </w:pPr>
      <w:r>
        <w:rPr>
          <w:b/>
          <w:color w:val="0B4F4A"/>
        </w:rPr>
        <w:t xml:space="preserve">Incremental facility onboarding. </w:t>
      </w:r>
      <w:r>
        <w:t>Facility Dashboard and registries are designed to onboard one district/state at a time without a schema change, matching a phased rollout.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Rural Health Connect — Confidential Draft  |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4F4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D4E8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