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46"/>
      </w:tblGrid>
      <w:tr>
        <w:trPr>
          <w:trHeight w:val="120" w:hRule="atLeast"/>
        </w:trPr>
        <w:tc>
          <w:tcPr>
            <w:tcW w:type="dxa" w:w="9072"/>
            <w:shd w:val="clear" w:color="auto" w:fill="1D4E89"/>
          </w:tcPr>
          <w:p>
            <w:r/>
          </w:p>
        </w:tc>
      </w:tr>
    </w:tbl>
    <w:p/>
    <w:p/>
    <w:p>
      <w:pPr>
        <w:jc w:val="center"/>
      </w:pPr>
      <w:r>
        <w:rPr>
          <w:rFonts w:ascii="Calibri" w:hAnsi="Calibri"/>
          <w:b/>
          <w:color w:val="149A8C"/>
          <w:sz w:val="24"/>
          <w:spacing w:val="30"/>
        </w:rPr>
        <w:t>PHASED IMPLEMENTATION ROADMAP</w:t>
      </w:r>
    </w:p>
    <w:p>
      <w:pPr>
        <w:jc w:val="center"/>
      </w:pPr>
      <w:r>
        <w:rPr>
          <w:rFonts w:ascii="Calibri" w:hAnsi="Calibri"/>
          <w:b/>
          <w:color w:val="0B4F4A"/>
          <w:sz w:val="68"/>
        </w:rPr>
        <w:t>Rural Health Connect</w:t>
      </w:r>
    </w:p>
    <w:p>
      <w:pPr>
        <w:jc w:val="center"/>
      </w:pPr>
      <w:r>
        <w:rPr>
          <w:rFonts w:ascii="Calibri" w:hAnsi="Calibri"/>
          <w:i w:val="0"/>
          <w:color w:val="6B7280"/>
          <w:sz w:val="28"/>
        </w:rPr>
        <w:t>From MVP to a state-wide, offline-first care-access platform</w:t>
      </w:r>
    </w:p>
    <w:p/>
    <w:p/>
    <w:p>
      <w:pPr>
        <w:jc w:val="center"/>
      </w:pPr>
      <w:r>
        <w:rPr>
          <w:rFonts w:ascii="Calibri" w:hAnsi="Calibri"/>
          <w:color w:val="6B7280"/>
          <w:sz w:val="21"/>
        </w:rPr>
        <w:t>Version 1.0  •  Draft for Development Handoff</w:t>
      </w:r>
    </w:p>
    <w:p>
      <w:pPr>
        <w:jc w:val="center"/>
      </w:pPr>
      <w:r>
        <w:rPr>
          <w:rFonts w:ascii="Calibri" w:hAnsi="Calibri"/>
          <w:color w:val="6B7280"/>
          <w:sz w:val="21"/>
        </w:rPr>
        <w:t>Companion to: PRD, Architecture Specification, Design Specification</w:t>
      </w:r>
    </w:p>
    <w:p>
      <w:pPr>
        <w:jc w:val="center"/>
      </w:pPr>
      <w:r>
        <w:rPr>
          <w:rFonts w:ascii="Calibri" w:hAnsi="Calibri"/>
          <w:color w:val="6B7280"/>
          <w:sz w:val="21"/>
        </w:rPr>
        <w:t>Author: Bilal  •  bilal@mail.fasttrackexp.com</w:t>
      </w:r>
    </w:p>
    <w:p>
      <w:pPr>
        <w:jc w:val="center"/>
      </w:pPr>
      <w:r>
        <w:rPr>
          <w:rFonts w:ascii="Calibri" w:hAnsi="Calibri"/>
          <w:color w:val="6B7280"/>
          <w:sz w:val="21"/>
        </w:rPr>
        <w:t>Date: 24 August 2026</w:t>
      </w:r>
    </w:p>
    <w:p/>
    <w:tbl>
      <w:tblPr>
        <w:tblW w:type="auto" w:w="0"/>
        <w:tblLayout w:type="fixed"/>
        <w:tblLook w:firstColumn="1" w:firstRow="1" w:lastColumn="0" w:lastRow="0" w:noHBand="0" w:noVBand="1" w:val="04A0"/>
      </w:tblPr>
      <w:tblGrid>
        <w:gridCol w:w="9746"/>
      </w:tblGrid>
      <w:tr>
        <w:trPr>
          <w:trHeight w:val="120" w:hRule="atLeast"/>
        </w:trPr>
        <w:tc>
          <w:tcPr>
            <w:tcW w:type="dxa" w:w="9072"/>
            <w:shd w:val="clear" w:color="auto" w:fill="1D4E89"/>
          </w:tcPr>
          <w:p>
            <w:r/>
          </w:p>
        </w:tc>
      </w:tr>
    </w:tbl>
    <w:p>
      <w:r>
        <w:br w:type="page"/>
      </w:r>
    </w:p>
    <w:p>
      <w:pPr>
        <w:pStyle w:val="Heading1"/>
        <w:pBdr>
          <w:bottom w:val="single" w:sz="14" w:space="4" w:color="0F766E"/>
        </w:pBdr>
      </w:pPr>
      <w:r>
        <w:t>Roadmap Overview</w:t>
      </w:r>
    </w:p>
    <w:p>
      <w:r>
        <w:rPr>
          <w:b w:val="0"/>
          <w:i w:val="0"/>
          <w:color w:val="1F2937"/>
          <w:sz w:val="21"/>
        </w:rPr>
        <w:t>Six phases move the platform from a working hackathon-grade MVP to a rollout-ready system. Each phase is scoped so it is independently demoable, and each phase's deliverables map directly to requirements in the PRD and services in the Architecture Specification.</w:t>
      </w:r>
    </w:p>
    <w:tbl>
      <w:tblPr>
        <w:tblW w:type="auto" w:w="0"/>
        <w:jc w:val="center"/>
        <w:tblLook w:firstColumn="1" w:firstRow="1" w:lastColumn="0" w:lastRow="0" w:noHBand="0" w:noVBand="1" w:val="04A0"/>
      </w:tblPr>
      <w:tblGrid>
        <w:gridCol w:w="9746"/>
      </w:tblGrid>
      <w:tr>
        <w:tc>
          <w:tcPr>
            <w:tcW w:type="dxa" w:w="9746"/>
            <w:shd w:val="clear" w:color="auto" w:fill="FFF7E8"/>
          </w:tcPr>
          <w:p>
            <w:pPr>
              <w:spacing w:after="40"/>
            </w:pPr>
            <w:r>
              <w:rPr>
                <w:b/>
                <w:color w:val="E08E1D"/>
                <w:sz w:val="20"/>
              </w:rPr>
              <w:t xml:space="preserve">Build sequencing  </w:t>
            </w:r>
          </w:p>
          <w:p>
            <w:r>
              <w:rPr>
                <w:color w:val="1F2937"/>
                <w:sz w:val="20"/>
              </w:rPr>
              <w:t>Frontend first. Every phase below is built against the UI first: screens are implemented in full against a mocked/stubbed API (static JSON + an in-memory mock server matching the real API contracts from the Architecture Specification), so the look, flow and attractiveness of the app can be reviewed and approved before any real backend service is built. The actual NestJS/Postgres backend described in the Architecture Specification is implemented afterwards, phase by phase, and simply replaces each mock behind the same contract — no frontend rework required.</w:t>
            </w:r>
          </w:p>
        </w:tc>
      </w:tr>
    </w:tbl>
    <w:p/>
    <w:tbl>
      <w:tblPr>
        <w:tblStyle w:val="TableGrid"/>
        <w:tblW w:type="auto" w:w="0"/>
        <w:jc w:val="center"/>
        <w:tblLook w:firstColumn="1" w:firstRow="1" w:lastColumn="0" w:lastRow="0" w:noHBand="0" w:noVBand="1" w:val="04A0"/>
      </w:tblPr>
      <w:tblGrid>
        <w:gridCol w:w="3249"/>
        <w:gridCol w:w="3249"/>
        <w:gridCol w:w="3249"/>
      </w:tblGrid>
      <w:tr>
        <w:tc>
          <w:tcPr>
            <w:tcW w:type="dxa" w:w="1440"/>
            <w:shd w:val="clear" w:color="auto" w:fill="1D4E89"/>
            <w:vAlign w:val="center"/>
          </w:tcPr>
          <w:p>
            <w:pPr>
              <w:jc w:val="left"/>
            </w:pPr>
            <w:r/>
            <w:r>
              <w:rPr>
                <w:rFonts w:ascii="Calibri" w:hAnsi="Calibri"/>
                <w:b/>
                <w:color w:val="FFFFFF"/>
                <w:sz w:val="19"/>
              </w:rPr>
              <w:t>Phase</w:t>
            </w:r>
          </w:p>
        </w:tc>
        <w:tc>
          <w:tcPr>
            <w:tcW w:type="dxa" w:w="5616"/>
            <w:shd w:val="clear" w:color="auto" w:fill="1D4E89"/>
            <w:vAlign w:val="center"/>
          </w:tcPr>
          <w:p>
            <w:pPr>
              <w:jc w:val="left"/>
            </w:pPr>
            <w:r/>
            <w:r>
              <w:rPr>
                <w:rFonts w:ascii="Calibri" w:hAnsi="Calibri"/>
                <w:b/>
                <w:color w:val="FFFFFF"/>
                <w:sz w:val="19"/>
              </w:rPr>
              <w:t>Focus</w:t>
            </w:r>
          </w:p>
        </w:tc>
        <w:tc>
          <w:tcPr>
            <w:tcW w:type="dxa" w:w="2592"/>
            <w:shd w:val="clear" w:color="auto" w:fill="1D4E89"/>
            <w:vAlign w:val="center"/>
          </w:tcPr>
          <w:p>
            <w:pPr>
              <w:jc w:val="left"/>
            </w:pPr>
            <w:r/>
            <w:r>
              <w:rPr>
                <w:rFonts w:ascii="Calibri" w:hAnsi="Calibri"/>
                <w:b/>
                <w:color w:val="FFFFFF"/>
                <w:sz w:val="19"/>
              </w:rPr>
              <w:t>Indicative Timeline</w:t>
            </w:r>
          </w:p>
        </w:tc>
      </w:tr>
      <w:tr>
        <w:tc>
          <w:tcPr>
            <w:tcW w:type="dxa" w:w="1440"/>
            <w:vAlign w:val="center"/>
          </w:tcPr>
          <w:p>
            <w:r/>
            <w:r>
              <w:rPr>
                <w:color w:val="1F2937"/>
                <w:sz w:val="19"/>
              </w:rPr>
              <w:t>Phase 0</w:t>
            </w:r>
          </w:p>
        </w:tc>
        <w:tc>
          <w:tcPr>
            <w:tcW w:type="dxa" w:w="5616"/>
            <w:vAlign w:val="center"/>
          </w:tcPr>
          <w:p>
            <w:r/>
            <w:r>
              <w:rPr>
                <w:color w:val="1F2937"/>
                <w:sz w:val="19"/>
              </w:rPr>
              <w:t>Discovery &amp; Foundation</w:t>
            </w:r>
          </w:p>
        </w:tc>
        <w:tc>
          <w:tcPr>
            <w:tcW w:type="dxa" w:w="2592"/>
            <w:vAlign w:val="center"/>
          </w:tcPr>
          <w:p>
            <w:r/>
            <w:r>
              <w:rPr>
                <w:color w:val="1F2937"/>
                <w:sz w:val="19"/>
              </w:rPr>
              <w:t>Week 1</w:t>
            </w:r>
          </w:p>
        </w:tc>
      </w:tr>
      <w:tr>
        <w:tc>
          <w:tcPr>
            <w:tcW w:type="dxa" w:w="1440"/>
            <w:vAlign w:val="center"/>
            <w:shd w:val="clear" w:color="auto" w:fill="E6F6F3"/>
          </w:tcPr>
          <w:p>
            <w:r/>
            <w:r>
              <w:rPr>
                <w:color w:val="1F2937"/>
                <w:sz w:val="19"/>
              </w:rPr>
              <w:t>Phase 1</w:t>
            </w:r>
          </w:p>
        </w:tc>
        <w:tc>
          <w:tcPr>
            <w:tcW w:type="dxa" w:w="5616"/>
            <w:vAlign w:val="center"/>
            <w:shd w:val="clear" w:color="auto" w:fill="E6F6F3"/>
          </w:tcPr>
          <w:p>
            <w:r/>
            <w:r>
              <w:rPr>
                <w:color w:val="1F2937"/>
                <w:sz w:val="19"/>
              </w:rPr>
              <w:t>Core MVP — Patient + Doctor happy path</w:t>
            </w:r>
          </w:p>
        </w:tc>
        <w:tc>
          <w:tcPr>
            <w:tcW w:type="dxa" w:w="2592"/>
            <w:vAlign w:val="center"/>
            <w:shd w:val="clear" w:color="auto" w:fill="E6F6F3"/>
          </w:tcPr>
          <w:p>
            <w:r/>
            <w:r>
              <w:rPr>
                <w:color w:val="1F2937"/>
                <w:sz w:val="19"/>
              </w:rPr>
              <w:t>Weeks 2–4</w:t>
            </w:r>
          </w:p>
        </w:tc>
      </w:tr>
      <w:tr>
        <w:tc>
          <w:tcPr>
            <w:tcW w:type="dxa" w:w="1440"/>
            <w:vAlign w:val="center"/>
          </w:tcPr>
          <w:p>
            <w:r/>
            <w:r>
              <w:rPr>
                <w:color w:val="1F2937"/>
                <w:sz w:val="19"/>
              </w:rPr>
              <w:t>Phase 2</w:t>
            </w:r>
          </w:p>
        </w:tc>
        <w:tc>
          <w:tcPr>
            <w:tcW w:type="dxa" w:w="5616"/>
            <w:vAlign w:val="center"/>
          </w:tcPr>
          <w:p>
            <w:r/>
            <w:r>
              <w:rPr>
                <w:color w:val="1F2937"/>
                <w:sz w:val="19"/>
              </w:rPr>
              <w:t>Records, Referral Continuity &amp; Verification</w:t>
            </w:r>
          </w:p>
        </w:tc>
        <w:tc>
          <w:tcPr>
            <w:tcW w:type="dxa" w:w="2592"/>
            <w:vAlign w:val="center"/>
          </w:tcPr>
          <w:p>
            <w:r/>
            <w:r>
              <w:rPr>
                <w:color w:val="1F2937"/>
                <w:sz w:val="19"/>
              </w:rPr>
              <w:t>Weeks 5–6</w:t>
            </w:r>
          </w:p>
        </w:tc>
      </w:tr>
      <w:tr>
        <w:tc>
          <w:tcPr>
            <w:tcW w:type="dxa" w:w="1440"/>
            <w:vAlign w:val="center"/>
            <w:shd w:val="clear" w:color="auto" w:fill="E6F6F3"/>
          </w:tcPr>
          <w:p>
            <w:r/>
            <w:r>
              <w:rPr>
                <w:color w:val="1F2937"/>
                <w:sz w:val="19"/>
              </w:rPr>
              <w:t>Phase 3</w:t>
            </w:r>
          </w:p>
        </w:tc>
        <w:tc>
          <w:tcPr>
            <w:tcW w:type="dxa" w:w="5616"/>
            <w:vAlign w:val="center"/>
            <w:shd w:val="clear" w:color="auto" w:fill="E6F6F3"/>
          </w:tcPr>
          <w:p>
            <w:r/>
            <w:r>
              <w:rPr>
                <w:color w:val="1F2937"/>
                <w:sz w:val="19"/>
              </w:rPr>
              <w:t>Offline-First &amp; Low-Connectivity Hardening</w:t>
            </w:r>
          </w:p>
        </w:tc>
        <w:tc>
          <w:tcPr>
            <w:tcW w:type="dxa" w:w="2592"/>
            <w:vAlign w:val="center"/>
            <w:shd w:val="clear" w:color="auto" w:fill="E6F6F3"/>
          </w:tcPr>
          <w:p>
            <w:r/>
            <w:r>
              <w:rPr>
                <w:color w:val="1F2937"/>
                <w:sz w:val="19"/>
              </w:rPr>
              <w:t>Weeks 7–8</w:t>
            </w:r>
          </w:p>
        </w:tc>
      </w:tr>
      <w:tr>
        <w:tc>
          <w:tcPr>
            <w:tcW w:type="dxa" w:w="1440"/>
            <w:vAlign w:val="center"/>
          </w:tcPr>
          <w:p>
            <w:r/>
            <w:r>
              <w:rPr>
                <w:color w:val="1F2937"/>
                <w:sz w:val="19"/>
              </w:rPr>
              <w:t>Phase 4</w:t>
            </w:r>
          </w:p>
        </w:tc>
        <w:tc>
          <w:tcPr>
            <w:tcW w:type="dxa" w:w="5616"/>
            <w:vAlign w:val="center"/>
          </w:tcPr>
          <w:p>
            <w:r/>
            <w:r>
              <w:rPr>
                <w:color w:val="1F2937"/>
                <w:sz w:val="19"/>
              </w:rPr>
              <w:t>Coordination, Follow-up &amp; Facility Quality Dashboards</w:t>
            </w:r>
          </w:p>
        </w:tc>
        <w:tc>
          <w:tcPr>
            <w:tcW w:type="dxa" w:w="2592"/>
            <w:vAlign w:val="center"/>
          </w:tcPr>
          <w:p>
            <w:r/>
            <w:r>
              <w:rPr>
                <w:color w:val="1F2937"/>
                <w:sz w:val="19"/>
              </w:rPr>
              <w:t>Weeks 9–10</w:t>
            </w:r>
          </w:p>
        </w:tc>
      </w:tr>
      <w:tr>
        <w:tc>
          <w:tcPr>
            <w:tcW w:type="dxa" w:w="1440"/>
            <w:vAlign w:val="center"/>
            <w:shd w:val="clear" w:color="auto" w:fill="E6F6F3"/>
          </w:tcPr>
          <w:p>
            <w:r/>
            <w:r>
              <w:rPr>
                <w:color w:val="1F2937"/>
                <w:sz w:val="19"/>
              </w:rPr>
              <w:t>Phase 5</w:t>
            </w:r>
          </w:p>
        </w:tc>
        <w:tc>
          <w:tcPr>
            <w:tcW w:type="dxa" w:w="5616"/>
            <w:vAlign w:val="center"/>
            <w:shd w:val="clear" w:color="auto" w:fill="E6F6F3"/>
          </w:tcPr>
          <w:p>
            <w:r/>
            <w:r>
              <w:rPr>
                <w:color w:val="1F2937"/>
                <w:sz w:val="19"/>
              </w:rPr>
              <w:t>Multilingual, Voice, Emergency SOS &amp; Interoperability Polish</w:t>
            </w:r>
          </w:p>
        </w:tc>
        <w:tc>
          <w:tcPr>
            <w:tcW w:type="dxa" w:w="2592"/>
            <w:vAlign w:val="center"/>
            <w:shd w:val="clear" w:color="auto" w:fill="E6F6F3"/>
          </w:tcPr>
          <w:p>
            <w:r/>
            <w:r>
              <w:rPr>
                <w:color w:val="1F2937"/>
                <w:sz w:val="19"/>
              </w:rPr>
              <w:t>Weeks 11–12</w:t>
            </w:r>
          </w:p>
        </w:tc>
      </w:tr>
    </w:tbl>
    <w:p/>
    <w:p>
      <w:pPr>
        <w:pStyle w:val="Heading1"/>
        <w:pBdr>
          <w:bottom w:val="single" w:sz="14" w:space="4" w:color="0F766E"/>
        </w:pBdr>
      </w:pPr>
      <w:r>
        <w:t>Phase 0 — Discovery &amp; Foundation</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Goal  </w:t>
            </w:r>
          </w:p>
          <w:p>
            <w:r>
              <w:rPr>
                <w:color w:val="1F2937"/>
                <w:sz w:val="20"/>
              </w:rPr>
              <w:t>Lock scope, stand up the technical foundation, and secure the reference data every later phase depends on.</w:t>
            </w:r>
          </w:p>
        </w:tc>
      </w:tr>
    </w:tbl>
    <w:p/>
    <w:p>
      <w:pPr>
        <w:pStyle w:val="Heading3"/>
      </w:pPr>
      <w:r>
        <w:t>Deliverables</w:t>
      </w:r>
    </w:p>
    <w:p>
      <w:pPr>
        <w:pStyle w:val="ListBullet"/>
      </w:pPr>
      <w:r>
        <w:t>Repository, CI scaffold, environment setup per the Architecture Specification stack.</w:t>
      </w:r>
    </w:p>
    <w:p>
      <w:pPr>
        <w:pStyle w:val="ListBullet"/>
      </w:pPr>
      <w:r>
        <w:t>Design tokens (colour, type, spacing) implemented as the base Tailwind/shadcn theme from the Design Specification.</w:t>
      </w:r>
    </w:p>
    <w:p>
      <w:pPr>
        <w:pStyle w:val="ListBullet"/>
      </w:pPr>
      <w:r>
        <w:t>Pilot dataset assembled: sample government facility registry entries and NMC/State Medical Council credential formats for the target pilot district.</w:t>
      </w:r>
    </w:p>
    <w:p>
      <w:pPr>
        <w:pStyle w:val="ListBullet"/>
      </w:pPr>
      <w:r>
        <w:t>Core data model (Patient, StaffUser, Facility, Appointment, Referral, HealthRecord) implemented as Prisma/PostgreSQL schema.</w:t>
      </w:r>
    </w:p>
    <w:p>
      <w:pPr>
        <w:pStyle w:val="Heading3"/>
      </w:pPr>
      <w:r>
        <w:t>Features included</w:t>
      </w:r>
    </w:p>
    <w:p>
      <w:pPr>
        <w:pStyle w:val="ListBullet"/>
      </w:pPr>
      <w:r>
        <w:t>No end-user features yet — this phase is infrastructure and data foundation.</w:t>
      </w:r>
    </w:p>
    <w:p>
      <w:pPr>
        <w:pStyle w:val="Heading3"/>
      </w:pPr>
      <w:r>
        <w:t>Success criteria</w:t>
      </w:r>
    </w:p>
    <w:p>
      <w:pPr>
        <w:pStyle w:val="ListBullet"/>
      </w:pPr>
      <w:r>
        <w:t>A developer can run the app locally against seeded facility/credential data.</w:t>
      </w:r>
    </w:p>
    <w:p>
      <w:pPr>
        <w:pStyle w:val="ListBullet"/>
      </w:pPr>
      <w:r>
        <w:t>Design tokens render identically across patient and doctor surfaces.</w:t>
      </w:r>
    </w:p>
    <w:p/>
    <w:p>
      <w:pPr>
        <w:pStyle w:val="Heading1"/>
        <w:pBdr>
          <w:bottom w:val="single" w:sz="14" w:space="4" w:color="0F766E"/>
        </w:pBdr>
      </w:pPr>
      <w:r>
        <w:t>Phase 1 — Core MVP: Patient + Doctor Happy Path (Frontend-First)</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Goal  </w:t>
            </w:r>
          </w:p>
          <w:p>
            <w:r>
              <w:rPr>
                <w:color w:val="1F2937"/>
                <w:sz w:val="20"/>
              </w:rPr>
              <w:t>Prove the core loop end-to-end in the UI: a patient can get triaged, booked, and seen; a doctor can see them and record a structured outcome — built and reviewed against mocked data before any real backend exists.</w:t>
            </w:r>
          </w:p>
        </w:tc>
      </w:tr>
    </w:tbl>
    <w:p/>
    <w:p>
      <w:pPr>
        <w:pStyle w:val="Heading3"/>
      </w:pPr>
      <w:r>
        <w:t>Deliverables</w:t>
      </w:r>
    </w:p>
    <w:p>
      <w:pPr>
        <w:pStyle w:val="ListBullet"/>
      </w:pPr>
      <w:r>
        <w:t>Full frontend build for both flows against a mock API layer (static/mock JSON matching the real contracts), so design and UX can be reviewed and signed off first.</w:t>
      </w:r>
    </w:p>
    <w:p>
      <w:pPr>
        <w:pStyle w:val="ListBullet"/>
      </w:pPr>
      <w:r>
        <w:t>Landing/role selection screen with separate Patient and Doctor entry points.</w:t>
      </w:r>
    </w:p>
    <w:p>
      <w:pPr>
        <w:pStyle w:val="ListBullet"/>
      </w:pPr>
      <w:r>
        <w:t>Patient: mobile+OTP login, language selection, home screen, digital triage (rule-based, single language first), booking with basic queue position, video/audio teleconsultation.</w:t>
      </w:r>
    </w:p>
    <w:p>
      <w:pPr>
        <w:pStyle w:val="ListBullet"/>
      </w:pPr>
      <w:r>
        <w:t>Doctor: registration flow including facility-registry search and credential upload (verification workflow can be manual/admin-console at this stage), staff login, dashboard with today's queue, structured diagnosis + prescription entry.</w:t>
      </w:r>
    </w:p>
    <w:p>
      <w:pPr>
        <w:pStyle w:val="ListBullet"/>
      </w:pPr>
      <w:r>
        <w:t>Real backend (NestJS/PostgreSQL services from the Architecture Specification) is implemented after the frontend is approved, swapped in behind the same mock contracts.</w:t>
      </w:r>
    </w:p>
    <w:p>
      <w:pPr>
        <w:pStyle w:val="Heading3"/>
      </w:pPr>
      <w:r>
        <w:t>Features included</w:t>
      </w:r>
    </w:p>
    <w:p>
      <w:pPr>
        <w:pStyle w:val="ListBullet"/>
      </w:pPr>
      <w:r>
        <w:t>Landing/Role Selection · Patient login/signup · Language selection (1 language) · Patient home · Digital triage (core rule set) · Booking/queue (basic) · Teleconsultation (video/audio, no degrade logic yet) · Doctor registration &amp; login · Doctor dashboard · Structured diagnosis entry.</w:t>
      </w:r>
    </w:p>
    <w:p>
      <w:pPr>
        <w:pStyle w:val="Heading3"/>
      </w:pPr>
      <w:r>
        <w:t>Success criteria</w:t>
      </w:r>
    </w:p>
    <w:p>
      <w:pPr>
        <w:pStyle w:val="ListBullet"/>
      </w:pPr>
      <w:r>
        <w:t>A pilot patient can complete triage → booking → teleconsultation → structured diagnosis without leaving the app.</w:t>
      </w:r>
    </w:p>
    <w:p>
      <w:pPr>
        <w:pStyle w:val="ListBullet"/>
      </w:pPr>
      <w:r>
        <w:t>A doctor cannot take a consultation before being marked verified in the admin console.</w:t>
      </w:r>
    </w:p>
    <w:p/>
    <w:p>
      <w:pPr>
        <w:pStyle w:val="Heading1"/>
        <w:pBdr>
          <w:bottom w:val="single" w:sz="14" w:space="4" w:color="0F766E"/>
        </w:pBdr>
      </w:pPr>
      <w:r>
        <w:t>Phase 2 — Records, Referral Continuity &amp; Verification</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Goal  </w:t>
            </w:r>
          </w:p>
          <w:p>
            <w:r>
              <w:rPr>
                <w:color w:val="1F2937"/>
                <w:sz w:val="20"/>
              </w:rPr>
              <w:t>Close eSanjeevani's two biggest gaps directly: continuity of records across facility tiers, and accurate, trackable referrals — plus turn manual verification into the real admin workflow.</w:t>
            </w:r>
          </w:p>
        </w:tc>
      </w:tr>
    </w:tbl>
    <w:p/>
    <w:p>
      <w:pPr>
        <w:pStyle w:val="Heading3"/>
      </w:pPr>
      <w:r>
        <w:t>Deliverables</w:t>
      </w:r>
    </w:p>
    <w:p>
      <w:pPr>
        <w:pStyle w:val="ListBullet"/>
      </w:pPr>
      <w:r>
        <w:t>Longitudinal Health Record service with QR/ID-based retrieval across facility tiers.</w:t>
      </w:r>
    </w:p>
    <w:p>
      <w:pPr>
        <w:pStyle w:val="ListBullet"/>
      </w:pPr>
      <w:r>
        <w:t>Structured Referral service: specialty tagging, urgency, structured clinical summary, status machine (Pending/Confirmed/Completed), visible to patient and receiving doctor.</w:t>
      </w:r>
    </w:p>
    <w:p>
      <w:pPr>
        <w:pStyle w:val="ListBullet"/>
      </w:pPr>
      <w:r>
        <w:t>Doctor Verification Dashboard for facility admins: review, approve, reject with reason.</w:t>
      </w:r>
    </w:p>
    <w:p>
      <w:pPr>
        <w:pStyle w:val="ListBullet"/>
      </w:pPr>
      <w:r>
        <w:t>Role-scoped doctor dashboard (facility + specialty context on login).</w:t>
      </w:r>
    </w:p>
    <w:p>
      <w:pPr>
        <w:pStyle w:val="Heading3"/>
      </w:pPr>
      <w:r>
        <w:t>Features included</w:t>
      </w:r>
    </w:p>
    <w:p>
      <w:pPr>
        <w:pStyle w:val="ListBullet"/>
      </w:pPr>
      <w:r>
        <w:t>My Health Records (patient) · Referral tracking (patient) · Referral inbox &amp; creation (doctor) · Patient longitudinal history view (doctor) · Admin verification dashboard (Facility Admin role) · Role selection (Doctor/Specialist/CHO/Facility Admin) with differentiated permissions.</w:t>
      </w:r>
    </w:p>
    <w:p>
      <w:pPr>
        <w:pStyle w:val="Heading3"/>
      </w:pPr>
      <w:r>
        <w:t>Success criteria</w:t>
      </w:r>
    </w:p>
    <w:p>
      <w:pPr>
        <w:pStyle w:val="ListBullet"/>
      </w:pPr>
      <w:r>
        <w:t>A referral created at a sub-centre is visible, correctly specialty-tagged, and trackable at the receiving district hospital.</w:t>
      </w:r>
    </w:p>
    <w:p>
      <w:pPr>
        <w:pStyle w:val="ListBullet"/>
      </w:pPr>
      <w:r>
        <w:t>A patient's record from a prior visit at a different facility tier is retrievable via QR/ID.</w:t>
      </w:r>
    </w:p>
    <w:p/>
    <w:p>
      <w:pPr>
        <w:pStyle w:val="Heading1"/>
        <w:pBdr>
          <w:bottom w:val="single" w:sz="14" w:space="4" w:color="0F766E"/>
        </w:pBdr>
      </w:pPr>
      <w:r>
        <w:t>Phase 3 — Offline-First &amp; Low-Connectivity Hardening</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Goal  </w:t>
            </w:r>
          </w:p>
          <w:p>
            <w:r>
              <w:rPr>
                <w:color w:val="1F2937"/>
                <w:sz w:val="20"/>
              </w:rPr>
              <w:t>Make the platform actually usable in the network conditions it was designed for — this phase is what differentiates RHC from eSanjeevani's no-offline-mode gap.</w:t>
            </w:r>
          </w:p>
        </w:tc>
      </w:tr>
    </w:tbl>
    <w:p/>
    <w:p>
      <w:pPr>
        <w:pStyle w:val="Heading3"/>
      </w:pPr>
      <w:r>
        <w:t>Deliverables</w:t>
      </w:r>
    </w:p>
    <w:p>
      <w:pPr>
        <w:pStyle w:val="ListBullet"/>
      </w:pPr>
      <w:r>
        <w:t>Local-first data cache (IndexedDB/Dexie) for triage, records, and queue status.</w:t>
      </w:r>
    </w:p>
    <w:p>
      <w:pPr>
        <w:pStyle w:val="ListBullet"/>
      </w:pPr>
      <w:r>
        <w:t>Background Sync API integration for queued offline writes.</w:t>
      </w:r>
    </w:p>
    <w:p>
      <w:pPr>
        <w:pStyle w:val="ListBullet"/>
      </w:pPr>
      <w:r>
        <w:t>Service worker app-shell caching for instant repeat loads.</w:t>
      </w:r>
    </w:p>
    <w:p>
      <w:pPr>
        <w:pStyle w:val="ListBullet"/>
      </w:pPr>
      <w:r>
        <w:t>Teleconsultation auto-degrade: video → audio-only → scheduled callback request, without losing triage/queue context.</w:t>
      </w:r>
    </w:p>
    <w:p>
      <w:pPr>
        <w:pStyle w:val="ListBullet"/>
      </w:pPr>
      <w:r>
        <w:t>SMS/IVR channel integration for OTP and time-critical notices as a non-app-dependent fallback.</w:t>
      </w:r>
    </w:p>
    <w:p>
      <w:pPr>
        <w:pStyle w:val="Heading3"/>
      </w:pPr>
      <w:r>
        <w:t>Features included</w:t>
      </w:r>
    </w:p>
    <w:p>
      <w:pPr>
        <w:pStyle w:val="ListBullet"/>
      </w:pPr>
      <w:r>
        <w:t>Offline-first triage &amp; record viewing · Queued sync for offline actions · Auto-degrading teleconsultation · SMS/IVR fallback channel for OTP and notices.</w:t>
      </w:r>
    </w:p>
    <w:p>
      <w:pPr>
        <w:pStyle w:val="Heading3"/>
      </w:pPr>
      <w:r>
        <w:t>Success criteria</w:t>
      </w:r>
    </w:p>
    <w:p>
      <w:pPr>
        <w:pStyle w:val="ListBullet"/>
      </w:pPr>
      <w:r>
        <w:t>Triage can be completed and later synced with zero live connectivity throughout.</w:t>
      </w:r>
    </w:p>
    <w:p>
      <w:pPr>
        <w:pStyle w:val="ListBullet"/>
      </w:pPr>
      <w:r>
        <w:t>A teleconsultation started on video survives a drop to 2G by degrading to audio, then callback, without the patient losing their place in the flow.</w:t>
      </w:r>
    </w:p>
    <w:p/>
    <w:p>
      <w:pPr>
        <w:pStyle w:val="Heading1"/>
        <w:pBdr>
          <w:bottom w:val="single" w:sz="14" w:space="4" w:color="0F766E"/>
        </w:pBdr>
      </w:pPr>
      <w:r>
        <w:t>Phase 4 — Coordination, Follow-up &amp; Facility Quality Dashboards</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Goal  </w:t>
            </w:r>
          </w:p>
          <w:p>
            <w:r>
              <w:rPr>
                <w:color w:val="1F2937"/>
                <w:sz w:val="20"/>
              </w:rPr>
              <w:t>Add the coordination layer that keeps high-risk patients from falling through the cracks and gives facility/district staff real operational visibility.</w:t>
            </w:r>
          </w:p>
        </w:tc>
      </w:tr>
    </w:tbl>
    <w:p/>
    <w:p>
      <w:pPr>
        <w:pStyle w:val="Heading3"/>
      </w:pPr>
      <w:r>
        <w:t>Deliverables</w:t>
      </w:r>
    </w:p>
    <w:p>
      <w:pPr>
        <w:pStyle w:val="ListBullet"/>
      </w:pPr>
      <w:r>
        <w:t>Diagnostics &amp; Medicine Inventory service with facility-level availability lookups.</w:t>
      </w:r>
    </w:p>
    <w:p>
      <w:pPr>
        <w:pStyle w:val="ListBullet"/>
      </w:pPr>
      <w:r>
        <w:t>Follow-up/reminder engine for maternal, child and chronic high-risk cases with SMS/call channels for non-smartphone users.</w:t>
      </w:r>
    </w:p>
    <w:p>
      <w:pPr>
        <w:pStyle w:val="ListBullet"/>
      </w:pPr>
      <w:r>
        <w:t>Facility Dashboard: load, referral completion rate, stock visibility, quality metrics, with district-level roll-up.</w:t>
      </w:r>
    </w:p>
    <w:p>
      <w:pPr>
        <w:pStyle w:val="Heading3"/>
      </w:pPr>
      <w:r>
        <w:t>Features included</w:t>
      </w:r>
    </w:p>
    <w:p>
      <w:pPr>
        <w:pStyle w:val="ListBullet"/>
      </w:pPr>
      <w:r>
        <w:t>Check medicine availability (patient) · Diagnostic/medicine coordination before referral (doctor) · Follow-up reminders (app + SMS/call) · Facility dashboard (admin) · Quality metrics reporting.</w:t>
      </w:r>
    </w:p>
    <w:p>
      <w:pPr>
        <w:pStyle w:val="Heading3"/>
      </w:pPr>
      <w:r>
        <w:t>Success criteria</w:t>
      </w:r>
    </w:p>
    <w:p>
      <w:pPr>
        <w:pStyle w:val="ListBullet"/>
      </w:pPr>
      <w:r>
        <w:t>A flagged high-risk patient receives a follow-up reminder through at least one non-app channel.</w:t>
      </w:r>
    </w:p>
    <w:p>
      <w:pPr>
        <w:pStyle w:val="ListBullet"/>
      </w:pPr>
      <w:r>
        <w:t>A facility admin can see referral completion rate and stock status for their facility in one screen.</w:t>
      </w:r>
    </w:p>
    <w:p/>
    <w:p>
      <w:pPr>
        <w:pStyle w:val="Heading1"/>
        <w:pBdr>
          <w:bottom w:val="single" w:sz="14" w:space="4" w:color="0F766E"/>
        </w:pBdr>
      </w:pPr>
      <w:r>
        <w:t>Phase 5 — Multilingual, Voice, Emergency SOS &amp; Interoperability Polish</w:t>
      </w:r>
    </w:p>
    <w:tbl>
      <w:tblPr>
        <w:tblW w:type="auto" w:w="0"/>
        <w:jc w:val="center"/>
        <w:tblLook w:firstColumn="1" w:firstRow="1" w:lastColumn="0" w:lastRow="0" w:noHBand="0" w:noVBand="1" w:val="04A0"/>
      </w:tblPr>
      <w:tblGrid>
        <w:gridCol w:w="9746"/>
      </w:tblGrid>
      <w:tr>
        <w:tc>
          <w:tcPr>
            <w:tcW w:type="dxa" w:w="9746"/>
            <w:shd w:val="clear" w:color="auto" w:fill="E6F6F3"/>
          </w:tcPr>
          <w:p>
            <w:pPr>
              <w:spacing w:after="40"/>
            </w:pPr>
            <w:r>
              <w:rPr>
                <w:b/>
                <w:color w:val="0B4F4A"/>
                <w:sz w:val="20"/>
              </w:rPr>
              <w:t xml:space="preserve">Goal  </w:t>
            </w:r>
          </w:p>
          <w:p>
            <w:r>
              <w:rPr>
                <w:color w:val="1F2937"/>
                <w:sz w:val="20"/>
              </w:rPr>
              <w:t>Finish the accessibility and national-integration commitments that determine real-world adoption, directly targeting the awareness/adoption gaps seen in both eSanjeevani and ABDM.</w:t>
            </w:r>
          </w:p>
        </w:tc>
      </w:tr>
    </w:tbl>
    <w:p/>
    <w:p>
      <w:pPr>
        <w:pStyle w:val="Heading3"/>
      </w:pPr>
      <w:r>
        <w:t>Deliverables</w:t>
      </w:r>
    </w:p>
    <w:p>
      <w:pPr>
        <w:pStyle w:val="ListBullet"/>
      </w:pPr>
      <w:r>
        <w:t>Full multilingual rollout (Hindi + English + pilot-state regional language(s)) across UI, SMS, and voice prompts.</w:t>
      </w:r>
    </w:p>
    <w:p>
      <w:pPr>
        <w:pStyle w:val="ListBullet"/>
      </w:pPr>
      <w:r>
        <w:t>Voice input/output layered onto triage and search fields.</w:t>
      </w:r>
    </w:p>
    <w:p>
      <w:pPr>
        <w:pStyle w:val="ListBullet"/>
      </w:pPr>
      <w:r>
        <w:t>Emergency SOS: one-tap escalation bypassing the normal queue, with SMS fallback.</w:t>
      </w:r>
    </w:p>
    <w:p>
      <w:pPr>
        <w:pStyle w:val="ListBullet"/>
      </w:pPr>
      <w:r>
        <w:t>ABDM/ABHA optional linkage and FHIR resource mapping for records; consent explained in plain multilingual language at point of sharing.</w:t>
      </w:r>
    </w:p>
    <w:p>
      <w:pPr>
        <w:pStyle w:val="ListBullet"/>
      </w:pPr>
      <w:r>
        <w:t>In-app and ASHA/CHO-workflow awareness prompts to counter the low-adoption pattern seen with ABDM.</w:t>
      </w:r>
    </w:p>
    <w:p>
      <w:pPr>
        <w:pStyle w:val="Heading3"/>
      </w:pPr>
      <w:r>
        <w:t>Features included</w:t>
      </w:r>
    </w:p>
    <w:p>
      <w:pPr>
        <w:pStyle w:val="ListBullet"/>
      </w:pPr>
      <w:r>
        <w:t>Multilingual toggle (all screens) · Voice input everywhere applicable · Emergency SOS · ABDM/ABHA linkage &amp; FHIR mapping · Consent-at-point-of-use messaging · Onboarding awareness flow.</w:t>
      </w:r>
    </w:p>
    <w:p>
      <w:pPr>
        <w:pStyle w:val="Heading3"/>
      </w:pPr>
      <w:r>
        <w:t>Success criteria</w:t>
      </w:r>
    </w:p>
    <w:p>
      <w:pPr>
        <w:pStyle w:val="ListBullet"/>
      </w:pPr>
      <w:r>
        <w:t>A user can complete the entire patient journey in a regional language using voice input alone.</w:t>
      </w:r>
    </w:p>
    <w:p>
      <w:pPr>
        <w:pStyle w:val="ListBullet"/>
      </w:pPr>
      <w:r>
        <w:t>Emergency SOS reaches a routed facility even when the standard booking flow is unavailable.</w:t>
      </w:r>
    </w:p>
    <w:p>
      <w:pPr>
        <w:pStyle w:val="ListBullet"/>
      </w:pPr>
      <w:r>
        <w:t>A record shared via ABHA/FHIR is correctly represented as a consent-managed exchange.</w:t>
      </w:r>
    </w:p>
    <w:p/>
    <w:p>
      <w:pPr>
        <w:pStyle w:val="Heading1"/>
        <w:pBdr>
          <w:bottom w:val="single" w:sz="14" w:space="4" w:color="0F766E"/>
        </w:pBdr>
      </w:pPr>
      <w:r>
        <w:t>Dependencies Across Phases</w:t>
      </w:r>
    </w:p>
    <w:tbl>
      <w:tblPr>
        <w:tblStyle w:val="TableGrid"/>
        <w:tblW w:type="auto" w:w="0"/>
        <w:jc w:val="center"/>
        <w:tblLook w:firstColumn="1" w:firstRow="1" w:lastColumn="0" w:lastRow="0" w:noHBand="0" w:noVBand="1" w:val="04A0"/>
      </w:tblPr>
      <w:tblGrid>
        <w:gridCol w:w="4873"/>
        <w:gridCol w:w="4873"/>
      </w:tblGrid>
      <w:tr>
        <w:tc>
          <w:tcPr>
            <w:tcW w:type="dxa" w:w="2304"/>
            <w:shd w:val="clear" w:color="auto" w:fill="1D4E89"/>
            <w:vAlign w:val="center"/>
          </w:tcPr>
          <w:p>
            <w:pPr>
              <w:jc w:val="left"/>
            </w:pPr>
            <w:r/>
            <w:r>
              <w:rPr>
                <w:rFonts w:ascii="Calibri" w:hAnsi="Calibri"/>
                <w:b/>
                <w:color w:val="FFFFFF"/>
                <w:sz w:val="19"/>
              </w:rPr>
              <w:t>Dependency</w:t>
            </w:r>
          </w:p>
        </w:tc>
        <w:tc>
          <w:tcPr>
            <w:tcW w:type="dxa" w:w="7056"/>
            <w:shd w:val="clear" w:color="auto" w:fill="1D4E89"/>
            <w:vAlign w:val="center"/>
          </w:tcPr>
          <w:p>
            <w:pPr>
              <w:jc w:val="left"/>
            </w:pPr>
            <w:r/>
            <w:r>
              <w:rPr>
                <w:rFonts w:ascii="Calibri" w:hAnsi="Calibri"/>
                <w:b/>
                <w:color w:val="FFFFFF"/>
                <w:sz w:val="19"/>
              </w:rPr>
              <w:t>Reason</w:t>
            </w:r>
          </w:p>
        </w:tc>
      </w:tr>
      <w:tr>
        <w:tc>
          <w:tcPr>
            <w:tcW w:type="dxa" w:w="2304"/>
            <w:vAlign w:val="center"/>
          </w:tcPr>
          <w:p>
            <w:r/>
            <w:r>
              <w:rPr>
                <w:color w:val="1F2937"/>
                <w:sz w:val="19"/>
              </w:rPr>
              <w:t>Phase 1 → Phase 2</w:t>
            </w:r>
          </w:p>
        </w:tc>
        <w:tc>
          <w:tcPr>
            <w:tcW w:type="dxa" w:w="7056"/>
            <w:vAlign w:val="center"/>
          </w:tcPr>
          <w:p>
            <w:r/>
            <w:r>
              <w:rPr>
                <w:color w:val="1F2937"/>
                <w:sz w:val="19"/>
              </w:rPr>
              <w:t>Referral/records require the core data model and doctor dashboard from Phase 1.</w:t>
            </w:r>
          </w:p>
        </w:tc>
      </w:tr>
      <w:tr>
        <w:tc>
          <w:tcPr>
            <w:tcW w:type="dxa" w:w="2304"/>
            <w:vAlign w:val="center"/>
            <w:shd w:val="clear" w:color="auto" w:fill="E6F6F3"/>
          </w:tcPr>
          <w:p>
            <w:r/>
            <w:r>
              <w:rPr>
                <w:color w:val="1F2937"/>
                <w:sz w:val="19"/>
              </w:rPr>
              <w:t>Phase 1 → Phase 3</w:t>
            </w:r>
          </w:p>
        </w:tc>
        <w:tc>
          <w:tcPr>
            <w:tcW w:type="dxa" w:w="7056"/>
            <w:vAlign w:val="center"/>
            <w:shd w:val="clear" w:color="auto" w:fill="E6F6F3"/>
          </w:tcPr>
          <w:p>
            <w:r/>
            <w:r>
              <w:rPr>
                <w:color w:val="1F2937"/>
                <w:sz w:val="19"/>
              </w:rPr>
              <w:t>Offline sync wraps the same triage/queue/consultation flows built in Phase 1.</w:t>
            </w:r>
          </w:p>
        </w:tc>
      </w:tr>
      <w:tr>
        <w:tc>
          <w:tcPr>
            <w:tcW w:type="dxa" w:w="2304"/>
            <w:vAlign w:val="center"/>
          </w:tcPr>
          <w:p>
            <w:r/>
            <w:r>
              <w:rPr>
                <w:color w:val="1F2937"/>
                <w:sz w:val="19"/>
              </w:rPr>
              <w:t>Phase 2 → Phase 4</w:t>
            </w:r>
          </w:p>
        </w:tc>
        <w:tc>
          <w:tcPr>
            <w:tcW w:type="dxa" w:w="7056"/>
            <w:vAlign w:val="center"/>
          </w:tcPr>
          <w:p>
            <w:r/>
            <w:r>
              <w:rPr>
                <w:color w:val="1F2937"/>
                <w:sz w:val="19"/>
              </w:rPr>
              <w:t>Facility dashboards aggregate referral and verification data introduced in Phase 2.</w:t>
            </w:r>
          </w:p>
        </w:tc>
      </w:tr>
      <w:tr>
        <w:tc>
          <w:tcPr>
            <w:tcW w:type="dxa" w:w="2304"/>
            <w:vAlign w:val="center"/>
            <w:shd w:val="clear" w:color="auto" w:fill="E6F6F3"/>
          </w:tcPr>
          <w:p>
            <w:r/>
            <w:r>
              <w:rPr>
                <w:color w:val="1F2937"/>
                <w:sz w:val="19"/>
              </w:rPr>
              <w:t>Phase 3 → Phase 5</w:t>
            </w:r>
          </w:p>
        </w:tc>
        <w:tc>
          <w:tcPr>
            <w:tcW w:type="dxa" w:w="7056"/>
            <w:vAlign w:val="center"/>
            <w:shd w:val="clear" w:color="auto" w:fill="E6F6F3"/>
          </w:tcPr>
          <w:p>
            <w:r/>
            <w:r>
              <w:rPr>
                <w:color w:val="1F2937"/>
                <w:sz w:val="19"/>
              </w:rPr>
              <w:t>SMS/IVR fallback channel built in Phase 3 is reused for follow-up (Phase 4) and emergency SOS (Phase 5).</w:t>
            </w:r>
          </w:p>
        </w:tc>
      </w:tr>
      <w:tr>
        <w:tc>
          <w:tcPr>
            <w:tcW w:type="dxa" w:w="2304"/>
            <w:vAlign w:val="center"/>
          </w:tcPr>
          <w:p>
            <w:r/>
            <w:r>
              <w:rPr>
                <w:color w:val="1F2937"/>
                <w:sz w:val="19"/>
              </w:rPr>
              <w:t>Phase 0 → All phases</w:t>
            </w:r>
          </w:p>
        </w:tc>
        <w:tc>
          <w:tcPr>
            <w:tcW w:type="dxa" w:w="7056"/>
            <w:vAlign w:val="center"/>
          </w:tcPr>
          <w:p>
            <w:r/>
            <w:r>
              <w:rPr>
                <w:color w:val="1F2937"/>
                <w:sz w:val="19"/>
              </w:rPr>
              <w:t>Facility registry and credential seed data from Phase 0 underpins every verification and referral-routing feature.</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Rural Health Connect — Confidential Draft  |  Page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B4F4A"/>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F766E"/>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D4E89"/>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2937"/>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