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120" w:hRule="atLeast"/>
        </w:trPr>
        <w:tc>
          <w:tcPr>
            <w:tcW w:type="dxa" w:w="9072"/>
            <w:shd w:val="clear" w:color="auto" w:fill="0F766E"/>
          </w:tcPr>
          <w:p>
            <w:r/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149A8C"/>
          <w:sz w:val="24"/>
          <w:spacing w:val="30"/>
        </w:rPr>
        <w:t>ENGINEERING STANDARDS REFERENCE</w:t>
      </w:r>
    </w:p>
    <w:p>
      <w:pPr>
        <w:jc w:val="center"/>
      </w:pPr>
      <w:r>
        <w:rPr>
          <w:rFonts w:ascii="Calibri" w:hAnsi="Calibri"/>
          <w:b/>
          <w:color w:val="0B4F4A"/>
          <w:sz w:val="68"/>
        </w:rPr>
        <w:t>Rural Health Connect</w:t>
      </w:r>
    </w:p>
    <w:p>
      <w:pPr>
        <w:jc w:val="center"/>
      </w:pPr>
      <w:r>
        <w:rPr>
          <w:rFonts w:ascii="Calibri" w:hAnsi="Calibri"/>
          <w:i w:val="0"/>
          <w:color w:val="6B7280"/>
          <w:sz w:val="28"/>
        </w:rPr>
        <w:t>AI-coding-tool rules (.cursorrules) — documented for the wider dev handoff</w:t>
      </w:r>
    </w:p>
    <w:p/>
    <w:p/>
    <w:p>
      <w:pPr>
        <w:jc w:val="center"/>
      </w:pPr>
      <w:r>
        <w:rPr>
          <w:rFonts w:ascii="Calibri" w:hAnsi="Calibri"/>
          <w:color w:val="6B7280"/>
          <w:sz w:val="21"/>
        </w:rPr>
        <w:t>Version 1.0  •  Mirrors the functional .cursorrules file at the project root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Companion to: PRD, Architecture Specification, Design Specification, Phased Roadmap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Author: Bilal  •  bilal@mail.fasttrackexp.com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Date: 24 August 2026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120" w:hRule="atLeast"/>
        </w:trPr>
        <w:tc>
          <w:tcPr>
            <w:tcW w:type="dxa" w:w="9072"/>
            <w:shd w:val="clear" w:color="auto" w:fill="0F766E"/>
          </w:tcPr>
          <w:p>
            <w:r/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6F3"/>
          </w:tcPr>
          <w:p>
            <w:pPr>
              <w:spacing w:after="40"/>
            </w:pPr>
            <w:r>
              <w:rPr>
                <w:b/>
                <w:color w:val="0B4F4A"/>
                <w:sz w:val="20"/>
              </w:rPr>
              <w:t xml:space="preserve">How to use this document  </w:t>
            </w:r>
          </w:p>
          <w:p>
            <w:r>
              <w:rPr>
                <w:color w:val="1F2937"/>
                <w:sz w:val="20"/>
              </w:rPr>
              <w:t>The authoritative, machine-read version of these rules is the plain-text .cursorrules file at the project root — Cursor, and most AI coding tools that support project-level rule files, pick it up automatically. This document is the same content formatted for human review and for pasting into tools (like Bolt) that accept a project brief instead of a rules file.</w:t>
            </w:r>
          </w:p>
        </w:tc>
      </w:tr>
    </w:tbl>
    <w:p/>
    <w:p>
      <w:pPr>
        <w:pStyle w:val="Heading1"/>
        <w:pBdr>
          <w:bottom w:val="single" w:sz="14" w:space="4" w:color="0F766E"/>
        </w:pBdr>
      </w:pPr>
      <w:r>
        <w:t>0. Build Sequencing — Frontend First</w:t>
      </w:r>
    </w:p>
    <w:p>
      <w:r>
        <w:rPr>
          <w:b w:val="0"/>
          <w:i w:val="0"/>
          <w:color w:val="1F2937"/>
          <w:sz w:val="21"/>
        </w:rPr>
        <w:t>We are building the frontend first, against a mocked API layer, before any real backend exists.</w:t>
      </w:r>
    </w:p>
    <w:p>
      <w:pPr>
        <w:pStyle w:val="ListBullet"/>
      </w:pPr>
      <w:r>
        <w:t>Every API call goes through a single typed client with a contract matching the Architecture Specification's service boundaries; mock implementations sit behind the same interface the real backend will later fulfil, so swapping it in never requires touching UI/component code.</w:t>
      </w:r>
    </w:p>
    <w:p>
      <w:pPr>
        <w:pStyle w:val="ListBullet"/>
      </w:pPr>
      <w:r>
        <w:t>Mock data lives in a dedicated mocks module, shaped exactly like the real API responses — never hardcoded inline inside components.</w:t>
      </w:r>
    </w:p>
    <w:p>
      <w:pPr>
        <w:pStyle w:val="ListBullet"/>
      </w:pPr>
      <w:r>
        <w:t>Do not build backend services (NestJS/PostgreSQL/etc.) unless explicitly asked — assume that comes later.</w:t>
      </w:r>
    </w:p>
    <w:p>
      <w:pPr>
        <w:pStyle w:val="Heading1"/>
        <w:pBdr>
          <w:bottom w:val="single" w:sz="14" w:space="4" w:color="0F766E"/>
        </w:pBdr>
      </w:pPr>
      <w:r>
        <w:t>1. Technology Stack (do not deviate without being asked)</w:t>
      </w:r>
    </w:p>
    <w:p>
      <w:pPr>
        <w:pStyle w:val="ListBullet"/>
      </w:pPr>
      <w:r>
        <w:t>React 18 + TypeScript + Vite. Functional components + hooks only.</w:t>
      </w:r>
    </w:p>
    <w:p>
      <w:pPr>
        <w:pStyle w:val="ListBullet"/>
      </w:pPr>
      <w:r>
        <w:t>Tailwind CSS + shadcn/ui (Radix primitives) for all UI — no other component library.</w:t>
      </w:r>
    </w:p>
    <w:p>
      <w:pPr>
        <w:pStyle w:val="ListBullet"/>
      </w:pPr>
      <w:r>
        <w:t>TanStack Query for server-state; Dexie.js (IndexedDB) for the offline-first local cache; local React state/context only for UI state — no Redux.</w:t>
      </w:r>
    </w:p>
    <w:p>
      <w:pPr>
        <w:pStyle w:val="ListBullet"/>
      </w:pPr>
      <w:r>
        <w:t>react-i18next for all user-facing copy — no hardcoded English strings in components.</w:t>
      </w:r>
    </w:p>
    <w:p>
      <w:pPr>
        <w:pStyle w:val="ListBullet"/>
      </w:pPr>
      <w:r>
        <w:t>react-router for navigation.</w:t>
      </w:r>
    </w:p>
    <w:p>
      <w:pPr>
        <w:pStyle w:val="ListBullet"/>
      </w:pPr>
      <w:r>
        <w:t>react-hook-form + zod for every form.</w:t>
      </w:r>
    </w:p>
    <w:p>
      <w:pPr>
        <w:pStyle w:val="Heading1"/>
        <w:pBdr>
          <w:bottom w:val="single" w:sz="14" w:space="4" w:color="0F766E"/>
        </w:pBdr>
      </w:pPr>
      <w:r>
        <w:t>2. Two Apps, Two Identities — Never Blur Them</w:t>
      </w:r>
    </w:p>
    <w:p>
      <w:pPr>
        <w:pStyle w:val="ListBullet"/>
      </w:pPr>
      <w:r>
        <w:t>Patient/Guardian and Doctor/Health-Worker are separate flows with separate layouts, separate login screens, and separate route trees — never a shared login form with a role toggle.</w:t>
      </w:r>
    </w:p>
    <w:p>
      <w:pPr>
        <w:pStyle w:val="ListBullet"/>
      </w:pPr>
      <w:r>
        <w:t>Route guards enforce role scope; a doctor route must never be reachable from a patient session or vice versa. A verified doctor's session is additionally scoped to their facility + specialty.</w:t>
      </w:r>
    </w:p>
    <w:p>
      <w:pPr>
        <w:pStyle w:val="Heading1"/>
        <w:pBdr>
          <w:bottom w:val="single" w:sz="14" w:space="4" w:color="0F766E"/>
        </w:pBdr>
      </w:pPr>
      <w:r>
        <w:t>3. Design System Discipline</w:t>
      </w:r>
    </w:p>
    <w:p>
      <w:r>
        <w:rPr>
          <w:b w:val="0"/>
          <w:i w:val="0"/>
          <w:color w:val="1F2937"/>
          <w:sz w:val="21"/>
        </w:rPr>
        <w:t>Full specification lives in the Design Specification document. Summary rules for code:</w:t>
      </w:r>
    </w:p>
    <w:p>
      <w:pPr>
        <w:pStyle w:val="ListBullet"/>
      </w:pPr>
      <w:r>
        <w:t>Colour tokens are defined once in the Tailwind config — never inline hex values in components.</w:t>
      </w:r>
    </w:p>
    <w:p>
      <w:pPr>
        <w:pStyle w:val="ListBullet"/>
      </w:pPr>
      <w:r>
        <w:t>One primary action per screen, visually dominant; secondary actions are outlined, never competing.</w:t>
      </w:r>
    </w:p>
    <w:p>
      <w:pPr>
        <w:pStyle w:val="ListBullet"/>
      </w:pPr>
      <w:r>
        <w:t>Every icon-first action ships with a visible text label — never icon-only.</w:t>
      </w:r>
    </w:p>
    <w:p>
      <w:pPr>
        <w:pStyle w:val="ListBullet"/>
      </w:pPr>
      <w:r>
        <w:t>Minimum 48x48px touch targets, minimum 16px mobile body text, Noto Sans (or equivalent) for full Devanagari/regional-script coverage.</w:t>
      </w:r>
    </w:p>
    <w:p>
      <w:pPr>
        <w:pStyle w:val="ListBullet"/>
      </w:pPr>
      <w:r>
        <w:t>Status/urgency colour meaning is fixed project-wide and never redefined per screen.</w:t>
      </w:r>
    </w:p>
    <w:p>
      <w:pPr>
        <w:pStyle w:val="ListBullet"/>
      </w:pPr>
      <w:r>
        <w:t>Reusable primitives (Button, Card, StatusBadge, ActionCard, QueueCounter, TimelineItem, OfflineBanner) are built before screen-specific layouts.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2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Group</w:t>
            </w:r>
          </w:p>
        </w:tc>
        <w:tc>
          <w:tcPr>
            <w:tcW w:type="dxa" w:w="7488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Tokens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color w:val="1F2937"/>
                <w:sz w:val="19"/>
              </w:rPr>
              <w:t>Primary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color w:val="1F2937"/>
                <w:sz w:val="19"/>
              </w:rPr>
              <w:t>Teal Dark #0B4F4A / Teal #0F766E / Teal Mid #149A8C / Mint #E6F6F3</w:t>
            </w:r>
          </w:p>
        </w:tc>
      </w:tr>
      <w:tr>
        <w:tc>
          <w:tcPr>
            <w:tcW w:type="dxa" w:w="1872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Secondary</w:t>
            </w:r>
          </w:p>
        </w:tc>
        <w:tc>
          <w:tcPr>
            <w:tcW w:type="dxa" w:w="7488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Blue #1D4E89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color w:val="1F2937"/>
                <w:sz w:val="19"/>
              </w:rPr>
              <w:t>Semantic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color w:val="1F2937"/>
                <w:sz w:val="19"/>
              </w:rPr>
              <w:t>Success #1E8E5A · Pending #E08E1D · Emergency/Critical #D94F4F</w:t>
            </w:r>
          </w:p>
        </w:tc>
      </w:tr>
      <w:tr>
        <w:tc>
          <w:tcPr>
            <w:tcW w:type="dxa" w:w="1872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Neutral</w:t>
            </w:r>
          </w:p>
        </w:tc>
        <w:tc>
          <w:tcPr>
            <w:tcW w:type="dxa" w:w="7488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Ink #1F2937 · Grey #6B7280</w:t>
            </w:r>
          </w:p>
        </w:tc>
      </w:tr>
    </w:tbl>
    <w:p/>
    <w:p>
      <w:pPr>
        <w:pStyle w:val="Heading1"/>
        <w:pBdr>
          <w:bottom w:val="single" w:sz="14" w:space="4" w:color="0F766E"/>
        </w:pBdr>
      </w:pPr>
      <w:r>
        <w:t>4. Accessibility &amp; Low-Literacy Requirements (Non-negotiable)</w:t>
      </w:r>
    </w:p>
    <w:p>
      <w:pPr>
        <w:pStyle w:val="ListBullet"/>
      </w:pPr>
      <w:r>
        <w:t>WCAG AA contrast minimum on every colour pairing introduced.</w:t>
      </w:r>
    </w:p>
    <w:p>
      <w:pPr>
        <w:pStyle w:val="ListBullet"/>
      </w:pPr>
      <w:r>
        <w:t>Every questionnaire/search input gets a voice-input affordance slot, even before it's wired up.</w:t>
      </w:r>
    </w:p>
    <w:p>
      <w:pPr>
        <w:pStyle w:val="ListBullet"/>
      </w:pPr>
      <w:r>
        <w:t>Never ship a screen that is text-only with no icon, or icon-only with no label.</w:t>
      </w:r>
    </w:p>
    <w:p>
      <w:pPr>
        <w:pStyle w:val="ListBullet"/>
      </w:pPr>
      <w:r>
        <w:t>All user-facing copy is simple, short-sentence language, enforced via the translation catalogue.</w:t>
      </w:r>
    </w:p>
    <w:p>
      <w:pPr>
        <w:pStyle w:val="Heading1"/>
        <w:pBdr>
          <w:bottom w:val="single" w:sz="14" w:space="4" w:color="0F766E"/>
        </w:pBdr>
      </w:pPr>
      <w:r>
        <w:t>5. Structured Data, Never Free Text</w:t>
      </w:r>
    </w:p>
    <w:p>
      <w:r>
        <w:rPr>
          <w:b w:val="0"/>
          <w:i w:val="0"/>
          <w:color w:val="1F2937"/>
          <w:sz w:val="21"/>
        </w:rPr>
        <w:t>This is the core fix over eSanjeevani's mis-routed-referral problem — do not regress it with a shortcut.</w:t>
      </w:r>
    </w:p>
    <w:p>
      <w:pPr>
        <w:pStyle w:val="ListBullet"/>
      </w:pPr>
      <w:r>
        <w:t>Diagnosis, referral specialty, facility affiliation, and doctor credentials are never free-text inputs — always dropdown/typeahead against a fixed or registry-backed dataset.</w:t>
      </w:r>
    </w:p>
    <w:p>
      <w:pPr>
        <w:pStyle w:val="ListBullet"/>
      </w:pPr>
      <w:r>
        <w:t>Facility affiliation during doctor registration is a searchable select against a facility dataset, never a typed string.</w:t>
      </w:r>
    </w:p>
    <w:p>
      <w:pPr>
        <w:pStyle w:val="Heading1"/>
        <w:pBdr>
          <w:bottom w:val="single" w:sz="14" w:space="4" w:color="0F766E"/>
        </w:pBdr>
      </w:pPr>
      <w:r>
        <w:t>6. Offline-First Patterns</w:t>
      </w:r>
    </w:p>
    <w:p>
      <w:pPr>
        <w:pStyle w:val="ListBullet"/>
      </w:pPr>
      <w:r>
        <w:t>Any screen flagged offline-capable in the PRD reads/writes through the local cache first, with sync as a background concern — never blocking the UI on a network round-trip.</w:t>
      </w:r>
    </w:p>
    <w:p>
      <w:pPr>
        <w:pStyle w:val="ListBullet"/>
      </w:pPr>
      <w:r>
        <w:t>Offline state shows a non-blocking, neutral OfflineBanner — never a blocking error modal for a feature that is supposed to work offline.</w:t>
      </w:r>
    </w:p>
    <w:p>
      <w:pPr>
        <w:pStyle w:val="Heading1"/>
        <w:pBdr>
          <w:bottom w:val="single" w:sz="14" w:space="4" w:color="0F766E"/>
        </w:pBdr>
      </w:pPr>
      <w:r>
        <w:t>7. Code Conventions</w:t>
      </w:r>
    </w:p>
    <w:p>
      <w:pPr>
        <w:pStyle w:val="ListBullet"/>
      </w:pPr>
      <w:r>
        <w:t>PascalCase.tsx for components, camelCase.ts for hooks/utils; one component per file.</w:t>
      </w:r>
    </w:p>
    <w:p>
      <w:pPr>
        <w:pStyle w:val="ListBullet"/>
      </w:pPr>
      <w:r>
        <w:t>No comments explaining what code does — only genuinely non-obvious constraints get a comment.</w:t>
      </w:r>
    </w:p>
    <w:p>
      <w:pPr>
        <w:pStyle w:val="ListBullet"/>
      </w:pPr>
      <w:r>
        <w:t>No new dependency without a clear justification tied to a PRD/Architecture requirement.</w:t>
      </w:r>
    </w:p>
    <w:p>
      <w:pPr>
        <w:pStyle w:val="ListBullet"/>
      </w:pPr>
      <w:r>
        <w:t>Shared UI primitives stay free of screen-specific logic.</w:t>
      </w:r>
    </w:p>
    <w:p>
      <w:pPr>
        <w:pStyle w:val="Heading1"/>
        <w:pBdr>
          <w:bottom w:val="single" w:sz="14" w:space="4" w:color="0F766E"/>
        </w:pBdr>
      </w:pPr>
      <w:r>
        <w:t>8. What NOT to Do</w:t>
      </w:r>
    </w:p>
    <w:p>
      <w:pPr>
        <w:pStyle w:val="ListBullet"/>
      </w:pPr>
      <w:r>
        <w:t>No payment, insurance, or billing UI — explicitly out of scope.</w:t>
      </w:r>
    </w:p>
    <w:p>
      <w:pPr>
        <w:pStyle w:val="ListBullet"/>
      </w:pPr>
      <w:r>
        <w:t>No unified/shared patient+doctor login.</w:t>
      </w:r>
    </w:p>
    <w:p>
      <w:pPr>
        <w:pStyle w:val="ListBullet"/>
      </w:pPr>
      <w:r>
        <w:t>No replacing structured fields with free text to move faster.</w:t>
      </w:r>
    </w:p>
    <w:p>
      <w:pPr>
        <w:pStyle w:val="ListBullet"/>
      </w:pPr>
      <w:r>
        <w:t>No native iOS scaffolding in V1 — PWA/Android-first per the roadmap.</w:t>
      </w:r>
    </w:p>
    <w:p>
      <w:pPr>
        <w:pStyle w:val="ListBullet"/>
      </w:pPr>
      <w:r>
        <w:t>No new brand colours outside the token set in Section 3.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Rural Health Connect — Confidential Draft  |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4F4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D4E8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