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5E" w:rsidRPr="00D53A13" w:rsidRDefault="00DD1F82" w:rsidP="00851E99">
      <w:pPr>
        <w:pStyle w:val="Paragraphedeliste"/>
        <w:numPr>
          <w:ilvl w:val="0"/>
          <w:numId w:val="3"/>
        </w:numPr>
        <w:rPr>
          <w:b/>
        </w:rPr>
      </w:pPr>
      <w:r w:rsidRPr="00D53A13">
        <w:rPr>
          <w:b/>
        </w:rPr>
        <w:t>Création d’une série temporelle</w:t>
      </w:r>
    </w:p>
    <w:p w:rsidR="00F00D72" w:rsidRPr="00D53A13" w:rsidRDefault="00520AD1" w:rsidP="00520AD1">
      <w:pPr>
        <w:rPr>
          <w:b/>
        </w:rPr>
      </w:pPr>
      <w:r w:rsidRPr="00D53A13">
        <w:rPr>
          <w:b/>
        </w:rPr>
        <w:t>a)Transformation des données</w:t>
      </w:r>
    </w:p>
    <w:p w:rsidR="00F23E88" w:rsidRDefault="00F23E88" w:rsidP="00F23E88">
      <w:r>
        <w:t>D’abord, on doit trans</w:t>
      </w:r>
      <w:r w:rsidR="00290308">
        <w:t>former la colonne « time » qui est de type numérique, et dans laquelle les dates sont des nombres réels au format : date.</w:t>
      </w:r>
    </w:p>
    <w:p w:rsidR="002E7CC0" w:rsidRDefault="001E19F1" w:rsidP="00F23E88">
      <w:r>
        <w:t>D</w:t>
      </w:r>
      <w:r>
        <w:t>’abord, o</w:t>
      </w:r>
      <w:r w:rsidR="00E5233B">
        <w:t xml:space="preserve">n </w:t>
      </w:r>
      <w:r w:rsidR="00E5233B" w:rsidRPr="00E5233B">
        <w:t>extrait</w:t>
      </w:r>
      <w:r w:rsidR="00E5233B">
        <w:t xml:space="preserve"> l'année entière de la colonne « </w:t>
      </w:r>
      <w:r w:rsidR="00E5233B" w:rsidRPr="00E5233B">
        <w:t>time</w:t>
      </w:r>
      <w:r w:rsidR="00E5233B">
        <w:t> » dans la variable « </w:t>
      </w:r>
      <w:proofErr w:type="spellStart"/>
      <w:r w:rsidR="00E5233B">
        <w:t>year</w:t>
      </w:r>
      <w:proofErr w:type="spellEnd"/>
      <w:r w:rsidR="00E5233B">
        <w:t> </w:t>
      </w:r>
      <w:r w:rsidR="00DD1F82">
        <w:t>» et</w:t>
      </w:r>
      <w:r>
        <w:t xml:space="preserve"> </w:t>
      </w:r>
      <w:r w:rsidR="002E7CC0">
        <w:rPr>
          <w:rFonts w:ascii="Segoe UI" w:hAnsi="Segoe UI" w:cs="Segoe UI"/>
          <w:color w:val="0D0D0D"/>
          <w:shd w:val="clear" w:color="auto" w:fill="FFFFFF"/>
        </w:rPr>
        <w:t>la parti</w:t>
      </w:r>
      <w:r>
        <w:rPr>
          <w:rFonts w:ascii="Segoe UI" w:hAnsi="Segoe UI" w:cs="Segoe UI"/>
          <w:color w:val="0D0D0D"/>
          <w:shd w:val="clear" w:color="auto" w:fill="FFFFFF"/>
        </w:rPr>
        <w:t>e décimale de la colonne "time"</w:t>
      </w:r>
      <w:r w:rsidR="002E7CC0">
        <w:rPr>
          <w:rFonts w:ascii="Segoe UI" w:hAnsi="Segoe UI" w:cs="Segoe UI"/>
          <w:color w:val="0D0D0D"/>
          <w:shd w:val="clear" w:color="auto" w:fill="FFFFFF"/>
        </w:rPr>
        <w:t xml:space="preserve"> représentant les mois</w:t>
      </w:r>
      <w:r>
        <w:rPr>
          <w:rFonts w:ascii="Segoe UI" w:hAnsi="Segoe UI" w:cs="Segoe UI"/>
          <w:color w:val="0D0D0D"/>
          <w:shd w:val="clear" w:color="auto" w:fill="FFFFFF"/>
        </w:rPr>
        <w:t xml:space="preserve"> dans « </w:t>
      </w:r>
      <w:proofErr w:type="spellStart"/>
      <w:r w:rsidR="002E7CC0"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month_decimal</w:t>
      </w:r>
      <w:proofErr w:type="spellEnd"/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 xml:space="preserve"> ».Ensuite, on convertit cette partie décimale </w:t>
      </w:r>
      <w:r w:rsidRPr="001E19F1"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en mois en multipliant par 12 et en ajoutant 1, puis en arrondissant.</w:t>
      </w:r>
    </w:p>
    <w:p w:rsidR="002E7CC0" w:rsidRDefault="00DD1F82" w:rsidP="00F23E88">
      <w:r>
        <w:t xml:space="preserve">Enfin, on </w:t>
      </w:r>
      <w:r>
        <w:rPr>
          <w:rFonts w:ascii="Segoe UI" w:hAnsi="Segoe UI" w:cs="Segoe UI"/>
          <w:color w:val="0D0D0D"/>
          <w:shd w:val="clear" w:color="auto" w:fill="FFFFFF"/>
        </w:rPr>
        <w:t xml:space="preserve">transforme le tout en un objet date, puis on </w:t>
      </w:r>
      <w:r>
        <w:rPr>
          <w:rFonts w:ascii="Segoe UI" w:hAnsi="Segoe UI" w:cs="Segoe UI"/>
          <w:color w:val="0D0D0D"/>
          <w:shd w:val="clear" w:color="auto" w:fill="FFFFFF"/>
        </w:rPr>
        <w:t>reformate cette date en une chaîne de caractères au format "année-mois"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t xml:space="preserve"> </w:t>
      </w:r>
    </w:p>
    <w:p w:rsidR="00F00D72" w:rsidRPr="00D53A13" w:rsidRDefault="00520AD1" w:rsidP="00F23E88">
      <w:pPr>
        <w:rPr>
          <w:b/>
        </w:rPr>
      </w:pPr>
      <w:r w:rsidRPr="00D53A13">
        <w:rPr>
          <w:b/>
        </w:rPr>
        <w:t>b) Visualisation</w:t>
      </w:r>
    </w:p>
    <w:p w:rsidR="00520AD1" w:rsidRDefault="00520AD1" w:rsidP="00F23E88">
      <w:r w:rsidRPr="00D53A13">
        <w:t xml:space="preserve">On visualise les tendances cycliques </w:t>
      </w:r>
      <w:r w:rsidRPr="00D53A13">
        <w:rPr>
          <w:rFonts w:ascii="Segoe UI" w:hAnsi="Segoe UI" w:cs="Segoe UI"/>
          <w:sz w:val="26"/>
          <w:szCs w:val="26"/>
          <w:shd w:val="clear" w:color="auto" w:fill="FFFFFF"/>
        </w:rPr>
        <w:t>avec </w:t>
      </w:r>
      <w:proofErr w:type="spellStart"/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fldChar w:fldCharType="begin"/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instrText xml:space="preserve"> HYPERLINK "https://feasts.tidyverts.org/reference/gg_season.html" </w:instrText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fldChar w:fldCharType="separate"/>
      </w:r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feasts</w:t>
      </w:r>
      <w:proofErr w:type="spellEnd"/>
      <w:proofErr w:type="gramStart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::</w:t>
      </w:r>
      <w:proofErr w:type="spellStart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gg</w:t>
      </w:r>
      <w:proofErr w:type="gramEnd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_season</w:t>
      </w:r>
      <w:proofErr w:type="spellEnd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()</w:t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fldChar w:fldCharType="end"/>
      </w:r>
      <w:r w:rsidRPr="00D53A13">
        <w:rPr>
          <w:rFonts w:ascii="Segoe UI" w:hAnsi="Segoe UI" w:cs="Segoe UI"/>
          <w:sz w:val="26"/>
          <w:szCs w:val="26"/>
          <w:shd w:val="clear" w:color="auto" w:fill="FFFFFF"/>
        </w:rPr>
        <w:t> et </w:t>
      </w:r>
      <w:proofErr w:type="spellStart"/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fldChar w:fldCharType="begin"/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instrText xml:space="preserve"> HYPERLINK "https://feasts.tidyverts.org/reference/gg_subseries.html" </w:instrText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fldChar w:fldCharType="separate"/>
      </w:r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feasts</w:t>
      </w:r>
      <w:proofErr w:type="spellEnd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::</w:t>
      </w:r>
      <w:proofErr w:type="spellStart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gg_subseries</w:t>
      </w:r>
      <w:proofErr w:type="spellEnd"/>
      <w:r w:rsidRPr="00D53A13">
        <w:rPr>
          <w:rStyle w:val="Lienhypertexte"/>
          <w:rFonts w:ascii="var(--bs-font-monospace)" w:hAnsi="var(--bs-font-monospace)" w:cs="Courier New"/>
          <w:color w:val="auto"/>
          <w:sz w:val="21"/>
          <w:szCs w:val="21"/>
          <w:shd w:val="clear" w:color="auto" w:fill="F6F6F6"/>
        </w:rPr>
        <w:t>()</w:t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fldChar w:fldCharType="end"/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t xml:space="preserve">. On remarque </w:t>
      </w:r>
      <w:r w:rsidR="00D53A13"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t>une légère oscillation</w:t>
      </w:r>
      <w:r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t xml:space="preserve"> des valeurs de CO2 </w:t>
      </w:r>
      <w:r w:rsidR="00D53A13" w:rsidRPr="00D53A13">
        <w:rPr>
          <w:rStyle w:val="CodeHTML"/>
          <w:rFonts w:ascii="var(--bs-font-monospace)" w:eastAsiaTheme="minorHAnsi" w:hAnsi="var(--bs-font-monospace)"/>
          <w:sz w:val="21"/>
          <w:szCs w:val="21"/>
          <w:shd w:val="clear" w:color="auto" w:fill="F6F6F6"/>
        </w:rPr>
        <w:t>entre les mois, et une augmentation homogène au fil des années</w:t>
      </w:r>
      <w:r w:rsidR="00D53A13">
        <w:rPr>
          <w:rStyle w:val="CodeHTML"/>
          <w:rFonts w:ascii="var(--bs-font-monospace)" w:eastAsiaTheme="minorHAnsi" w:hAnsi="var(--bs-font-monospace)"/>
          <w:color w:val="9753B8"/>
          <w:sz w:val="21"/>
          <w:szCs w:val="21"/>
          <w:shd w:val="clear" w:color="auto" w:fill="F6F6F6"/>
        </w:rPr>
        <w:t xml:space="preserve">. </w:t>
      </w:r>
    </w:p>
    <w:p w:rsidR="00E5233B" w:rsidRPr="00D53A13" w:rsidRDefault="00DD1F82" w:rsidP="00DD1F82">
      <w:pPr>
        <w:pStyle w:val="Paragraphedeliste"/>
        <w:numPr>
          <w:ilvl w:val="0"/>
          <w:numId w:val="3"/>
        </w:numPr>
        <w:rPr>
          <w:b/>
        </w:rPr>
      </w:pPr>
      <w:r w:rsidRPr="00D53A13">
        <w:rPr>
          <w:b/>
        </w:rPr>
        <w:t xml:space="preserve">Séparation de la série </w:t>
      </w:r>
      <w:r w:rsidRPr="00D53A13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en</w:t>
      </w:r>
      <w:r w:rsidRPr="00D53A13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parties d'entraînement et en partie test</w:t>
      </w:r>
    </w:p>
    <w:p w:rsidR="00DD1F82" w:rsidRDefault="00F00D72" w:rsidP="00F00D72">
      <w:r>
        <w:rPr>
          <w:rFonts w:ascii="Segoe UI" w:hAnsi="Segoe UI" w:cs="Segoe UI"/>
          <w:color w:val="0D0D0D"/>
          <w:shd w:val="clear" w:color="auto" w:fill="FFFFFF"/>
        </w:rPr>
        <w:t>On</w:t>
      </w:r>
      <w:r>
        <w:rPr>
          <w:rFonts w:ascii="Segoe UI" w:hAnsi="Segoe UI" w:cs="Segoe UI"/>
          <w:color w:val="0D0D0D"/>
          <w:shd w:val="clear" w:color="auto" w:fill="FFFFFF"/>
        </w:rPr>
        <w:t xml:space="preserve"> calcule l'index de séparation entre les données d'entraînement et de tes</w:t>
      </w:r>
      <w:r>
        <w:rPr>
          <w:rFonts w:ascii="Segoe UI" w:hAnsi="Segoe UI" w:cs="Segoe UI"/>
          <w:color w:val="0D0D0D"/>
          <w:shd w:val="clear" w:color="auto" w:fill="FFFFFF"/>
        </w:rPr>
        <w:t>t, puis on</w:t>
      </w:r>
      <w:r>
        <w:rPr>
          <w:rFonts w:ascii="Segoe UI" w:hAnsi="Segoe UI" w:cs="Segoe UI"/>
          <w:color w:val="0D0D0D"/>
          <w:shd w:val="clear" w:color="auto" w:fill="FFFFFF"/>
        </w:rPr>
        <w:t xml:space="preserve"> extrait les premières lignes de l'ensemble de données jusqu'à l'index de séparation calculé, créant ainsi l'ensemble de données d'entraînement</w:t>
      </w:r>
      <w:r>
        <w:rPr>
          <w:rFonts w:ascii="Segoe UI" w:hAnsi="Segoe UI" w:cs="Segoe UI"/>
          <w:color w:val="0D0D0D"/>
          <w:shd w:val="clear" w:color="auto" w:fill="FFFFFF"/>
        </w:rPr>
        <w:t>, le reste étant les données de test.</w:t>
      </w:r>
    </w:p>
    <w:p w:rsidR="00DD1F82" w:rsidRPr="00D53A13" w:rsidRDefault="00374244" w:rsidP="00520AD1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Création des </w:t>
      </w:r>
      <w:r w:rsidR="00520AD1" w:rsidRPr="00D53A13">
        <w:rPr>
          <w:b/>
        </w:rPr>
        <w:t xml:space="preserve">modèles prévisionnels </w:t>
      </w:r>
      <w:r>
        <w:rPr>
          <w:b/>
        </w:rPr>
        <w:t>et analyse des résidus</w:t>
      </w:r>
    </w:p>
    <w:p w:rsidR="00D53A13" w:rsidRDefault="00D53A13" w:rsidP="00D53A13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Méthode SNAIVE</w:t>
      </w:r>
    </w:p>
    <w:p w:rsidR="00374244" w:rsidRDefault="0064373E" w:rsidP="0064373E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64373E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Puisque dans la méthode SNAIVE, </w:t>
      </w:r>
      <w:r w:rsidRPr="0064373E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la valeur prédite est celle provenant du cycle précédent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, les prédictions n’ont pas pris en compte la tendance croissante des </w:t>
      </w:r>
      <w:r w:rsidR="00610042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autres cycles à travers les années. Le même cycle est alors en train de se </w:t>
      </w:r>
      <w:r w:rsidR="0037424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répéter, et la </w:t>
      </w:r>
      <w:r w:rsidR="0037424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prévision a</w:t>
      </w:r>
      <w:r w:rsidR="0037424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ura</w:t>
      </w:r>
      <w:r w:rsidR="0037424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peu d’intérêt</w:t>
      </w:r>
      <w:r w:rsidR="0037424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.</w:t>
      </w:r>
    </w:p>
    <w:p w:rsidR="001F432E" w:rsidRDefault="001F432E" w:rsidP="0064373E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Les résultats des tests </w:t>
      </w:r>
      <w:r>
        <w:rPr>
          <w:rFonts w:ascii="Segoe UI" w:hAnsi="Segoe UI" w:cs="Segoe UI"/>
          <w:color w:val="0D0D0D"/>
          <w:shd w:val="clear" w:color="auto" w:fill="FFFFFF"/>
        </w:rPr>
        <w:t xml:space="preserve">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Ljung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-Box, et de </w:t>
      </w:r>
      <w:proofErr w:type="spellStart"/>
      <w:r w:rsidRPr="009568CD">
        <w:rPr>
          <w:rFonts w:ascii="Segoe UI" w:hAnsi="Segoe UI" w:cs="Segoe UI"/>
          <w:color w:val="0D0D0D"/>
          <w:shd w:val="clear" w:color="auto" w:fill="FFFFFF"/>
        </w:rPr>
        <w:t>shapiro.test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donnent une p-value de 0, qui est très petite, et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il est peu probable que les résidus forment un bruit blanc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.</w:t>
      </w:r>
    </w:p>
    <w:p w:rsidR="00520AD1" w:rsidRDefault="001F432E" w:rsidP="0037424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O</w:t>
      </w:r>
      <w:r w:rsidR="00610042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n remarque une très forte autocorrélation dans le graphique « </w:t>
      </w:r>
      <w:proofErr w:type="spellStart"/>
      <w:r w:rsidR="00610042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acf</w:t>
      </w:r>
      <w:proofErr w:type="spellEnd"/>
      <w:r w:rsidR="00610042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»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, d</w:t>
      </w:r>
      <w:r w:rsidR="00374244">
        <w:rPr>
          <w:rFonts w:ascii="Segoe UI" w:hAnsi="Segoe UI" w:cs="Segoe UI"/>
          <w:color w:val="0D0D0D"/>
          <w:shd w:val="clear" w:color="auto" w:fill="FFFFFF"/>
        </w:rPr>
        <w:t>e plus, l</w:t>
      </w:r>
      <w:r w:rsidR="0037424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’évaluation du modèle effectuée avec la fonction </w:t>
      </w:r>
      <w:hyperlink r:id="rId5" w:history="1">
        <w:proofErr w:type="spellStart"/>
        <w:r w:rsidR="00374244"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fabletools</w:t>
        </w:r>
        <w:proofErr w:type="spellEnd"/>
        <w:proofErr w:type="gramStart"/>
        <w:r w:rsidR="00374244"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::</w:t>
        </w:r>
        <w:proofErr w:type="spellStart"/>
        <w:r w:rsidR="00374244"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accuracy</w:t>
        </w:r>
        <w:proofErr w:type="spellEnd"/>
        <w:proofErr w:type="gramEnd"/>
        <w:r w:rsidR="00374244"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()</w:t>
        </w:r>
      </w:hyperlink>
      <w:r w:rsidR="00374244">
        <w:rPr>
          <w:rStyle w:val="CodeHTML"/>
          <w:rFonts w:ascii="var(--bs-font-monospace)" w:eastAsiaTheme="minorHAnsi" w:hAnsi="var(--bs-font-monospace)"/>
          <w:color w:val="9753B8"/>
          <w:sz w:val="21"/>
          <w:szCs w:val="21"/>
          <w:shd w:val="clear" w:color="auto" w:fill="F6F6F6"/>
        </w:rPr>
        <w:t xml:space="preserve"> donne aussi des erreurs très élevées. </w:t>
      </w:r>
      <w:r>
        <w:rPr>
          <w:rStyle w:val="CodeHTML"/>
          <w:rFonts w:ascii="var(--bs-font-monospace)" w:eastAsiaTheme="minorHAnsi" w:hAnsi="var(--bs-font-monospace)"/>
          <w:color w:val="9753B8"/>
          <w:sz w:val="21"/>
          <w:szCs w:val="21"/>
          <w:shd w:val="clear" w:color="auto" w:fill="F6F6F6"/>
        </w:rPr>
        <w:t xml:space="preserve"> </w:t>
      </w:r>
      <w:r w:rsidR="009568CD">
        <w:rPr>
          <w:rFonts w:ascii="Segoe UI" w:hAnsi="Segoe UI" w:cs="Segoe UI"/>
          <w:color w:val="0D0D0D"/>
          <w:shd w:val="clear" w:color="auto" w:fill="FFFFFF"/>
        </w:rPr>
        <w:t>L</w:t>
      </w:r>
      <w:r w:rsidR="009568CD">
        <w:rPr>
          <w:rFonts w:ascii="Segoe UI" w:hAnsi="Segoe UI" w:cs="Segoe UI"/>
          <w:color w:val="0D0D0D"/>
          <w:shd w:val="clear" w:color="auto" w:fill="FFFFFF"/>
        </w:rPr>
        <w:t xml:space="preserve">e modèle </w:t>
      </w:r>
      <w:r w:rsidR="00374244">
        <w:rPr>
          <w:rFonts w:ascii="Segoe UI" w:hAnsi="Segoe UI" w:cs="Segoe UI"/>
          <w:color w:val="0D0D0D"/>
          <w:shd w:val="clear" w:color="auto" w:fill="FFFFFF"/>
        </w:rPr>
        <w:t xml:space="preserve">prévisionnel par SNAIVE n’est alors </w:t>
      </w:r>
      <w:r w:rsidR="009568CD">
        <w:rPr>
          <w:rFonts w:ascii="Segoe UI" w:hAnsi="Segoe UI" w:cs="Segoe UI"/>
          <w:color w:val="0D0D0D"/>
          <w:shd w:val="clear" w:color="auto" w:fill="FFFFFF"/>
        </w:rPr>
        <w:t xml:space="preserve">pas </w:t>
      </w:r>
      <w:r w:rsidR="009568CD">
        <w:rPr>
          <w:rFonts w:ascii="Segoe UI" w:hAnsi="Segoe UI" w:cs="Segoe UI"/>
          <w:color w:val="0D0D0D"/>
          <w:shd w:val="clear" w:color="auto" w:fill="FFFFFF"/>
        </w:rPr>
        <w:t xml:space="preserve">alors </w:t>
      </w:r>
      <w:r w:rsidR="00374244">
        <w:rPr>
          <w:rFonts w:ascii="Segoe UI" w:hAnsi="Segoe UI" w:cs="Segoe UI"/>
          <w:color w:val="0D0D0D"/>
          <w:shd w:val="clear" w:color="auto" w:fill="FFFFFF"/>
        </w:rPr>
        <w:t>approprié.</w:t>
      </w:r>
    </w:p>
    <w:p w:rsidR="00374244" w:rsidRDefault="00374244" w:rsidP="00374244">
      <w:pPr>
        <w:pStyle w:val="Paragraphedeliste"/>
        <w:numPr>
          <w:ilvl w:val="0"/>
          <w:numId w:val="4"/>
        </w:numPr>
        <w:rPr>
          <w:b/>
        </w:rPr>
      </w:pPr>
      <w:r w:rsidRPr="001F432E">
        <w:rPr>
          <w:b/>
        </w:rPr>
        <w:t>Méthode SES avec tendance</w:t>
      </w:r>
    </w:p>
    <w:p w:rsidR="001F432E" w:rsidRPr="001F432E" w:rsidRDefault="001F432E" w:rsidP="001F432E">
      <w:pPr>
        <w:rPr>
          <w:b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On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peut laisser R optimiser notre choix avec le modèle ETS par défaut (</w:t>
      </w:r>
      <w:proofErr w:type="spellStart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>error</w:t>
      </w:r>
      <w:proofErr w:type="spellEnd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, tend and </w:t>
      </w:r>
      <w:proofErr w:type="spellStart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>seasonnal</w:t>
      </w:r>
      <w:proofErr w:type="spellEnd"/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). L’optimisation est lancée avec la fonction </w:t>
      </w:r>
      <w:hyperlink r:id="rId6" w:history="1">
        <w:r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fable</w:t>
        </w:r>
        <w:proofErr w:type="gramStart"/>
        <w:r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::ETS</w:t>
        </w:r>
        <w:proofErr w:type="gramEnd"/>
        <w:r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()</w:t>
        </w:r>
      </w:hyperlink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, sans utiliser les paramètres.</w:t>
      </w:r>
    </w:p>
    <w:p w:rsidR="007061BF" w:rsidRDefault="007061BF" w:rsidP="00851E99">
      <w:r w:rsidRPr="00851E99">
        <w:t xml:space="preserve">Le modèle ajusté est de type </w:t>
      </w:r>
      <w:r w:rsidR="00851E99" w:rsidRPr="00851E99">
        <w:t>ETS (</w:t>
      </w:r>
      <w:r w:rsidRPr="00851E99">
        <w:t>A</w:t>
      </w:r>
      <w:r w:rsidR="001F432E">
        <w:t>, A</w:t>
      </w:r>
      <w:r w:rsidR="00851E99" w:rsidRPr="00851E99">
        <w:t>,</w:t>
      </w:r>
      <w:r w:rsidR="00851E99">
        <w:t xml:space="preserve"> </w:t>
      </w:r>
      <w:r w:rsidR="001F432E">
        <w:t>A</w:t>
      </w:r>
      <w:r w:rsidRPr="00851E99">
        <w:t>), où :</w:t>
      </w:r>
      <w:r w:rsidR="001F432E">
        <w:t xml:space="preserve"> </w:t>
      </w:r>
      <w:r w:rsidRPr="00851E99">
        <w:t>"A" représente u</w:t>
      </w:r>
      <w:r w:rsidR="001F432E">
        <w:t xml:space="preserve">ne composante d'erreur additive pour chacune des tendances, saison, et erreur. </w:t>
      </w:r>
    </w:p>
    <w:p w:rsidR="00AB431D" w:rsidRPr="00851E99" w:rsidRDefault="00AB431D" w:rsidP="00851E99"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lastRenderedPageBreak/>
        <w:t xml:space="preserve">Dans un modèle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avec tendance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et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saisonnalité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additive, les d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onnées 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« </w:t>
      </w:r>
      <w:proofErr w:type="spellStart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>levels</w:t>
      </w:r>
      <w:proofErr w:type="spellEnd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> »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 sont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additionnées aux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les données 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« </w:t>
      </w:r>
      <w:proofErr w:type="spellStart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>season</w:t>
      </w:r>
      <w:proofErr w:type="spellEnd"/>
      <w:r>
        <w:rPr>
          <w:rStyle w:val="Accentuation"/>
          <w:rFonts w:ascii="Segoe UI" w:hAnsi="Segoe UI" w:cs="Segoe UI"/>
          <w:color w:val="212529"/>
          <w:sz w:val="26"/>
          <w:szCs w:val="26"/>
          <w:shd w:val="clear" w:color="auto" w:fill="FFFFFF"/>
        </w:rPr>
        <w:t> »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pour obtenir la prévision.</w:t>
      </w:r>
    </w:p>
    <w:p w:rsidR="003C6623" w:rsidRDefault="002A3758" w:rsidP="00851E99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La fonction de </w:t>
      </w:r>
      <w:hyperlink r:id="rId7" w:history="1">
        <w:r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fable</w:t>
        </w:r>
        <w:proofErr w:type="gramStart"/>
        <w:r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::ETS</w:t>
        </w:r>
        <w:proofErr w:type="gramEnd"/>
        <w:r>
          <w:rPr>
            <w:rStyle w:val="Lienhypertexte"/>
            <w:rFonts w:ascii="var(--bs-font-monospace)" w:hAnsi="var(--bs-font-monospace)" w:cs="Courier New"/>
            <w:sz w:val="21"/>
            <w:szCs w:val="21"/>
            <w:shd w:val="clear" w:color="auto" w:fill="F6F6F6"/>
          </w:rPr>
          <w:t>()</w:t>
        </w:r>
      </w:hyperlink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 permet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d’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estimer automatiquement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les paramètres de lissage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ainsi que les paramètres d’état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en sélectionnant le paramètre de tendance “A” pour la méthode Holt et Holt adoucit</w:t>
      </w:r>
      <w:r w:rsidR="001C319E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 : </w:t>
      </w:r>
    </w:p>
    <w:p w:rsidR="001C319E" w:rsidRDefault="001C319E" w:rsidP="00851E99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</w:t>
      </w:r>
      <w:r w:rsidR="002A3758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Le paramètre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>e lissage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A3758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β est de 0.99, ce qui signifie que la pente change rapidement, </w:t>
      </w:r>
    </w:p>
    <w:p w:rsidR="001C319E" w:rsidRDefault="001C319E" w:rsidP="00851E99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-Le paramètre d</w:t>
      </w:r>
      <w:r>
        <w:rPr>
          <w:rFonts w:ascii="Segoe UI" w:hAnsi="Segoe UI" w:cs="Segoe UI"/>
          <w:color w:val="0D0D0D"/>
          <w:shd w:val="clear" w:color="auto" w:fill="FFFFFF"/>
        </w:rPr>
        <w:t>e lissage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α est aussi de 0.99,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ce qui signifie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qu’il </w:t>
      </w:r>
      <w:r>
        <w:rPr>
          <w:rFonts w:ascii="Segoe UI" w:hAnsi="Segoe UI" w:cs="Segoe UI"/>
          <w:color w:val="0D0D0D"/>
          <w:shd w:val="clear" w:color="auto" w:fill="FFFFFF"/>
        </w:rPr>
        <w:t xml:space="preserve">donne </w:t>
      </w:r>
      <w:r>
        <w:rPr>
          <w:rFonts w:ascii="Segoe UI" w:hAnsi="Segoe UI" w:cs="Segoe UI"/>
          <w:color w:val="0D0D0D"/>
          <w:shd w:val="clear" w:color="auto" w:fill="FFFFFF"/>
        </w:rPr>
        <w:t>beaucoup de</w:t>
      </w:r>
      <w:r>
        <w:rPr>
          <w:rFonts w:ascii="Segoe UI" w:hAnsi="Segoe UI" w:cs="Segoe UI"/>
          <w:color w:val="0D0D0D"/>
          <w:shd w:val="clear" w:color="auto" w:fill="FFFFFF"/>
        </w:rPr>
        <w:t xml:space="preserve"> poids aux observations récentes</w:t>
      </w:r>
      <w:r>
        <w:rPr>
          <w:rFonts w:ascii="Segoe UI" w:hAnsi="Segoe UI" w:cs="Segoe UI"/>
          <w:color w:val="0D0D0D"/>
          <w:shd w:val="clear" w:color="auto" w:fill="FFFFFF"/>
        </w:rPr>
        <w:t>,</w:t>
      </w:r>
    </w:p>
    <w:p w:rsidR="002A3758" w:rsidRDefault="001C319E" w:rsidP="00851E99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-L</w:t>
      </w:r>
      <w:r w:rsidR="002A3758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’optimisation de </w:t>
      </w:r>
      <w:r w:rsidR="002A3758">
        <w:rPr>
          <w:rStyle w:val="math"/>
          <w:rFonts w:ascii="Segoe UI" w:hAnsi="Segoe UI" w:cs="Segoe UI"/>
          <w:color w:val="212529"/>
          <w:sz w:val="26"/>
          <w:szCs w:val="26"/>
          <w:shd w:val="clear" w:color="auto" w:fill="FFFFFF"/>
        </w:rPr>
        <w:t>Φ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donne</w:t>
      </w:r>
      <w:r w:rsidR="002A3758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une valeur de 0.8, une valeur suffisamment faible pour que l’adoucissement soit fort. </w:t>
      </w:r>
    </w:p>
    <w:p w:rsidR="009605E8" w:rsidRDefault="009605E8" w:rsidP="00851E99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bookmarkStart w:id="0" w:name="_GoBack"/>
      <w:bookmarkEnd w:id="0"/>
    </w:p>
    <w:sectPr w:rsidR="00960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71ABF"/>
    <w:multiLevelType w:val="hybridMultilevel"/>
    <w:tmpl w:val="BA54DD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B0A71"/>
    <w:multiLevelType w:val="hybridMultilevel"/>
    <w:tmpl w:val="DC2405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942E4"/>
    <w:multiLevelType w:val="hybridMultilevel"/>
    <w:tmpl w:val="12E64B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B5B6E"/>
    <w:multiLevelType w:val="multilevel"/>
    <w:tmpl w:val="CDB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F"/>
    <w:rsid w:val="00164427"/>
    <w:rsid w:val="001C319E"/>
    <w:rsid w:val="001E19F1"/>
    <w:rsid w:val="001F432E"/>
    <w:rsid w:val="00275C29"/>
    <w:rsid w:val="00290308"/>
    <w:rsid w:val="002A3758"/>
    <w:rsid w:val="002E7CC0"/>
    <w:rsid w:val="00374244"/>
    <w:rsid w:val="003C6623"/>
    <w:rsid w:val="00404DC9"/>
    <w:rsid w:val="00520AD1"/>
    <w:rsid w:val="00610042"/>
    <w:rsid w:val="0064373E"/>
    <w:rsid w:val="006E516B"/>
    <w:rsid w:val="007061BF"/>
    <w:rsid w:val="00851E99"/>
    <w:rsid w:val="00924B5E"/>
    <w:rsid w:val="009568CD"/>
    <w:rsid w:val="009605E8"/>
    <w:rsid w:val="00A544CD"/>
    <w:rsid w:val="00AB431D"/>
    <w:rsid w:val="00C24ECC"/>
    <w:rsid w:val="00CF3F39"/>
    <w:rsid w:val="00D53A13"/>
    <w:rsid w:val="00DD1F82"/>
    <w:rsid w:val="00E23F03"/>
    <w:rsid w:val="00E5233B"/>
    <w:rsid w:val="00F00D72"/>
    <w:rsid w:val="00F23E88"/>
    <w:rsid w:val="00F7344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A081E-3BF8-4B71-9DEC-5E49ADA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24B5E"/>
    <w:pPr>
      <w:ind w:left="720"/>
      <w:contextualSpacing/>
    </w:pPr>
  </w:style>
  <w:style w:type="character" w:customStyle="1" w:styleId="math">
    <w:name w:val="math"/>
    <w:basedOn w:val="Policepardfaut"/>
    <w:rsid w:val="00F7344C"/>
  </w:style>
  <w:style w:type="character" w:styleId="CodeHTML">
    <w:name w:val="HTML Code"/>
    <w:basedOn w:val="Policepardfaut"/>
    <w:uiPriority w:val="99"/>
    <w:semiHidden/>
    <w:unhideWhenUsed/>
    <w:rsid w:val="00F7344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7344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F43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ble.tidyverts.org/reference/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ble.tidyverts.org/reference/ETS.html" TargetMode="External"/><Relationship Id="rId5" Type="http://schemas.openxmlformats.org/officeDocument/2006/relationships/hyperlink" Target="https://generics.r-lib.org/reference/accurac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8277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2024-04-14T01:07:00Z</dcterms:created>
  <dcterms:modified xsi:type="dcterms:W3CDTF">2024-04-19T19:17:00Z</dcterms:modified>
</cp:coreProperties>
</file>