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val="0"/>
          <w:i w:val="0"/>
          <w:sz w:val="40"/>
        </w:rPr>
        <w:t>LexiFlow: A Web Platform for Translating and Transcribing Native Mandarin Content</w:t>
      </w:r>
    </w:p>
    <w:p>
      <w:pPr>
        <w:spacing w:before="200" w:after="0"/>
        <w:jc w:val="center"/>
      </w:pPr>
      <w:r>
        <w:rPr>
          <w:rFonts w:ascii="Times New Roman" w:hAnsi="Times New Roman" w:eastAsia="Times New Roman"/>
          <w:b w:val="0"/>
          <w:i w:val="0"/>
          <w:sz w:val="22"/>
        </w:rPr>
        <w:t>Adam Ismail Hassan Amer Abouraya, Shahliza Abd Halim</w:t>
      </w:r>
    </w:p>
    <w:p>
      <w:pPr>
        <w:spacing w:after="0"/>
        <w:jc w:val="center"/>
      </w:pPr>
      <w:r>
        <w:rPr>
          <w:rFonts w:ascii="Times New Roman" w:hAnsi="Times New Roman" w:eastAsia="Times New Roman"/>
          <w:b w:val="0"/>
          <w:i/>
          <w:sz w:val="20"/>
        </w:rPr>
        <w:t>Faculty of Computing</w:t>
      </w:r>
    </w:p>
    <w:p>
      <w:pPr>
        <w:spacing w:after="0"/>
        <w:jc w:val="center"/>
      </w:pPr>
      <w:r>
        <w:rPr>
          <w:rFonts w:ascii="Times New Roman" w:hAnsi="Times New Roman" w:eastAsia="Times New Roman"/>
          <w:b w:val="0"/>
          <w:i/>
          <w:sz w:val="20"/>
        </w:rPr>
        <w:t>Universiti Teknologi Malaysia</w:t>
      </w:r>
    </w:p>
    <w:p>
      <w:pPr>
        <w:spacing w:after="0"/>
        <w:jc w:val="center"/>
      </w:pPr>
      <w:r>
        <w:rPr>
          <w:rFonts w:ascii="Times New Roman" w:hAnsi="Times New Roman" w:eastAsia="Times New Roman"/>
          <w:b w:val="0"/>
          <w:i/>
          <w:sz w:val="20"/>
        </w:rPr>
        <w:t>81310 Johor Bahru, Johor, Malaysia</w:t>
      </w:r>
    </w:p>
    <w:p>
      <w:pPr>
        <w:spacing w:after="0"/>
        <w:jc w:val="center"/>
      </w:pPr>
      <w:r>
        <w:rPr>
          <w:rFonts w:ascii="Times New Roman" w:hAnsi="Times New Roman" w:eastAsia="Times New Roman"/>
          <w:b w:val="0"/>
          <w:i/>
          <w:sz w:val="20"/>
        </w:rPr>
        <w:t>adam@graduate.utm.my, shahliza@utm.my</w:t>
      </w:r>
    </w:p>
    <w:p>
      <w:pPr>
        <w:spacing w:after="120"/>
      </w:pPr>
    </w:p>
    <w:p>
      <w:pPr>
        <w:spacing w:after="120"/>
      </w:pPr>
      <w:r>
        <w:rPr>
          <w:rFonts w:ascii="Times New Roman" w:hAnsi="Times New Roman" w:eastAsia="Times New Roman"/>
          <w:b/>
          <w:i/>
          <w:sz w:val="18"/>
        </w:rPr>
        <w:t>Abstract—</w:t>
      </w:r>
      <w:r>
        <w:rPr>
          <w:rFonts w:ascii="Times New Roman" w:hAnsi="Times New Roman" w:eastAsia="Times New Roman"/>
          <w:b w:val="0"/>
          <w:i w:val="0"/>
          <w:sz w:val="18"/>
        </w:rPr>
        <w:t>Authentic Mandarin audio and video are valuable language-learning material, but turning them into usable study resources is labour-intensive: educators must manually transcribe, translate, and annotate content with pinyin before it is usable by learners, and existing tools such as LanguageReactor depend on creator-supplied subtitles that are rarely available for Mandarin content. This paper presents LexiFlow, a web-based platform that automates this pipeline using voice activity detection, automatic speech recognition, neural machine translation, and pinyin generation to produce synchronised, searchable bilingual subtitles from an arbitrary video URL or uploaded file. Beyond subtitle generation, LexiFlow integrates a Free Spaced Repetition Scheduler (FSRS) flashcard system, an automatically generated and semantically graded quiz engine, and a large-language-model-assisted crowd-correction mechanism that lets viewer-reported transcription or translation errors be corrected automatically without overwriting the original AI-generated record. The system is implemented as a dual-backend, polyglot-persistence architecture and deployed across four independent hosting environments. This paper describes the system's architecture, the specific models and libraries used at each pipeline stage, and the rationale behind the key implementation decisions.</w:t>
      </w:r>
    </w:p>
    <w:p>
      <w:pPr>
        <w:spacing w:after="200"/>
      </w:pPr>
      <w:r>
        <w:rPr>
          <w:rFonts w:ascii="Times New Roman" w:hAnsi="Times New Roman" w:eastAsia="Times New Roman"/>
          <w:b/>
          <w:i/>
          <w:sz w:val="18"/>
        </w:rPr>
        <w:t>Keywords—</w:t>
      </w:r>
      <w:r>
        <w:rPr>
          <w:rFonts w:ascii="Times New Roman" w:hAnsi="Times New Roman" w:eastAsia="Times New Roman"/>
          <w:b w:val="0"/>
          <w:i/>
          <w:sz w:val="18"/>
        </w:rPr>
        <w:t>Mandarin language learning; automatic speech recognition; neural machine translation; spaced repetition; large language models; web platform</w:t>
      </w:r>
    </w:p>
    <w:p>
      <w:pPr>
        <w:sectPr>
          <w:pgSz w:w="11906" w:h="16838"/>
          <w:pgMar w:top="1077" w:right="935" w:bottom="1474" w:left="935" w:header="720" w:footer="720" w:gutter="0"/>
          <w:cols w:space="288" w:num="1" w:equalWidth="1"/>
          <w:docGrid w:linePitch="360"/>
        </w:sectPr>
      </w:pPr>
    </w:p>
    <w:p>
      <w:pPr>
        <w:spacing w:after="120" w:before="200"/>
        <w:jc w:val="center"/>
      </w:pPr>
      <w:r>
        <w:rPr>
          <w:rFonts w:ascii="Times New Roman" w:hAnsi="Times New Roman" w:eastAsia="Times New Roman"/>
          <w:b/>
          <w:i w:val="0"/>
          <w:sz w:val="20"/>
        </w:rPr>
        <w:t>I. INTRODUCTION</w:t>
      </w:r>
    </w:p>
    <w:p>
      <w:pPr>
        <w:spacing w:after="120" w:before="0"/>
        <w:ind w:firstLine="227"/>
        <w:jc w:val="both"/>
      </w:pPr>
      <w:r>
        <w:rPr>
          <w:rFonts w:ascii="Times New Roman" w:hAnsi="Times New Roman" w:eastAsia="Times New Roman"/>
          <w:b w:val="0"/>
          <w:i w:val="0"/>
          <w:sz w:val="18"/>
        </w:rPr>
        <w:t>With over a billion speakers, Mandarin is one of the most strategically valuable languages for learners to acquire, yet its tonal pronunciation and logographic writing system make it one of the hardest to self-study from authentic, real-world material [1]. Language acquisition research shows that learners progress fastest through meaningful exposure to comprehensible authentic content rather than artificially simplified textbook material [1], and that combining spoken audio with synchronised text strengthens comprehension and retention [2]. In practice, however, preparing authentic Mandarin video for classroom or self-study use is slow: lecturers at Universiti Teknologi Malaysia (UTM) reported that manually transcribing, translating, and annotating only a few minutes of native Mandarin audio with pinyin can take eight to ten hours.</w:t>
      </w:r>
    </w:p>
    <w:p>
      <w:pPr>
        <w:spacing w:after="120" w:before="0"/>
        <w:ind w:firstLine="227"/>
        <w:jc w:val="both"/>
      </w:pPr>
      <w:r>
        <w:rPr>
          <w:rFonts w:ascii="Times New Roman" w:hAnsi="Times New Roman" w:eastAsia="Times New Roman"/>
          <w:b w:val="0"/>
          <w:i w:val="0"/>
          <w:sz w:val="18"/>
        </w:rPr>
        <w:t>Existing subtitle-based learning tools do not solve this problem for Mandarin specifically. Tools such as LanguageReactor overlay translations on existing platform subtitles, but rely entirely on the availability of creator-supplied captions, which are comparatively rare for Mandarin content and never include pinyin. General-purpose transcription services, in turn, do not produce the timestamp-aligned, pinyin-annotated format that Mandarin learners specifically need. LexiFlow addresses this gap with a platform that ingests an arbitrary video URL or uploaded file and automatically produces synchronised, searchable, bilingual subtitles with pinyin, alongside a full suite of vocabulary-review tools built around that processed content.</w:t>
      </w:r>
    </w:p>
    <w:p>
      <w:pPr>
        <w:spacing w:after="120" w:before="200"/>
        <w:jc w:val="center"/>
      </w:pPr>
      <w:r>
        <w:rPr>
          <w:rFonts w:ascii="Times New Roman" w:hAnsi="Times New Roman" w:eastAsia="Times New Roman"/>
          <w:b/>
          <w:i w:val="0"/>
          <w:sz w:val="20"/>
        </w:rPr>
        <w:t>II. RELATED WORK</w:t>
      </w:r>
    </w:p>
    <w:p>
      <w:pPr>
        <w:spacing w:after="120" w:before="0"/>
        <w:ind w:firstLine="227"/>
        <w:jc w:val="both"/>
      </w:pPr>
      <w:r>
        <w:rPr>
          <w:rFonts w:ascii="Times New Roman" w:hAnsi="Times New Roman" w:eastAsia="Times New Roman"/>
          <w:b w:val="0"/>
          <w:i w:val="0"/>
          <w:sz w:val="18"/>
        </w:rPr>
        <w:t>Krashen's Input Hypothesis [1] and Mayer's Cognitive Theory of Multimedia Learning [2] together motivate LexiFlow's design: learners acquire language most effectively from comprehensible, meaningfully contextualised input, and dual-channel (audio plus synchronised text) presentation reduces cognitive load compared to audio alone. Commercial platforms such as FluentU and Yabla curate pre-annotated Mandarin video libraries, but depend on in-house annotation teams and therefore cannot scale to arbitrary, learner-chosen content; LanguageReactor instead supports arbitrary content but only where native-language subtitles already exist. LexiFlow's contribution is to remove the dependency on either pre-existing subtitles or manual annotation by fully automating transcription, translation, and pinyin generation for arbitrary source material.</w:t>
      </w:r>
    </w:p>
    <w:p>
      <w:pPr>
        <w:spacing w:after="120" w:before="200"/>
        <w:jc w:val="center"/>
      </w:pPr>
      <w:r>
        <w:rPr>
          <w:rFonts w:ascii="Times New Roman" w:hAnsi="Times New Roman" w:eastAsia="Times New Roman"/>
          <w:b/>
          <w:i w:val="0"/>
          <w:sz w:val="20"/>
        </w:rPr>
        <w:t>III. SYSTEM ARCHITECTURE</w:t>
      </w:r>
    </w:p>
    <w:p>
      <w:pPr>
        <w:spacing w:after="120" w:before="0"/>
        <w:ind w:firstLine="227"/>
        <w:jc w:val="both"/>
      </w:pPr>
      <w:r>
        <w:rPr>
          <w:rFonts w:ascii="Times New Roman" w:hAnsi="Times New Roman" w:eastAsia="Times New Roman"/>
          <w:b w:val="0"/>
          <w:i w:val="0"/>
          <w:sz w:val="18"/>
        </w:rPr>
        <w:t>LexiFlow follows a Pipe-and-Filter architectural style: each stage of media processing (voice activity detection, speech recognition, translation, pinyin generation) is an independently replaceable filter connected by data pipes, which allows individual models to be swapped without affecting the rest of the pipeline. The system is split into a React/TypeScript frontend, a Node.js (Express) backend responsible for user-facing business logic and authentication, and a Python FastAPI service responsible for the computationally heavy AI media-processing pipeline. Identity is delegated entirely to Auth0, an external Identity-as-a-Service provider, with just-in-time user provisioning into the relational database on first login. Persistence is polyglot: PostgreSQL (via the Prisma ORM) is the system of record for all user-owned learning data (vocabulary, flashcards, quizzes, AI segment corrections), while MongoDB Atlas stores processing-job state, raw subtitle documents, and crowd-sourced segment reports.</w:t>
      </w:r>
    </w:p>
    <w:p>
      <w:pPr>
        <w:spacing w:after="120" w:before="200"/>
        <w:jc w:val="center"/>
      </w:pPr>
      <w:r>
        <w:rPr>
          <w:rFonts w:ascii="Times New Roman" w:hAnsi="Times New Roman" w:eastAsia="Times New Roman"/>
          <w:b/>
          <w:i w:val="0"/>
          <w:sz w:val="20"/>
        </w:rPr>
        <w:t>IV. IMPLEMENTATION</w:t>
      </w:r>
    </w:p>
    <w:p>
      <w:pPr>
        <w:spacing w:before="120" w:after="60"/>
      </w:pPr>
      <w:r>
        <w:rPr>
          <w:rFonts w:ascii="Times New Roman" w:hAnsi="Times New Roman" w:eastAsia="Times New Roman"/>
          <w:b w:val="0"/>
          <w:i/>
          <w:sz w:val="18"/>
        </w:rPr>
        <w:t>A. Media Processing Pipeline</w:t>
      </w:r>
    </w:p>
    <w:p>
      <w:pPr>
        <w:spacing w:after="120" w:before="0"/>
        <w:ind w:firstLine="227"/>
        <w:jc w:val="both"/>
      </w:pPr>
      <w:r>
        <w:rPr>
          <w:rFonts w:ascii="Times New Roman" w:hAnsi="Times New Roman" w:eastAsia="Times New Roman"/>
          <w:b w:val="0"/>
          <w:i w:val="0"/>
          <w:sz w:val="18"/>
        </w:rPr>
        <w:t>Incoming media is retrieved with yt-dlp and normalised to 16 kHz mono PCM with FFmpeg. Speech regions are located with Silero VAD [3], a pre-trained voice activity detector, before being transcribed with faster-whisper, a CTranslate2-optimised re-implementation of OpenAI's Whisper automatic speech recognition model [4]. Pinyin is generated per character with PyPinyin, and an English translation is produced by a self-hosted LibreTranslate instance. LibreTranslate was selected over the originally-considered SeamlessM4T v2 multilingual translation model [5] because it does not require sustained GPU memory to run continuously, which better matches the project's hosting budget while still meeting the translation-quality requirements of Mandarin-to-English subtitle generation.</w:t>
      </w:r>
    </w:p>
    <w:p>
      <w:pPr>
        <w:spacing w:before="120" w:after="60"/>
      </w:pPr>
      <w:r>
        <w:rPr>
          <w:rFonts w:ascii="Times New Roman" w:hAnsi="Times New Roman" w:eastAsia="Times New Roman"/>
          <w:b w:val="0"/>
          <w:i/>
          <w:sz w:val="18"/>
        </w:rPr>
        <w:t>B. Spaced-Repetition Flashcards</w:t>
      </w:r>
    </w:p>
    <w:p>
      <w:pPr>
        <w:spacing w:after="120" w:before="0"/>
        <w:ind w:firstLine="227"/>
        <w:jc w:val="both"/>
      </w:pPr>
      <w:r>
        <w:rPr>
          <w:rFonts w:ascii="Times New Roman" w:hAnsi="Times New Roman" w:eastAsia="Times New Roman"/>
          <w:b w:val="0"/>
          <w:i w:val="0"/>
          <w:sz w:val="18"/>
        </w:rPr>
        <w:t>Vocabulary review uses a direct implementation of the open-source FSRS (Free Spaced Repetition Scheduler) algorithm, which models each vocabulary item's retrievability, stability, and difficulty and has been shown to outperform legacy scheduling algorithms such as SM-2. Each of the four recall-quality ratings a learner submits (Again, Hard, Good, Easy) updates these memory-state variables and recomputes the next scheduled review timestamp.</w:t>
      </w:r>
    </w:p>
    <w:p>
      <w:pPr>
        <w:spacing w:before="120" w:after="60"/>
      </w:pPr>
      <w:r>
        <w:rPr>
          <w:rFonts w:ascii="Times New Roman" w:hAnsi="Times New Roman" w:eastAsia="Times New Roman"/>
          <w:b w:val="0"/>
          <w:i/>
          <w:sz w:val="18"/>
        </w:rPr>
        <w:t>C. Automated Quiz Generation and Semantic Grading</w:t>
      </w:r>
    </w:p>
    <w:p>
      <w:pPr>
        <w:spacing w:after="120" w:before="0"/>
        <w:ind w:firstLine="227"/>
        <w:jc w:val="both"/>
      </w:pPr>
      <w:r>
        <w:rPr>
          <w:rFonts w:ascii="Times New Roman" w:hAnsi="Times New Roman" w:eastAsia="Times New Roman"/>
          <w:b w:val="0"/>
          <w:i w:val="0"/>
          <w:sz w:val="18"/>
        </w:rPr>
        <w:t>Quizzes are generated on demand from a learner's saved vocabulary, supporting multiple-choice, fill-in-the-blank, true/false, and open-ended short-answer questions. Short-answer responses are graded semantically rather than by exact string match: both the learner's answer and the reference definition are embedded using the pre-trained multilingual paraphrase-multilingual-MiniLM-L12-v2 Sentence-Transformers model, and graded by cosine similarity against fixed thresholds (&gt;0.90 exact/synonym, &gt;0.80 acceptable, &gt;0.70 partial credit). The same embedding model rejects multiple-choice distractors that are too semantically close to the correct answer, preventing accidentally-valid distractors.</w:t>
      </w:r>
    </w:p>
    <w:p>
      <w:pPr>
        <w:spacing w:before="120" w:after="60"/>
      </w:pPr>
      <w:r>
        <w:rPr>
          <w:rFonts w:ascii="Times New Roman" w:hAnsi="Times New Roman" w:eastAsia="Times New Roman"/>
          <w:b w:val="0"/>
          <w:i/>
          <w:sz w:val="18"/>
        </w:rPr>
        <w:t>D. AI-Assisted Crowd Correction</w:t>
      </w:r>
    </w:p>
    <w:p>
      <w:pPr>
        <w:spacing w:after="120" w:before="0"/>
        <w:ind w:firstLine="227"/>
        <w:jc w:val="both"/>
      </w:pPr>
      <w:r>
        <w:rPr>
          <w:rFonts w:ascii="Times New Roman" w:hAnsi="Times New Roman" w:eastAsia="Times New Roman"/>
          <w:b w:val="0"/>
          <w:i w:val="0"/>
          <w:sz w:val="18"/>
        </w:rPr>
        <w:t>Viewers can flag a specific subtitle segment as containing a translation, pinyin, or transcription error. Once a segment accumulates at least three reports from at least 25% of its viewers, LexiFlow automatically resolves the report by sending the flagged segment, three segments of surrounding context, and an error-specific instruction to Meta's Llama 3.3 70B model, accessed through Groq's low-latency, OpenAI-compatible inference API in JSON-constrained output mode. Critically, the correction is never written back into the original AI-generated transcription stored in MongoDB; instead, it is stored as an addressable patch in a relational table and merged over the original segment only at read time, keeping the original record auditable and any correction trivially reversible. Reporters are asked to rate each correction, building a labelled dataset for future correction-quality evaluation.</w:t>
      </w:r>
    </w:p>
    <w:p>
      <w:pPr>
        <w:spacing w:before="120" w:after="60"/>
      </w:pPr>
      <w:r>
        <w:rPr>
          <w:rFonts w:ascii="Times New Roman" w:hAnsi="Times New Roman" w:eastAsia="Times New Roman"/>
          <w:b w:val="0"/>
          <w:i/>
          <w:sz w:val="18"/>
        </w:rPr>
        <w:t>E. Deployment</w:t>
      </w:r>
    </w:p>
    <w:p>
      <w:pPr>
        <w:spacing w:after="120" w:before="0"/>
        <w:ind w:firstLine="227"/>
        <w:jc w:val="both"/>
      </w:pPr>
      <w:r>
        <w:rPr>
          <w:rFonts w:ascii="Times New Roman" w:hAnsi="Times New Roman" w:eastAsia="Times New Roman"/>
          <w:b w:val="0"/>
          <w:i w:val="0"/>
          <w:sz w:val="18"/>
        </w:rPr>
        <w:t>The frontend is deployed on Vercel's edge CDN. The Node.js backend and PostgreSQL database run on a Tencent Cloud Lighthouse server, redeployed automatically by a GitHub Actions workflow that builds a Docker image, pushes it to the GitHub Container Registry, and restarts the container over SSH on every push to the main branch. The GPU-bound FastAPI media-processing service is hosted primarily on a local, on-premises GPU server to avoid the recurring cost of continuous cloud GPU rental, with a distributed rented-GPU provider (SaladPool) configured as a failover target.</w:t>
      </w:r>
    </w:p>
    <w:p>
      <w:pPr>
        <w:spacing w:after="120" w:before="200"/>
        <w:jc w:val="center"/>
      </w:pPr>
      <w:r>
        <w:rPr>
          <w:rFonts w:ascii="Times New Roman" w:hAnsi="Times New Roman" w:eastAsia="Times New Roman"/>
          <w:b/>
          <w:i w:val="0"/>
          <w:sz w:val="20"/>
        </w:rPr>
        <w:t>V. DISCUSSION</w:t>
      </w:r>
    </w:p>
    <w:p>
      <w:pPr>
        <w:spacing w:after="120" w:before="0"/>
        <w:ind w:firstLine="227"/>
        <w:jc w:val="both"/>
      </w:pPr>
      <w:r>
        <w:rPr>
          <w:rFonts w:ascii="Times New Roman" w:hAnsi="Times New Roman" w:eastAsia="Times New Roman"/>
          <w:b w:val="0"/>
          <w:i w:val="0"/>
          <w:sz w:val="18"/>
        </w:rPr>
        <w:t>At the time of writing, the core pipeline (transcription, translation, pinyin generation, flashcards, quizzes, and AI-assisted correction) is implemented and deployed to a live test environment. Formal user acceptance testing and structured test-case execution are scheduled for the next evaluation phase and are therefore outside the scope of this paper; preliminary informal feedback from a stakeholder demonstration session was used to guide the user-interface redesign described in Section IV.</w:t>
      </w:r>
    </w:p>
    <w:p>
      <w:pPr>
        <w:spacing w:after="120" w:before="200"/>
        <w:jc w:val="center"/>
      </w:pPr>
      <w:r>
        <w:rPr>
          <w:rFonts w:ascii="Times New Roman" w:hAnsi="Times New Roman" w:eastAsia="Times New Roman"/>
          <w:b/>
          <w:i w:val="0"/>
          <w:sz w:val="20"/>
        </w:rPr>
        <w:t>VI. CONCLUSION AND FUTURE WORK</w:t>
      </w:r>
    </w:p>
    <w:p>
      <w:pPr>
        <w:spacing w:after="120" w:before="0"/>
        <w:ind w:firstLine="227"/>
        <w:jc w:val="both"/>
      </w:pPr>
      <w:r>
        <w:rPr>
          <w:rFonts w:ascii="Times New Roman" w:hAnsi="Times New Roman" w:eastAsia="Times New Roman"/>
          <w:b w:val="0"/>
          <w:i w:val="0"/>
          <w:sz w:val="18"/>
        </w:rPr>
        <w:t>LexiFlow demonstrates that current open-source and commercially-hosted speech, translation, and language model components can be composed into a single pipeline that removes the manual transcription bottleneck facing Mandarin language educators, while also providing learners with spaced-repetition and quiz-based review tools built directly on top of that content. Future work includes formal user acceptance testing, migrating the remaining job-queue responsibilities from MongoDB onto PostgreSQL, and evaluating lighter, Mandarin-specific speech and translation models to reduce inference cost.</w:t>
      </w:r>
    </w:p>
    <w:p>
      <w:pPr>
        <w:spacing w:after="120" w:before="200"/>
        <w:jc w:val="center"/>
      </w:pPr>
      <w:r>
        <w:rPr>
          <w:rFonts w:ascii="Times New Roman" w:hAnsi="Times New Roman" w:eastAsia="Times New Roman"/>
          <w:b/>
          <w:i w:val="0"/>
          <w:sz w:val="20"/>
        </w:rPr>
        <w:t>. ACKNOWLEDGMENT</w:t>
      </w:r>
    </w:p>
    <w:p>
      <w:pPr>
        <w:spacing w:after="120" w:before="0"/>
        <w:jc w:val="both"/>
      </w:pPr>
      <w:r>
        <w:rPr>
          <w:rFonts w:ascii="Times New Roman" w:hAnsi="Times New Roman" w:eastAsia="Times New Roman"/>
          <w:b w:val="0"/>
          <w:i w:val="0"/>
          <w:sz w:val="18"/>
        </w:rPr>
        <w:t>The author thanks the UTM Language Academy lecturers who participated in the requirements-gathering interviews that shaped this project.</w:t>
      </w:r>
    </w:p>
    <w:p>
      <w:pPr>
        <w:spacing w:after="120" w:before="200"/>
        <w:jc w:val="center"/>
      </w:pPr>
      <w:r>
        <w:rPr>
          <w:rFonts w:ascii="Times New Roman" w:hAnsi="Times New Roman" w:eastAsia="Times New Roman"/>
          <w:b/>
          <w:i w:val="0"/>
          <w:sz w:val="20"/>
        </w:rPr>
        <w:t>. REFERENCES</w:t>
      </w:r>
    </w:p>
    <w:p>
      <w:pPr>
        <w:spacing w:after="60"/>
        <w:ind w:left="227" w:hanging="227"/>
      </w:pPr>
      <w:r>
        <w:rPr>
          <w:rFonts w:ascii="Times New Roman" w:hAnsi="Times New Roman" w:eastAsia="Times New Roman"/>
          <w:b w:val="0"/>
          <w:i w:val="0"/>
          <w:sz w:val="18"/>
        </w:rPr>
        <w:t xml:space="preserve">[1] </w:t>
      </w:r>
      <w:r>
        <w:rPr>
          <w:rFonts w:ascii="Times New Roman" w:hAnsi="Times New Roman" w:eastAsia="Times New Roman"/>
          <w:b w:val="0"/>
          <w:i w:val="0"/>
          <w:sz w:val="18"/>
        </w:rPr>
        <w:t>S. D. Krashen, The Input Hypothesis: Issues and Implications. London: Longman, 1985.</w:t>
      </w:r>
    </w:p>
    <w:p>
      <w:pPr>
        <w:spacing w:after="60"/>
        <w:ind w:left="227" w:hanging="227"/>
      </w:pPr>
      <w:r>
        <w:rPr>
          <w:rFonts w:ascii="Times New Roman" w:hAnsi="Times New Roman" w:eastAsia="Times New Roman"/>
          <w:b w:val="0"/>
          <w:i w:val="0"/>
          <w:sz w:val="18"/>
        </w:rPr>
        <w:t xml:space="preserve">[2] </w:t>
      </w:r>
      <w:r>
        <w:rPr>
          <w:rFonts w:ascii="Times New Roman" w:hAnsi="Times New Roman" w:eastAsia="Times New Roman"/>
          <w:b w:val="0"/>
          <w:i w:val="0"/>
          <w:sz w:val="18"/>
        </w:rPr>
        <w:t>R. E. Mayer, Multimedia Learning, 2nd ed. Cambridge: Cambridge University Press, 2009.</w:t>
      </w:r>
    </w:p>
    <w:p>
      <w:pPr>
        <w:spacing w:after="60"/>
        <w:ind w:left="227" w:hanging="227"/>
      </w:pPr>
      <w:r>
        <w:rPr>
          <w:rFonts w:ascii="Times New Roman" w:hAnsi="Times New Roman" w:eastAsia="Times New Roman"/>
          <w:b w:val="0"/>
          <w:i w:val="0"/>
          <w:sz w:val="18"/>
        </w:rPr>
        <w:t xml:space="preserve">[3] </w:t>
      </w:r>
      <w:r>
        <w:rPr>
          <w:rFonts w:ascii="Times New Roman" w:hAnsi="Times New Roman" w:eastAsia="Times New Roman"/>
          <w:b w:val="0"/>
          <w:i w:val="0"/>
          <w:sz w:val="18"/>
        </w:rPr>
        <w:t>Silero Team, "Silero VAD: Pre-trained Enterprise-Grade Voice Activity Detector, Number Detector and Language Classifier," 2024.</w:t>
      </w:r>
    </w:p>
    <w:p>
      <w:pPr>
        <w:spacing w:after="60"/>
        <w:ind w:left="227" w:hanging="227"/>
      </w:pPr>
      <w:r>
        <w:rPr>
          <w:rFonts w:ascii="Times New Roman" w:hAnsi="Times New Roman" w:eastAsia="Times New Roman"/>
          <w:b w:val="0"/>
          <w:i w:val="0"/>
          <w:sz w:val="18"/>
        </w:rPr>
        <w:t xml:space="preserve">[4] </w:t>
      </w:r>
      <w:r>
        <w:rPr>
          <w:rFonts w:ascii="Times New Roman" w:hAnsi="Times New Roman" w:eastAsia="Times New Roman"/>
          <w:b w:val="0"/>
          <w:i w:val="0"/>
          <w:sz w:val="18"/>
        </w:rPr>
        <w:t>A. Radford, J. W. Kim, T. Xu, G. Brockman, C. McLeavey, and I. Sutskever, "Robust speech recognition via large-scale weak supervision," in Proc. Int. Conf. Machine Learning, 2023.</w:t>
      </w:r>
    </w:p>
    <w:p>
      <w:pPr>
        <w:spacing w:after="60"/>
        <w:ind w:left="227" w:hanging="227"/>
      </w:pPr>
      <w:r>
        <w:rPr>
          <w:rFonts w:ascii="Times New Roman" w:hAnsi="Times New Roman" w:eastAsia="Times New Roman"/>
          <w:b w:val="0"/>
          <w:i w:val="0"/>
          <w:sz w:val="18"/>
        </w:rPr>
        <w:t xml:space="preserve">[5] </w:t>
      </w:r>
      <w:r>
        <w:rPr>
          <w:rFonts w:ascii="Times New Roman" w:hAnsi="Times New Roman" w:eastAsia="Times New Roman"/>
          <w:b w:val="0"/>
          <w:i w:val="0"/>
          <w:sz w:val="18"/>
        </w:rPr>
        <w:t>L. Barrault et al., "Seamless: Multilingual expressive and streaming speech translation," arXiv preprint arXiv:2312.05187, 2023.</w:t>
      </w:r>
    </w:p>
    <w:p>
      <w:pPr>
        <w:spacing w:after="60"/>
        <w:ind w:left="227" w:hanging="227"/>
      </w:pPr>
      <w:r>
        <w:rPr>
          <w:rFonts w:ascii="Times New Roman" w:hAnsi="Times New Roman" w:eastAsia="Times New Roman"/>
          <w:b w:val="0"/>
          <w:i w:val="0"/>
          <w:sz w:val="18"/>
        </w:rPr>
        <w:t xml:space="preserve">[6] </w:t>
      </w:r>
      <w:r>
        <w:rPr>
          <w:rFonts w:ascii="Times New Roman" w:hAnsi="Times New Roman" w:eastAsia="Times New Roman"/>
          <w:b w:val="0"/>
          <w:i w:val="0"/>
          <w:sz w:val="18"/>
        </w:rPr>
        <w:t>Chinese Testing International, "HSK Test Syllabus," 2025.</w:t>
      </w:r>
    </w:p>
    <w:sectPr w:rsidR="00FC693F" w:rsidRPr="0006063C" w:rsidSect="00034616">
      <w:type w:val="continuous"/>
      <w:pgSz w:w="11906" w:h="16838"/>
      <w:pgMar w:top="1077" w:right="935" w:bottom="1474" w:left="935"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