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60"/>
      </w:pPr>
      <w:r>
        <w:rPr>
          <w:rFonts w:ascii="Calibri" w:hAnsi="Calibri"/>
          <w:b/>
          <w:i w:val="0"/>
          <w:color w:val="006799"/>
          <w:sz w:val="26"/>
        </w:rPr>
        <w:t>ARA25</w:t>
      </w:r>
    </w:p>
    <w:p>
      <w:pPr>
        <w:spacing w:after="160"/>
      </w:pPr>
      <w:r>
        <w:rPr>
          <w:rFonts w:ascii="Calibri" w:hAnsi="Calibri"/>
          <w:b/>
          <w:i w:val="0"/>
          <w:color w:val="0F2D44"/>
          <w:sz w:val="54"/>
        </w:rPr>
        <w:t>Arabic Long-Context</w:t>
        <w:br/>
        <w:t>Multi-Document Abstractive Summarization</w:t>
      </w:r>
    </w:p>
    <w:p>
      <w:pPr>
        <w:spacing w:after="440"/>
        <w:pBdr>
          <w:bottom w:val="single" w:sz="12" w:space="6" w:color="006799"/>
        </w:pBdr>
      </w:pPr>
      <w:r>
        <w:rPr>
          <w:rFonts w:ascii="Calibri" w:hAnsi="Calibri"/>
          <w:b w:val="0"/>
          <w:i w:val="0"/>
          <w:color w:val="535C64"/>
          <w:sz w:val="28"/>
        </w:rPr>
        <w:t>Technical Report · Research Artifact Audit and Benchmark Documentation</w:t>
      </w:r>
    </w:p>
    <w:p>
      <w:pPr>
        <w:spacing w:before="560" w:after="80"/>
      </w:pPr>
      <w:r>
        <w:rPr>
          <w:rFonts w:ascii="Calibri" w:hAnsi="Calibri"/>
          <w:b/>
          <w:i w:val="0"/>
          <w:color w:val="0F2D44"/>
          <w:sz w:val="24"/>
        </w:rPr>
        <w:t>AMER A. AL-DULAME</w:t>
      </w:r>
    </w:p>
    <w:p>
      <w:pPr>
        <w:spacing w:after="60"/>
      </w:pPr>
      <w:r>
        <w:rPr>
          <w:rFonts w:ascii="Calibri" w:hAnsi="Calibri"/>
          <w:b w:val="0"/>
          <w:i w:val="0"/>
          <w:color w:val="535C64"/>
          <w:sz w:val="21"/>
        </w:rPr>
        <w:t>Arabic NLP · Long-Context Summarization · Reproducible Evaluation</w:t>
      </w:r>
    </w:p>
    <w:p>
      <w:pPr>
        <w:spacing w:after="60"/>
      </w:pPr>
      <w:r>
        <w:rPr>
          <w:rFonts w:ascii="Calibri" w:hAnsi="Calibri"/>
          <w:b w:val="0"/>
          <w:i w:val="0"/>
          <w:color w:val="535C64"/>
          <w:sz w:val="21"/>
        </w:rPr>
        <w:t>Version 0.1  |  15 July 2026</w:t>
      </w:r>
    </w:p>
    <w:p>
      <w:pPr>
        <w:spacing w:before="840"/>
      </w:pPr>
      <w:r>
        <w:rPr>
          <w:rFonts w:ascii="Calibri" w:hAnsi="Calibri"/>
          <w:b/>
          <w:i w:val="0"/>
          <w:color w:val="006799"/>
          <w:sz w:val="20"/>
        </w:rPr>
        <w:t>RESEARCH PREVIEW</w:t>
      </w:r>
      <w:r>
        <w:rPr>
          <w:rFonts w:ascii="Calibri" w:hAnsi="Calibri"/>
          <w:b w:val="0"/>
          <w:i w:val="0"/>
          <w:color w:val="535C64"/>
          <w:sz w:val="20"/>
        </w:rPr>
        <w:t xml:space="preserve">  Full news text excluded pending redistribution-rights review.</w:t>
      </w:r>
    </w:p>
    <w:p>
      <w:r>
        <w:br w:type="page"/>
      </w:r>
    </w:p>
    <w:p>
      <w:pPr>
        <w:pStyle w:val="Heading1"/>
      </w:pPr>
      <w:r>
        <w:t>Abstract</w:t>
      </w:r>
    </w:p>
    <w:p>
      <w:r>
        <w:rPr>
          <w:rFonts w:ascii="Calibri" w:hAnsi="Calibri"/>
          <w:b w:val="0"/>
          <w:i w:val="0"/>
          <w:color w:val="181B1E"/>
          <w:sz w:val="21"/>
        </w:rPr>
        <w:t>Ara25 is an event-oriented Arabic summarization research artifact designed for long-context, multi-document abstractive summarization. It combines multiple Arabic news articles related to the same topic or event, preserves document boundaries with numbered markers, and pairs each merged input with an abstractive Arabic summary. A separate 72-record evaluation artifact contains a second reference summary. The submitted project includes five Google Colab experiment notebooks covering mT5, LED, AraT5, AraBERT, and multilingual BERT, together with stored aggregate results.</w:t>
      </w:r>
    </w:p>
    <w:p>
      <w:r>
        <w:rPr>
          <w:rFonts w:ascii="Calibri" w:hAnsi="Calibri"/>
          <w:b w:val="0"/>
          <w:i w:val="0"/>
          <w:color w:val="181B1E"/>
          <w:sz w:val="21"/>
        </w:rPr>
        <w:t>An audit of the supplied processed training artifact found 713 valid records, 2,259 numbered article slots, a median of three articles per record, a maximum input length of 4,772 whitespace-delimited words, and 131 listed source websites. The audit also found duplicate identifiers, 50 exact duplicate merged inputs, and overlap between evaluation identifiers and the processed training pool. These findings do not invalidate the research direction, but they must be resolved or explicitly documented before claiming a leakage-safe public benchmark. This report therefore separates verified artifact facts, submitted experimental results, and open release requirements.</w:t>
      </w:r>
    </w:p>
    <w:p>
      <w:pPr>
        <w:pStyle w:val="Heading1"/>
      </w:pPr>
      <w:r>
        <w:t>1. Research objective</w:t>
      </w:r>
    </w:p>
    <w:p>
      <w:r>
        <w:rPr>
          <w:rFonts w:ascii="Calibri" w:hAnsi="Calibri"/>
          <w:b w:val="0"/>
          <w:i w:val="0"/>
          <w:color w:val="181B1E"/>
          <w:sz w:val="21"/>
        </w:rPr>
        <w:t>Ara25 addresses a difficult Arabic NLP setting: generating one coherent abstractive summary from several long, partially redundant, and potentially conflicting news reports. Compared with single-document summarization, the task requires a model to aggregate evidence across sources, reduce duplication, preserve entity and event consistency, and operate over a substantially larger input context.</w:t>
      </w:r>
    </w:p>
    <w:p>
      <w:r>
        <w:rPr>
          <w:rFonts w:ascii="Calibri" w:hAnsi="Calibri"/>
          <w:b w:val="0"/>
          <w:i w:val="0"/>
          <w:color w:val="181B1E"/>
          <w:sz w:val="21"/>
        </w:rPr>
        <w:t>The project has four practical goals:</w:t>
      </w:r>
    </w:p>
    <w:p>
      <w:pPr>
        <w:pStyle w:val="ReportNumber"/>
        <w:numPr>
          <w:ilvl w:val="0"/>
          <w:numId w:val="10"/>
        </w:numPr>
      </w:pPr>
      <w:r>
        <w:rPr>
          <w:rFonts w:ascii="Calibri" w:hAnsi="Calibri"/>
          <w:b w:val="0"/>
          <w:i w:val="0"/>
          <w:color w:val="181B1E"/>
          <w:sz w:val="21"/>
        </w:rPr>
        <w:t>construct event-level Arabic multi-document inputs from diverse news sources;</w:t>
      </w:r>
    </w:p>
    <w:p>
      <w:pPr>
        <w:pStyle w:val="ReportNumber"/>
        <w:numPr>
          <w:ilvl w:val="0"/>
          <w:numId w:val="10"/>
        </w:numPr>
      </w:pPr>
      <w:r>
        <w:rPr>
          <w:rFonts w:ascii="Calibri" w:hAnsi="Calibri"/>
          <w:b w:val="0"/>
          <w:i w:val="0"/>
          <w:color w:val="181B1E"/>
          <w:sz w:val="21"/>
        </w:rPr>
        <w:t>support long-context processing with a nominal 6,144-token input budget;</w:t>
      </w:r>
    </w:p>
    <w:p>
      <w:pPr>
        <w:pStyle w:val="ReportNumber"/>
        <w:numPr>
          <w:ilvl w:val="0"/>
          <w:numId w:val="10"/>
        </w:numPr>
      </w:pPr>
      <w:r>
        <w:rPr>
          <w:rFonts w:ascii="Calibri" w:hAnsi="Calibri"/>
          <w:b w:val="0"/>
          <w:i w:val="0"/>
          <w:color w:val="181B1E"/>
          <w:sz w:val="21"/>
        </w:rPr>
        <w:t>compare Arabic-specific, multilingual, long-context, and encoder-decoder model families;</w:t>
      </w:r>
    </w:p>
    <w:p>
      <w:pPr>
        <w:pStyle w:val="ReportNumber"/>
        <w:numPr>
          <w:ilvl w:val="0"/>
          <w:numId w:val="10"/>
        </w:numPr>
      </w:pPr>
      <w:r>
        <w:rPr>
          <w:rFonts w:ascii="Calibri" w:hAnsi="Calibri"/>
          <w:b w:val="0"/>
          <w:i w:val="0"/>
          <w:color w:val="181B1E"/>
          <w:sz w:val="21"/>
        </w:rPr>
        <w:t>evaluate generated summaries with lexical and semantic metrics and, for a subset, two human references.</w:t>
      </w:r>
    </w:p>
    <w:p>
      <w:pPr>
        <w:pStyle w:val="Heading1"/>
      </w:pPr>
      <w:r>
        <w:t>2. Positioning and novelty</w:t>
      </w:r>
    </w:p>
    <w:p>
      <w:r>
        <w:rPr>
          <w:rFonts w:ascii="Calibri" w:hAnsi="Calibri"/>
          <w:b w:val="0"/>
          <w:i w:val="0"/>
          <w:color w:val="181B1E"/>
          <w:sz w:val="21"/>
        </w:rPr>
        <w:t>The broad statement “the first Arabic summarization dataset” is not supportable. Earlier resources include EASC, Arabic data in the MultiLing multi-document summarization corpus, and LANS. Ara25's defensible research contribution is narrower: the combination of event-level multi-document Arabic news, long merged inputs, abstractive summaries, broad source diversity, boundary-aware article packing, five baseline families, and a dual-reference subset.</w:t>
      </w:r>
    </w:p>
    <w:p>
      <w:r>
        <w:rPr>
          <w:rFonts w:ascii="Calibri" w:hAnsi="Calibri"/>
          <w:b w:val="0"/>
          <w:i w:val="0"/>
          <w:color w:val="181B1E"/>
          <w:sz w:val="21"/>
        </w:rPr>
        <w:t>A publication may use wording such as:</w:t>
      </w:r>
    </w:p>
    <w:p>
      <w:pPr>
        <w:pStyle w:val="ReportQuote"/>
        <w:pBdr>
          <w:left w:val="single" w:sz="18" w:space="8" w:color="006799"/>
        </w:pBdr>
      </w:pPr>
      <w:r>
        <w:rPr>
          <w:rFonts w:ascii="Calibri" w:hAnsi="Calibri"/>
          <w:b w:val="0"/>
          <w:i w:val="0"/>
          <w:color w:val="0F2D44"/>
          <w:sz w:val="21"/>
        </w:rPr>
        <w:t>Ara25 is a new Arabic long-context multi-document abstractive summarization dataset and benchmark. To the best of our knowledge, it is among the first Arabic resources to combine event-level multi-source article clusters, long-context inputs, abstractive targets, and dual-reference evaluation in one benchmark.</w:t>
      </w:r>
    </w:p>
    <w:p>
      <w:r>
        <w:rPr>
          <w:rFonts w:ascii="Calibri" w:hAnsi="Calibri"/>
          <w:b w:val="0"/>
          <w:i w:val="0"/>
          <w:color w:val="181B1E"/>
          <w:sz w:val="21"/>
        </w:rPr>
        <w:t>The “to the best of our knowledge” clause should remain until a systematic literature review confirms the precise novelty boundary.</w:t>
      </w:r>
    </w:p>
    <w:p>
      <w:pPr>
        <w:pStyle w:val="Heading1"/>
      </w:pPr>
      <w:r>
        <w:t>3. Supplied artifacts</w:t>
      </w:r>
    </w:p>
    <w:p>
      <w:r>
        <w:rPr>
          <w:rFonts w:ascii="Calibri" w:hAnsi="Calibri"/>
          <w:b w:val="0"/>
          <w:i w:val="0"/>
          <w:color w:val="181B1E"/>
          <w:sz w:val="21"/>
        </w:rPr>
        <w:t>The project archive contained:</w:t>
      </w:r>
    </w:p>
    <w:p>
      <w:pPr>
        <w:pStyle w:val="ReportBullet"/>
      </w:pPr>
      <w:r>
        <w:rPr>
          <w:rFonts w:ascii="Calibri" w:hAnsi="Calibri"/>
          <w:b w:val="0"/>
          <w:i w:val="0"/>
          <w:color w:val="181B1E"/>
          <w:sz w:val="21"/>
        </w:rPr>
        <w:t>nine raw collection bundles in word-processing format;</w:t>
      </w:r>
    </w:p>
    <w:p>
      <w:pPr>
        <w:pStyle w:val="ReportBullet"/>
      </w:pPr>
      <w:r>
        <w:rPr>
          <w:rFonts w:ascii="Calibri" w:hAnsi="Calibri"/>
          <w:b w:val="0"/>
          <w:i w:val="0"/>
          <w:color w:val="181B1E"/>
          <w:sz w:val="21"/>
        </w:rPr>
        <w:t>nine intermediate text bundles labeled as JSON/JASON artifacts;</w:t>
      </w:r>
    </w:p>
    <w:p>
      <w:pPr>
        <w:pStyle w:val="ReportBullet"/>
      </w:pPr>
      <w:r>
        <w:rPr>
          <w:rFonts w:ascii="Calibri" w:hAnsi="Calibri"/>
          <w:b w:val="0"/>
          <w:i w:val="0"/>
          <w:color w:val="181B1E"/>
          <w:sz w:val="21"/>
        </w:rPr>
        <w:t>one processed 713-record JSONL file configured for 6,144-token experiments;</w:t>
      </w:r>
    </w:p>
    <w:p>
      <w:pPr>
        <w:pStyle w:val="ReportBullet"/>
      </w:pPr>
      <w:r>
        <w:rPr>
          <w:rFonts w:ascii="Calibri" w:hAnsi="Calibri"/>
          <w:b w:val="0"/>
          <w:i w:val="0"/>
          <w:color w:val="181B1E"/>
          <w:sz w:val="21"/>
        </w:rPr>
        <w:t>one 72-record dual-reference evaluation file;</w:t>
      </w:r>
    </w:p>
    <w:p>
      <w:pPr>
        <w:pStyle w:val="ReportBullet"/>
      </w:pPr>
      <w:r>
        <w:rPr>
          <w:rFonts w:ascii="Calibri" w:hAnsi="Calibri"/>
          <w:b w:val="0"/>
          <w:i w:val="0"/>
          <w:color w:val="181B1E"/>
          <w:sz w:val="21"/>
        </w:rPr>
        <w:t>five Google Colab notebooks;</w:t>
      </w:r>
    </w:p>
    <w:p>
      <w:pPr>
        <w:pStyle w:val="ReportBullet"/>
      </w:pPr>
      <w:r>
        <w:rPr>
          <w:rFonts w:ascii="Calibri" w:hAnsi="Calibri"/>
          <w:b w:val="0"/>
          <w:i w:val="0"/>
          <w:color w:val="181B1E"/>
          <w:sz w:val="21"/>
        </w:rPr>
        <w:t>one aggregate result document;</w:t>
      </w:r>
    </w:p>
    <w:p>
      <w:pPr>
        <w:pStyle w:val="ReportBullet"/>
      </w:pPr>
      <w:r>
        <w:rPr>
          <w:rFonts w:ascii="Calibri" w:hAnsi="Calibri"/>
          <w:b w:val="0"/>
          <w:i w:val="0"/>
          <w:color w:val="181B1E"/>
          <w:sz w:val="21"/>
        </w:rPr>
        <w:t>one list of 131 source websites.</w:t>
      </w:r>
    </w:p>
    <w:p>
      <w:r>
        <w:rPr>
          <w:rFonts w:ascii="Calibri" w:hAnsi="Calibri"/>
          <w:b w:val="0"/>
          <w:i w:val="0"/>
          <w:color w:val="181B1E"/>
          <w:sz w:val="21"/>
        </w:rPr>
        <w:t>The repository preparation retains sanitized notebooks, aggregate metrics, a synthetic schema example, audit utilities, and documentation. Full news text is not copied into the public-ready repository because redistribution permissions were not supplied.</w:t>
      </w:r>
    </w:p>
    <w:p>
      <w:pPr>
        <w:pStyle w:val="Heading1"/>
      </w:pPr>
      <w:r>
        <w:t>4. Dataset structure and audited statistics</w:t>
      </w:r>
    </w:p>
    <w:p>
      <w:r>
        <w:rPr>
          <w:rFonts w:ascii="Calibri" w:hAnsi="Calibri"/>
          <w:b w:val="0"/>
          <w:i w:val="0"/>
          <w:color w:val="181B1E"/>
          <w:sz w:val="21"/>
        </w:rPr>
        <w:t>Each training record contains an identifier, an event title, a merged sequence of numbered articles, and a primary abstractive summary. Evaluation records add a second reference summary.</w:t>
      </w:r>
    </w:p>
    <w:tbl>
      <w:tblPr>
        <w:tblW w:type="dxa" w:w="9600"/>
        <w:tblLayout w:type="fixed"/>
        <w:tblLook w:firstColumn="1" w:firstRow="1" w:lastColumn="0" w:lastRow="0" w:noHBand="0" w:noVBand="1" w:val="04A0"/>
        <w:tblInd w:w="120" w:type="dxa"/>
        <w:tblBorders>
          <w:top w:val="single" w:sz="4" w:space="0" w:color="AFC0CA"/>
          <w:left w:val="single" w:sz="4" w:space="0" w:color="AFC0CA"/>
          <w:bottom w:val="single" w:sz="4" w:space="0" w:color="AFC0CA"/>
          <w:right w:val="single" w:sz="4" w:space="0" w:color="AFC0CA"/>
          <w:insideH w:val="single" w:sz="4" w:space="0" w:color="AFC0CA"/>
          <w:insideV w:val="single" w:sz="4" w:space="0" w:color="AFC0CA"/>
        </w:tblBorders>
      </w:tblPr>
      <w:tblGrid>
        <w:gridCol w:w="5000"/>
        <w:gridCol w:w="2300"/>
        <w:gridCol w:w="2300"/>
      </w:tblGrid>
      <w:tr>
        <w:trPr>
          <w:tblHeader w:val="true"/>
        </w:trPr>
        <w:tc>
          <w:tcPr>
            <w:tcW w:type="dxa" w:w="5000"/>
            <w:tcMar>
              <w:top w:w="90" w:type="dxa"/>
              <w:start w:w="120" w:type="dxa"/>
              <w:bottom w:w="90" w:type="dxa"/>
              <w:end w:w="120" w:type="dxa"/>
            </w:tcMar>
            <w:vAlign w:val="center"/>
            <w:shd w:fill="D6E2E9"/>
          </w:tcPr>
          <w:p>
            <w:pPr>
              <w:spacing w:after="0" w:line="240" w:lineRule="auto"/>
            </w:pPr>
            <w:r>
              <w:rPr>
                <w:rFonts w:ascii="Calibri" w:hAnsi="Calibri"/>
                <w:b/>
                <w:i w:val="0"/>
                <w:color w:val="0F2D44"/>
                <w:sz w:val="18"/>
              </w:rPr>
              <w:t>Statistic</w:t>
            </w:r>
          </w:p>
        </w:tc>
        <w:tc>
          <w:tcPr>
            <w:tcW w:type="dxa" w:w="2300"/>
            <w:tcMar>
              <w:top w:w="90" w:type="dxa"/>
              <w:start w:w="120" w:type="dxa"/>
              <w:bottom w:w="90" w:type="dxa"/>
              <w:end w:w="120" w:type="dxa"/>
            </w:tcMar>
            <w:vAlign w:val="center"/>
            <w:shd w:fill="D6E2E9"/>
          </w:tcPr>
          <w:p>
            <w:pPr>
              <w:spacing w:after="0" w:line="240" w:lineRule="auto"/>
            </w:pPr>
            <w:r>
              <w:rPr>
                <w:rFonts w:ascii="Calibri" w:hAnsi="Calibri"/>
                <w:b/>
                <w:i w:val="0"/>
                <w:color w:val="0F2D44"/>
                <w:sz w:val="18"/>
              </w:rPr>
              <w:t>Processed pool</w:t>
            </w:r>
          </w:p>
        </w:tc>
        <w:tc>
          <w:tcPr>
            <w:tcW w:type="dxa" w:w="2300"/>
            <w:tcMar>
              <w:top w:w="90" w:type="dxa"/>
              <w:start w:w="120" w:type="dxa"/>
              <w:bottom w:w="90" w:type="dxa"/>
              <w:end w:w="120" w:type="dxa"/>
            </w:tcMar>
            <w:vAlign w:val="center"/>
            <w:shd w:fill="D6E2E9"/>
          </w:tcPr>
          <w:p>
            <w:pPr>
              <w:spacing w:after="0" w:line="240" w:lineRule="auto"/>
            </w:pPr>
            <w:r>
              <w:rPr>
                <w:rFonts w:ascii="Calibri" w:hAnsi="Calibri"/>
                <w:b/>
                <w:i w:val="0"/>
                <w:color w:val="0F2D44"/>
                <w:sz w:val="18"/>
              </w:rPr>
              <w:t>Dual-reference artifact</w:t>
            </w:r>
          </w:p>
        </w:tc>
      </w:tr>
      <w:tr>
        <w:tc>
          <w:tcPr>
            <w:tcW w:type="dxa" w:w="5000"/>
            <w:tcMar>
              <w:top w:w="90" w:type="dxa"/>
              <w:start w:w="120" w:type="dxa"/>
              <w:bottom w:w="90" w:type="dxa"/>
              <w:end w:w="120" w:type="dxa"/>
            </w:tcMar>
            <w:vAlign w:val="center"/>
          </w:tcPr>
          <w:p>
            <w:pPr>
              <w:spacing w:after="0" w:line="240" w:lineRule="auto"/>
            </w:pPr>
            <w:r>
              <w:rPr>
                <w:rFonts w:ascii="Calibri" w:hAnsi="Calibri"/>
                <w:b w:val="0"/>
                <w:i w:val="0"/>
                <w:color w:val="181B1E"/>
                <w:sz w:val="18"/>
              </w:rPr>
              <w:t>Records</w:t>
            </w:r>
          </w:p>
        </w:tc>
        <w:tc>
          <w:tcPr>
            <w:tcW w:type="dxa" w:w="2300"/>
            <w:tcMar>
              <w:top w:w="90" w:type="dxa"/>
              <w:start w:w="120" w:type="dxa"/>
              <w:bottom w:w="90" w:type="dxa"/>
              <w:end w:w="120" w:type="dxa"/>
            </w:tcMar>
            <w:vAlign w:val="center"/>
          </w:tcPr>
          <w:p>
            <w:pPr>
              <w:spacing w:after="0" w:line="240" w:lineRule="auto"/>
              <w:jc w:val="center"/>
            </w:pPr>
            <w:r>
              <w:rPr>
                <w:rFonts w:ascii="Calibri" w:hAnsi="Calibri"/>
                <w:b w:val="0"/>
                <w:i w:val="0"/>
                <w:color w:val="181B1E"/>
                <w:sz w:val="18"/>
              </w:rPr>
              <w:t>713</w:t>
            </w:r>
          </w:p>
        </w:tc>
        <w:tc>
          <w:tcPr>
            <w:tcW w:type="dxa" w:w="2300"/>
            <w:tcMar>
              <w:top w:w="90" w:type="dxa"/>
              <w:start w:w="120" w:type="dxa"/>
              <w:bottom w:w="90" w:type="dxa"/>
              <w:end w:w="120" w:type="dxa"/>
            </w:tcMar>
            <w:vAlign w:val="center"/>
          </w:tcPr>
          <w:p>
            <w:pPr>
              <w:spacing w:after="0" w:line="240" w:lineRule="auto"/>
              <w:jc w:val="center"/>
            </w:pPr>
            <w:r>
              <w:rPr>
                <w:rFonts w:ascii="Calibri" w:hAnsi="Calibri"/>
                <w:b w:val="0"/>
                <w:i w:val="0"/>
                <w:color w:val="181B1E"/>
                <w:sz w:val="18"/>
              </w:rPr>
              <w:t>72</w:t>
            </w:r>
          </w:p>
        </w:tc>
      </w:tr>
      <w:tr>
        <w:tc>
          <w:tcPr>
            <w:tcW w:type="dxa" w:w="5000"/>
            <w:tcMar>
              <w:top w:w="90" w:type="dxa"/>
              <w:start w:w="120" w:type="dxa"/>
              <w:bottom w:w="90" w:type="dxa"/>
              <w:end w:w="120" w:type="dxa"/>
            </w:tcMar>
            <w:vAlign w:val="center"/>
          </w:tcPr>
          <w:p>
            <w:pPr>
              <w:spacing w:after="0" w:line="240" w:lineRule="auto"/>
            </w:pPr>
            <w:r>
              <w:rPr>
                <w:rFonts w:ascii="Calibri" w:hAnsi="Calibri"/>
                <w:b w:val="0"/>
                <w:i w:val="0"/>
                <w:color w:val="181B1E"/>
                <w:sz w:val="18"/>
              </w:rPr>
              <w:t>Unique IDs</w:t>
            </w:r>
          </w:p>
        </w:tc>
        <w:tc>
          <w:tcPr>
            <w:tcW w:type="dxa" w:w="2300"/>
            <w:tcMar>
              <w:top w:w="90" w:type="dxa"/>
              <w:start w:w="120" w:type="dxa"/>
              <w:bottom w:w="90" w:type="dxa"/>
              <w:end w:w="120" w:type="dxa"/>
            </w:tcMar>
            <w:vAlign w:val="center"/>
          </w:tcPr>
          <w:p>
            <w:pPr>
              <w:spacing w:after="0" w:line="240" w:lineRule="auto"/>
              <w:jc w:val="center"/>
            </w:pPr>
            <w:r>
              <w:rPr>
                <w:rFonts w:ascii="Calibri" w:hAnsi="Calibri"/>
                <w:b w:val="0"/>
                <w:i w:val="0"/>
                <w:color w:val="181B1E"/>
                <w:sz w:val="18"/>
              </w:rPr>
              <w:t>438</w:t>
            </w:r>
          </w:p>
        </w:tc>
        <w:tc>
          <w:tcPr>
            <w:tcW w:type="dxa" w:w="2300"/>
            <w:tcMar>
              <w:top w:w="90" w:type="dxa"/>
              <w:start w:w="120" w:type="dxa"/>
              <w:bottom w:w="90" w:type="dxa"/>
              <w:end w:w="120" w:type="dxa"/>
            </w:tcMar>
            <w:vAlign w:val="center"/>
          </w:tcPr>
          <w:p>
            <w:pPr>
              <w:spacing w:after="0" w:line="240" w:lineRule="auto"/>
              <w:jc w:val="center"/>
            </w:pPr>
            <w:r>
              <w:rPr>
                <w:rFonts w:ascii="Calibri" w:hAnsi="Calibri"/>
                <w:b w:val="0"/>
                <w:i w:val="0"/>
                <w:color w:val="181B1E"/>
                <w:sz w:val="18"/>
              </w:rPr>
              <w:t>70</w:t>
            </w:r>
          </w:p>
        </w:tc>
      </w:tr>
      <w:tr>
        <w:tc>
          <w:tcPr>
            <w:tcW w:type="dxa" w:w="5000"/>
            <w:tcMar>
              <w:top w:w="90" w:type="dxa"/>
              <w:start w:w="120" w:type="dxa"/>
              <w:bottom w:w="90" w:type="dxa"/>
              <w:end w:w="120" w:type="dxa"/>
            </w:tcMar>
            <w:vAlign w:val="center"/>
          </w:tcPr>
          <w:p>
            <w:pPr>
              <w:spacing w:after="0" w:line="240" w:lineRule="auto"/>
            </w:pPr>
            <w:r>
              <w:rPr>
                <w:rFonts w:ascii="Calibri" w:hAnsi="Calibri"/>
                <w:b w:val="0"/>
                <w:i w:val="0"/>
                <w:color w:val="181B1E"/>
                <w:sz w:val="18"/>
              </w:rPr>
              <w:t>Article slots</w:t>
            </w:r>
          </w:p>
        </w:tc>
        <w:tc>
          <w:tcPr>
            <w:tcW w:type="dxa" w:w="2300"/>
            <w:tcMar>
              <w:top w:w="90" w:type="dxa"/>
              <w:start w:w="120" w:type="dxa"/>
              <w:bottom w:w="90" w:type="dxa"/>
              <w:end w:w="120" w:type="dxa"/>
            </w:tcMar>
            <w:vAlign w:val="center"/>
          </w:tcPr>
          <w:p>
            <w:pPr>
              <w:spacing w:after="0" w:line="240" w:lineRule="auto"/>
              <w:jc w:val="center"/>
            </w:pPr>
            <w:r>
              <w:rPr>
                <w:rFonts w:ascii="Calibri" w:hAnsi="Calibri"/>
                <w:b w:val="0"/>
                <w:i w:val="0"/>
                <w:color w:val="181B1E"/>
                <w:sz w:val="18"/>
              </w:rPr>
              <w:t>2,259</w:t>
            </w:r>
          </w:p>
        </w:tc>
        <w:tc>
          <w:tcPr>
            <w:tcW w:type="dxa" w:w="2300"/>
            <w:tcMar>
              <w:top w:w="90" w:type="dxa"/>
              <w:start w:w="120" w:type="dxa"/>
              <w:bottom w:w="90" w:type="dxa"/>
              <w:end w:w="120" w:type="dxa"/>
            </w:tcMar>
            <w:vAlign w:val="center"/>
          </w:tcPr>
          <w:p>
            <w:pPr>
              <w:spacing w:after="0" w:line="240" w:lineRule="auto"/>
              <w:jc w:val="center"/>
            </w:pPr>
            <w:r>
              <w:rPr>
                <w:rFonts w:ascii="Calibri" w:hAnsi="Calibri"/>
                <w:b w:val="0"/>
                <w:i w:val="0"/>
                <w:color w:val="181B1E"/>
                <w:sz w:val="18"/>
              </w:rPr>
              <w:t>251</w:t>
            </w:r>
          </w:p>
        </w:tc>
      </w:tr>
      <w:tr>
        <w:tc>
          <w:tcPr>
            <w:tcW w:type="dxa" w:w="5000"/>
            <w:tcMar>
              <w:top w:w="90" w:type="dxa"/>
              <w:start w:w="120" w:type="dxa"/>
              <w:bottom w:w="90" w:type="dxa"/>
              <w:end w:w="120" w:type="dxa"/>
            </w:tcMar>
            <w:vAlign w:val="center"/>
          </w:tcPr>
          <w:p>
            <w:pPr>
              <w:spacing w:after="0" w:line="240" w:lineRule="auto"/>
            </w:pPr>
            <w:r>
              <w:rPr>
                <w:rFonts w:ascii="Calibri" w:hAnsi="Calibri"/>
                <w:b w:val="0"/>
                <w:i w:val="0"/>
                <w:color w:val="181B1E"/>
                <w:sz w:val="18"/>
              </w:rPr>
              <w:t>Articles per record, median</w:t>
            </w:r>
          </w:p>
        </w:tc>
        <w:tc>
          <w:tcPr>
            <w:tcW w:type="dxa" w:w="2300"/>
            <w:tcMar>
              <w:top w:w="90" w:type="dxa"/>
              <w:start w:w="120" w:type="dxa"/>
              <w:bottom w:w="90" w:type="dxa"/>
              <w:end w:w="120" w:type="dxa"/>
            </w:tcMar>
            <w:vAlign w:val="center"/>
          </w:tcPr>
          <w:p>
            <w:pPr>
              <w:spacing w:after="0" w:line="240" w:lineRule="auto"/>
              <w:jc w:val="center"/>
            </w:pPr>
            <w:r>
              <w:rPr>
                <w:rFonts w:ascii="Calibri" w:hAnsi="Calibri"/>
                <w:b w:val="0"/>
                <w:i w:val="0"/>
                <w:color w:val="181B1E"/>
                <w:sz w:val="18"/>
              </w:rPr>
              <w:t>3</w:t>
            </w:r>
          </w:p>
        </w:tc>
        <w:tc>
          <w:tcPr>
            <w:tcW w:type="dxa" w:w="2300"/>
            <w:tcMar>
              <w:top w:w="90" w:type="dxa"/>
              <w:start w:w="120" w:type="dxa"/>
              <w:bottom w:w="90" w:type="dxa"/>
              <w:end w:w="120" w:type="dxa"/>
            </w:tcMar>
            <w:vAlign w:val="center"/>
          </w:tcPr>
          <w:p>
            <w:pPr>
              <w:spacing w:after="0" w:line="240" w:lineRule="auto"/>
              <w:jc w:val="center"/>
            </w:pPr>
            <w:r>
              <w:rPr>
                <w:rFonts w:ascii="Calibri" w:hAnsi="Calibri"/>
                <w:b w:val="0"/>
                <w:i w:val="0"/>
                <w:color w:val="181B1E"/>
                <w:sz w:val="18"/>
              </w:rPr>
              <w:t>3</w:t>
            </w:r>
          </w:p>
        </w:tc>
      </w:tr>
      <w:tr>
        <w:tc>
          <w:tcPr>
            <w:tcW w:type="dxa" w:w="5000"/>
            <w:tcMar>
              <w:top w:w="90" w:type="dxa"/>
              <w:start w:w="120" w:type="dxa"/>
              <w:bottom w:w="90" w:type="dxa"/>
              <w:end w:w="120" w:type="dxa"/>
            </w:tcMar>
            <w:vAlign w:val="center"/>
          </w:tcPr>
          <w:p>
            <w:pPr>
              <w:spacing w:after="0" w:line="240" w:lineRule="auto"/>
            </w:pPr>
            <w:r>
              <w:rPr>
                <w:rFonts w:ascii="Calibri" w:hAnsi="Calibri"/>
                <w:b w:val="0"/>
                <w:i w:val="0"/>
                <w:color w:val="181B1E"/>
                <w:sz w:val="18"/>
              </w:rPr>
              <w:t>Articles per record, maximum</w:t>
            </w:r>
          </w:p>
        </w:tc>
        <w:tc>
          <w:tcPr>
            <w:tcW w:type="dxa" w:w="2300"/>
            <w:tcMar>
              <w:top w:w="90" w:type="dxa"/>
              <w:start w:w="120" w:type="dxa"/>
              <w:bottom w:w="90" w:type="dxa"/>
              <w:end w:w="120" w:type="dxa"/>
            </w:tcMar>
            <w:vAlign w:val="center"/>
          </w:tcPr>
          <w:p>
            <w:pPr>
              <w:spacing w:after="0" w:line="240" w:lineRule="auto"/>
              <w:jc w:val="center"/>
            </w:pPr>
            <w:r>
              <w:rPr>
                <w:rFonts w:ascii="Calibri" w:hAnsi="Calibri"/>
                <w:b w:val="0"/>
                <w:i w:val="0"/>
                <w:color w:val="181B1E"/>
                <w:sz w:val="18"/>
              </w:rPr>
              <w:t>11</w:t>
            </w:r>
          </w:p>
        </w:tc>
        <w:tc>
          <w:tcPr>
            <w:tcW w:type="dxa" w:w="2300"/>
            <w:tcMar>
              <w:top w:w="90" w:type="dxa"/>
              <w:start w:w="120" w:type="dxa"/>
              <w:bottom w:w="90" w:type="dxa"/>
              <w:end w:w="120" w:type="dxa"/>
            </w:tcMar>
            <w:vAlign w:val="center"/>
          </w:tcPr>
          <w:p>
            <w:pPr>
              <w:spacing w:after="0" w:line="240" w:lineRule="auto"/>
              <w:jc w:val="center"/>
            </w:pPr>
            <w:r>
              <w:rPr>
                <w:rFonts w:ascii="Calibri" w:hAnsi="Calibri"/>
                <w:b w:val="0"/>
                <w:i w:val="0"/>
                <w:color w:val="181B1E"/>
                <w:sz w:val="18"/>
              </w:rPr>
              <w:t>5</w:t>
            </w:r>
          </w:p>
        </w:tc>
      </w:tr>
      <w:tr>
        <w:tc>
          <w:tcPr>
            <w:tcW w:type="dxa" w:w="5000"/>
            <w:tcMar>
              <w:top w:w="90" w:type="dxa"/>
              <w:start w:w="120" w:type="dxa"/>
              <w:bottom w:w="90" w:type="dxa"/>
              <w:end w:w="120" w:type="dxa"/>
            </w:tcMar>
            <w:vAlign w:val="center"/>
          </w:tcPr>
          <w:p>
            <w:pPr>
              <w:spacing w:after="0" w:line="240" w:lineRule="auto"/>
            </w:pPr>
            <w:r>
              <w:rPr>
                <w:rFonts w:ascii="Calibri" w:hAnsi="Calibri"/>
                <w:b w:val="0"/>
                <w:i w:val="0"/>
                <w:color w:val="181B1E"/>
                <w:sz w:val="18"/>
              </w:rPr>
              <w:t>Input words, median</w:t>
            </w:r>
          </w:p>
        </w:tc>
        <w:tc>
          <w:tcPr>
            <w:tcW w:type="dxa" w:w="2300"/>
            <w:tcMar>
              <w:top w:w="90" w:type="dxa"/>
              <w:start w:w="120" w:type="dxa"/>
              <w:bottom w:w="90" w:type="dxa"/>
              <w:end w:w="120" w:type="dxa"/>
            </w:tcMar>
            <w:vAlign w:val="center"/>
          </w:tcPr>
          <w:p>
            <w:pPr>
              <w:spacing w:after="0" w:line="240" w:lineRule="auto"/>
              <w:jc w:val="center"/>
            </w:pPr>
            <w:r>
              <w:rPr>
                <w:rFonts w:ascii="Calibri" w:hAnsi="Calibri"/>
                <w:b w:val="0"/>
                <w:i w:val="0"/>
                <w:color w:val="181B1E"/>
                <w:sz w:val="18"/>
              </w:rPr>
              <w:t>1,473</w:t>
            </w:r>
          </w:p>
        </w:tc>
        <w:tc>
          <w:tcPr>
            <w:tcW w:type="dxa" w:w="2300"/>
            <w:tcMar>
              <w:top w:w="90" w:type="dxa"/>
              <w:start w:w="120" w:type="dxa"/>
              <w:bottom w:w="90" w:type="dxa"/>
              <w:end w:w="120" w:type="dxa"/>
            </w:tcMar>
            <w:vAlign w:val="center"/>
          </w:tcPr>
          <w:p>
            <w:pPr>
              <w:spacing w:after="0" w:line="240" w:lineRule="auto"/>
              <w:jc w:val="center"/>
            </w:pPr>
            <w:r>
              <w:rPr>
                <w:rFonts w:ascii="Calibri" w:hAnsi="Calibri"/>
                <w:b w:val="0"/>
                <w:i w:val="0"/>
                <w:color w:val="181B1E"/>
                <w:sz w:val="18"/>
              </w:rPr>
              <w:t>1,898.5</w:t>
            </w:r>
          </w:p>
        </w:tc>
      </w:tr>
      <w:tr>
        <w:tc>
          <w:tcPr>
            <w:tcW w:type="dxa" w:w="5000"/>
            <w:tcMar>
              <w:top w:w="90" w:type="dxa"/>
              <w:start w:w="120" w:type="dxa"/>
              <w:bottom w:w="90" w:type="dxa"/>
              <w:end w:w="120" w:type="dxa"/>
            </w:tcMar>
            <w:vAlign w:val="center"/>
          </w:tcPr>
          <w:p>
            <w:pPr>
              <w:spacing w:after="0" w:line="240" w:lineRule="auto"/>
            </w:pPr>
            <w:r>
              <w:rPr>
                <w:rFonts w:ascii="Calibri" w:hAnsi="Calibri"/>
                <w:b w:val="0"/>
                <w:i w:val="0"/>
                <w:color w:val="181B1E"/>
                <w:sz w:val="18"/>
              </w:rPr>
              <w:t>Input words, maximum</w:t>
            </w:r>
          </w:p>
        </w:tc>
        <w:tc>
          <w:tcPr>
            <w:tcW w:type="dxa" w:w="2300"/>
            <w:tcMar>
              <w:top w:w="90" w:type="dxa"/>
              <w:start w:w="120" w:type="dxa"/>
              <w:bottom w:w="90" w:type="dxa"/>
              <w:end w:w="120" w:type="dxa"/>
            </w:tcMar>
            <w:vAlign w:val="center"/>
          </w:tcPr>
          <w:p>
            <w:pPr>
              <w:spacing w:after="0" w:line="240" w:lineRule="auto"/>
              <w:jc w:val="center"/>
            </w:pPr>
            <w:r>
              <w:rPr>
                <w:rFonts w:ascii="Calibri" w:hAnsi="Calibri"/>
                <w:b w:val="0"/>
                <w:i w:val="0"/>
                <w:color w:val="181B1E"/>
                <w:sz w:val="18"/>
              </w:rPr>
              <w:t>4,772</w:t>
            </w:r>
          </w:p>
        </w:tc>
        <w:tc>
          <w:tcPr>
            <w:tcW w:type="dxa" w:w="2300"/>
            <w:tcMar>
              <w:top w:w="90" w:type="dxa"/>
              <w:start w:w="120" w:type="dxa"/>
              <w:bottom w:w="90" w:type="dxa"/>
              <w:end w:w="120" w:type="dxa"/>
            </w:tcMar>
            <w:vAlign w:val="center"/>
          </w:tcPr>
          <w:p>
            <w:pPr>
              <w:spacing w:after="0" w:line="240" w:lineRule="auto"/>
              <w:jc w:val="center"/>
            </w:pPr>
            <w:r>
              <w:rPr>
                <w:rFonts w:ascii="Calibri" w:hAnsi="Calibri"/>
                <w:b w:val="0"/>
                <w:i w:val="0"/>
                <w:color w:val="181B1E"/>
                <w:sz w:val="18"/>
              </w:rPr>
              <w:t>4,354</w:t>
            </w:r>
          </w:p>
        </w:tc>
      </w:tr>
      <w:tr>
        <w:tc>
          <w:tcPr>
            <w:tcW w:type="dxa" w:w="5000"/>
            <w:tcMar>
              <w:top w:w="90" w:type="dxa"/>
              <w:start w:w="120" w:type="dxa"/>
              <w:bottom w:w="90" w:type="dxa"/>
              <w:end w:w="120" w:type="dxa"/>
            </w:tcMar>
            <w:vAlign w:val="center"/>
          </w:tcPr>
          <w:p>
            <w:pPr>
              <w:spacing w:after="0" w:line="240" w:lineRule="auto"/>
            </w:pPr>
            <w:r>
              <w:rPr>
                <w:rFonts w:ascii="Calibri" w:hAnsi="Calibri"/>
                <w:b w:val="0"/>
                <w:i w:val="0"/>
                <w:color w:val="181B1E"/>
                <w:sz w:val="18"/>
              </w:rPr>
              <w:t>Target words, mean</w:t>
            </w:r>
          </w:p>
        </w:tc>
        <w:tc>
          <w:tcPr>
            <w:tcW w:type="dxa" w:w="2300"/>
            <w:tcMar>
              <w:top w:w="90" w:type="dxa"/>
              <w:start w:w="120" w:type="dxa"/>
              <w:bottom w:w="90" w:type="dxa"/>
              <w:end w:w="120" w:type="dxa"/>
            </w:tcMar>
            <w:vAlign w:val="center"/>
          </w:tcPr>
          <w:p>
            <w:pPr>
              <w:spacing w:after="0" w:line="240" w:lineRule="auto"/>
              <w:jc w:val="center"/>
            </w:pPr>
            <w:r>
              <w:rPr>
                <w:rFonts w:ascii="Calibri" w:hAnsi="Calibri"/>
                <w:b w:val="0"/>
                <w:i w:val="0"/>
                <w:color w:val="181B1E"/>
                <w:sz w:val="18"/>
              </w:rPr>
              <w:t>193.2</w:t>
            </w:r>
          </w:p>
        </w:tc>
        <w:tc>
          <w:tcPr>
            <w:tcW w:type="dxa" w:w="2300"/>
            <w:tcMar>
              <w:top w:w="90" w:type="dxa"/>
              <w:start w:w="120" w:type="dxa"/>
              <w:bottom w:w="90" w:type="dxa"/>
              <w:end w:w="120" w:type="dxa"/>
            </w:tcMar>
            <w:vAlign w:val="center"/>
          </w:tcPr>
          <w:p>
            <w:pPr>
              <w:spacing w:after="0" w:line="240" w:lineRule="auto"/>
              <w:jc w:val="center"/>
            </w:pPr>
            <w:r>
              <w:rPr>
                <w:rFonts w:ascii="Calibri" w:hAnsi="Calibri"/>
                <w:b w:val="0"/>
                <w:i w:val="0"/>
                <w:color w:val="181B1E"/>
                <w:sz w:val="18"/>
              </w:rPr>
              <w:t>192.5</w:t>
            </w:r>
          </w:p>
        </w:tc>
      </w:tr>
      <w:tr>
        <w:tc>
          <w:tcPr>
            <w:tcW w:type="dxa" w:w="5000"/>
            <w:tcMar>
              <w:top w:w="90" w:type="dxa"/>
              <w:start w:w="120" w:type="dxa"/>
              <w:bottom w:w="90" w:type="dxa"/>
              <w:end w:w="120" w:type="dxa"/>
            </w:tcMar>
            <w:vAlign w:val="center"/>
          </w:tcPr>
          <w:p>
            <w:pPr>
              <w:spacing w:after="0" w:line="240" w:lineRule="auto"/>
            </w:pPr>
            <w:r>
              <w:rPr>
                <w:rFonts w:ascii="Calibri" w:hAnsi="Calibri"/>
                <w:b w:val="0"/>
                <w:i w:val="0"/>
                <w:color w:val="181B1E"/>
                <w:sz w:val="18"/>
              </w:rPr>
              <w:t>Records with second reference</w:t>
            </w:r>
          </w:p>
        </w:tc>
        <w:tc>
          <w:tcPr>
            <w:tcW w:type="dxa" w:w="2300"/>
            <w:tcMar>
              <w:top w:w="90" w:type="dxa"/>
              <w:start w:w="120" w:type="dxa"/>
              <w:bottom w:w="90" w:type="dxa"/>
              <w:end w:w="120" w:type="dxa"/>
            </w:tcMar>
            <w:vAlign w:val="center"/>
          </w:tcPr>
          <w:p>
            <w:pPr>
              <w:spacing w:after="0" w:line="240" w:lineRule="auto"/>
              <w:jc w:val="center"/>
            </w:pPr>
            <w:r>
              <w:rPr>
                <w:rFonts w:ascii="Calibri" w:hAnsi="Calibri"/>
                <w:b w:val="0"/>
                <w:i w:val="0"/>
                <w:color w:val="181B1E"/>
                <w:sz w:val="18"/>
              </w:rPr>
              <w:t>0</w:t>
            </w:r>
          </w:p>
        </w:tc>
        <w:tc>
          <w:tcPr>
            <w:tcW w:type="dxa" w:w="2300"/>
            <w:tcMar>
              <w:top w:w="90" w:type="dxa"/>
              <w:start w:w="120" w:type="dxa"/>
              <w:bottom w:w="90" w:type="dxa"/>
              <w:end w:w="120" w:type="dxa"/>
            </w:tcMar>
            <w:vAlign w:val="center"/>
          </w:tcPr>
          <w:p>
            <w:pPr>
              <w:spacing w:after="0" w:line="240" w:lineRule="auto"/>
              <w:jc w:val="center"/>
            </w:pPr>
            <w:r>
              <w:rPr>
                <w:rFonts w:ascii="Calibri" w:hAnsi="Calibri"/>
                <w:b w:val="0"/>
                <w:i w:val="0"/>
                <w:color w:val="181B1E"/>
                <w:sz w:val="18"/>
              </w:rPr>
              <w:t>72</w:t>
            </w:r>
          </w:p>
        </w:tc>
      </w:tr>
    </w:tbl>
    <w:p>
      <w:pPr>
        <w:spacing w:after="20"/>
      </w:pPr>
    </w:p>
    <w:p>
      <w:r>
        <w:rPr>
          <w:rFonts w:ascii="Calibri" w:hAnsi="Calibri"/>
          <w:b w:val="0"/>
          <w:i w:val="0"/>
          <w:color w:val="181B1E"/>
          <w:sz w:val="21"/>
        </w:rPr>
        <w:t xml:space="preserve">Article-slot counts are inferred from distinct </w:t>
      </w:r>
      <w:r>
        <w:rPr>
          <w:rFonts w:ascii="Consolas" w:hAnsi="Consolas"/>
          <w:b w:val="0"/>
          <w:i w:val="0"/>
          <w:color w:val="0F2D44"/>
          <w:sz w:val="20"/>
        </w:rPr>
        <w:t>&lt;ARTICLE_n&gt;</w:t>
      </w:r>
      <w:r>
        <w:rPr>
          <w:rFonts w:ascii="Calibri" w:hAnsi="Calibri"/>
          <w:b w:val="0"/>
          <w:i w:val="0"/>
          <w:color w:val="181B1E"/>
          <w:sz w:val="21"/>
        </w:rPr>
        <w:t xml:space="preserve"> markers. The processed file contains duplicated adjacent markers such as </w:t>
      </w:r>
      <w:r>
        <w:rPr>
          <w:rFonts w:ascii="Consolas" w:hAnsi="Consolas"/>
          <w:b w:val="0"/>
          <w:i w:val="0"/>
          <w:color w:val="0F2D44"/>
          <w:sz w:val="20"/>
        </w:rPr>
        <w:t>&lt;ARTICLE_1&gt;&lt;ARTICLE_1&gt;</w:t>
      </w:r>
      <w:r>
        <w:rPr>
          <w:rFonts w:ascii="Calibri" w:hAnsi="Calibri"/>
          <w:b w:val="0"/>
          <w:i w:val="0"/>
          <w:color w:val="181B1E"/>
          <w:sz w:val="21"/>
        </w:rPr>
        <w:t>; the supplied models include normalization code to collapse these repetitions.</w:t>
      </w:r>
    </w:p>
    <w:p>
      <w:r>
        <w:rPr>
          <w:rFonts w:ascii="Calibri" w:hAnsi="Calibri"/>
          <w:b w:val="0"/>
          <w:i w:val="0"/>
          <w:color w:val="181B1E"/>
          <w:sz w:val="21"/>
        </w:rPr>
        <w:t>Project notes previously described 2,266 collected articles. The processed audit finds 2,259 article slots, a difference of seven. The public dataset paper should reconcile that difference using a canonical raw-document manifest.</w:t>
      </w:r>
    </w:p>
    <w:p>
      <w:pPr>
        <w:pStyle w:val="Heading1"/>
      </w:pPr>
      <w:r>
        <w:t>5. Dataset pipeline</w:t>
      </w:r>
    </w:p>
    <w:tbl>
      <w:tblPr>
        <w:tblW w:type="dxa" w:w="9600"/>
        <w:tblLayout w:type="fixed"/>
        <w:tblLook w:firstColumn="1" w:firstRow="1" w:lastColumn="0" w:lastRow="0" w:noHBand="0" w:noVBand="1" w:val="04A0"/>
        <w:tblInd w:w="120" w:type="dxa"/>
        <w:tblBorders>
          <w:top w:val="single" w:sz="4" w:space="0" w:color="AFC0CA"/>
          <w:left w:val="single" w:sz="4" w:space="0" w:color="AFC0CA"/>
          <w:bottom w:val="single" w:sz="4" w:space="0" w:color="AFC0CA"/>
          <w:right w:val="single" w:sz="4" w:space="0" w:color="AFC0CA"/>
          <w:insideH w:val="single" w:sz="4" w:space="0" w:color="AFC0CA"/>
          <w:insideV w:val="single" w:sz="4" w:space="0" w:color="AFC0CA"/>
        </w:tblBorders>
      </w:tblPr>
      <w:tblGrid>
        <w:gridCol w:w="1850"/>
        <w:gridCol w:w="3400"/>
        <w:gridCol w:w="4350"/>
      </w:tblGrid>
      <w:tr>
        <w:trPr>
          <w:tblHeader w:val="true"/>
        </w:trPr>
        <w:tc>
          <w:tcPr>
            <w:tcW w:type="dxa" w:w="1850"/>
            <w:tcMar>
              <w:top w:w="90" w:type="dxa"/>
              <w:start w:w="120" w:type="dxa"/>
              <w:bottom w:w="90" w:type="dxa"/>
              <w:end w:w="120" w:type="dxa"/>
            </w:tcMar>
            <w:vAlign w:val="center"/>
            <w:shd w:fill="D6E2E9"/>
          </w:tcPr>
          <w:p>
            <w:pPr>
              <w:spacing w:after="0" w:line="240" w:lineRule="auto"/>
            </w:pPr>
            <w:r>
              <w:rPr>
                <w:rFonts w:ascii="Calibri" w:hAnsi="Calibri"/>
                <w:b/>
                <w:i w:val="0"/>
                <w:color w:val="0F2D44"/>
                <w:sz w:val="18"/>
              </w:rPr>
              <w:t>Stage</w:t>
            </w:r>
          </w:p>
        </w:tc>
        <w:tc>
          <w:tcPr>
            <w:tcW w:type="dxa" w:w="3400"/>
            <w:tcMar>
              <w:top w:w="90" w:type="dxa"/>
              <w:start w:w="120" w:type="dxa"/>
              <w:bottom w:w="90" w:type="dxa"/>
              <w:end w:w="120" w:type="dxa"/>
            </w:tcMar>
            <w:vAlign w:val="center"/>
            <w:shd w:fill="D6E2E9"/>
          </w:tcPr>
          <w:p>
            <w:pPr>
              <w:spacing w:after="0" w:line="240" w:lineRule="auto"/>
            </w:pPr>
            <w:r>
              <w:rPr>
                <w:rFonts w:ascii="Calibri" w:hAnsi="Calibri"/>
                <w:b/>
                <w:i w:val="0"/>
                <w:color w:val="0F2D44"/>
                <w:sz w:val="18"/>
              </w:rPr>
              <w:t>Function</w:t>
            </w:r>
          </w:p>
        </w:tc>
        <w:tc>
          <w:tcPr>
            <w:tcW w:type="dxa" w:w="4350"/>
            <w:tcMar>
              <w:top w:w="90" w:type="dxa"/>
              <w:start w:w="120" w:type="dxa"/>
              <w:bottom w:w="90" w:type="dxa"/>
              <w:end w:w="120" w:type="dxa"/>
            </w:tcMar>
            <w:vAlign w:val="center"/>
            <w:shd w:fill="D6E2E9"/>
          </w:tcPr>
          <w:p>
            <w:pPr>
              <w:spacing w:after="0" w:line="240" w:lineRule="auto"/>
            </w:pPr>
            <w:r>
              <w:rPr>
                <w:rFonts w:ascii="Calibri" w:hAnsi="Calibri"/>
                <w:b/>
                <w:i w:val="0"/>
                <w:color w:val="0F2D44"/>
                <w:sz w:val="18"/>
              </w:rPr>
              <w:t>Current artifact status</w:t>
            </w:r>
          </w:p>
        </w:tc>
      </w:tr>
      <w:tr>
        <w:tc>
          <w:tcPr>
            <w:tcW w:type="dxa" w:w="1850"/>
            <w:tcMar>
              <w:top w:w="90" w:type="dxa"/>
              <w:start w:w="120" w:type="dxa"/>
              <w:bottom w:w="90" w:type="dxa"/>
              <w:end w:w="120" w:type="dxa"/>
            </w:tcMar>
            <w:vAlign w:val="center"/>
          </w:tcPr>
          <w:p>
            <w:pPr>
              <w:spacing w:after="0" w:line="240" w:lineRule="auto"/>
            </w:pPr>
            <w:r>
              <w:rPr>
                <w:rFonts w:ascii="Calibri" w:hAnsi="Calibri"/>
                <w:b w:val="0"/>
                <w:i w:val="0"/>
                <w:color w:val="181B1E"/>
                <w:sz w:val="18"/>
              </w:rPr>
              <w:t>Source collection</w:t>
            </w:r>
          </w:p>
        </w:tc>
        <w:tc>
          <w:tcPr>
            <w:tcW w:type="dxa" w:w="3400"/>
            <w:tcMar>
              <w:top w:w="90" w:type="dxa"/>
              <w:start w:w="120" w:type="dxa"/>
              <w:bottom w:w="90" w:type="dxa"/>
              <w:end w:w="120" w:type="dxa"/>
            </w:tcMar>
            <w:vAlign w:val="center"/>
          </w:tcPr>
          <w:p>
            <w:pPr>
              <w:spacing w:after="0" w:line="240" w:lineRule="auto"/>
            </w:pPr>
            <w:r>
              <w:rPr>
                <w:rFonts w:ascii="Calibri" w:hAnsi="Calibri"/>
                <w:b w:val="0"/>
                <w:i w:val="0"/>
                <w:color w:val="181B1E"/>
                <w:sz w:val="18"/>
              </w:rPr>
              <w:t>Acquire Arabic reports from multiple publishers</w:t>
            </w:r>
          </w:p>
        </w:tc>
        <w:tc>
          <w:tcPr>
            <w:tcW w:type="dxa" w:w="4350"/>
            <w:tcMar>
              <w:top w:w="90" w:type="dxa"/>
              <w:start w:w="120" w:type="dxa"/>
              <w:bottom w:w="90" w:type="dxa"/>
              <w:end w:w="120" w:type="dxa"/>
            </w:tcMar>
            <w:vAlign w:val="center"/>
          </w:tcPr>
          <w:p>
            <w:pPr>
              <w:spacing w:after="0" w:line="240" w:lineRule="auto"/>
            </w:pPr>
            <w:r>
              <w:rPr>
                <w:rFonts w:ascii="Calibri" w:hAnsi="Calibri"/>
                <w:b w:val="0"/>
                <w:i w:val="0"/>
                <w:color w:val="181B1E"/>
                <w:sz w:val="18"/>
              </w:rPr>
              <w:t>Raw document bundles supplied</w:t>
            </w:r>
          </w:p>
        </w:tc>
      </w:tr>
      <w:tr>
        <w:tc>
          <w:tcPr>
            <w:tcW w:type="dxa" w:w="1850"/>
            <w:tcMar>
              <w:top w:w="90" w:type="dxa"/>
              <w:start w:w="120" w:type="dxa"/>
              <w:bottom w:w="90" w:type="dxa"/>
              <w:end w:w="120" w:type="dxa"/>
            </w:tcMar>
            <w:vAlign w:val="center"/>
          </w:tcPr>
          <w:p>
            <w:pPr>
              <w:spacing w:after="0" w:line="240" w:lineRule="auto"/>
            </w:pPr>
            <w:r>
              <w:rPr>
                <w:rFonts w:ascii="Calibri" w:hAnsi="Calibri"/>
                <w:b w:val="0"/>
                <w:i w:val="0"/>
                <w:color w:val="181B1E"/>
                <w:sz w:val="18"/>
              </w:rPr>
              <w:t>Event grouping</w:t>
            </w:r>
          </w:p>
        </w:tc>
        <w:tc>
          <w:tcPr>
            <w:tcW w:type="dxa" w:w="3400"/>
            <w:tcMar>
              <w:top w:w="90" w:type="dxa"/>
              <w:start w:w="120" w:type="dxa"/>
              <w:bottom w:w="90" w:type="dxa"/>
              <w:end w:w="120" w:type="dxa"/>
            </w:tcMar>
            <w:vAlign w:val="center"/>
          </w:tcPr>
          <w:p>
            <w:pPr>
              <w:spacing w:after="0" w:line="240" w:lineRule="auto"/>
            </w:pPr>
            <w:r>
              <w:rPr>
                <w:rFonts w:ascii="Calibri" w:hAnsi="Calibri"/>
                <w:b w:val="0"/>
                <w:i w:val="0"/>
                <w:color w:val="181B1E"/>
                <w:sz w:val="18"/>
              </w:rPr>
              <w:t>Associate reports describing the same topic or event</w:t>
            </w:r>
          </w:p>
        </w:tc>
        <w:tc>
          <w:tcPr>
            <w:tcW w:type="dxa" w:w="4350"/>
            <w:tcMar>
              <w:top w:w="90" w:type="dxa"/>
              <w:start w:w="120" w:type="dxa"/>
              <w:bottom w:w="90" w:type="dxa"/>
              <w:end w:w="120" w:type="dxa"/>
            </w:tcMar>
            <w:vAlign w:val="center"/>
          </w:tcPr>
          <w:p>
            <w:pPr>
              <w:spacing w:after="0" w:line="240" w:lineRule="auto"/>
            </w:pPr>
            <w:r>
              <w:rPr>
                <w:rFonts w:ascii="Calibri" w:hAnsi="Calibri"/>
                <w:b w:val="0"/>
                <w:i w:val="0"/>
                <w:color w:val="181B1E"/>
                <w:sz w:val="18"/>
              </w:rPr>
              <w:t>Encoded in titles and merged records; grouping method not yet documented</w:t>
            </w:r>
          </w:p>
        </w:tc>
      </w:tr>
      <w:tr>
        <w:tc>
          <w:tcPr>
            <w:tcW w:type="dxa" w:w="1850"/>
            <w:tcMar>
              <w:top w:w="90" w:type="dxa"/>
              <w:start w:w="120" w:type="dxa"/>
              <w:bottom w:w="90" w:type="dxa"/>
              <w:end w:w="120" w:type="dxa"/>
            </w:tcMar>
            <w:vAlign w:val="center"/>
          </w:tcPr>
          <w:p>
            <w:pPr>
              <w:spacing w:after="0" w:line="240" w:lineRule="auto"/>
            </w:pPr>
            <w:r>
              <w:rPr>
                <w:rFonts w:ascii="Calibri" w:hAnsi="Calibri"/>
                <w:b w:val="0"/>
                <w:i w:val="0"/>
                <w:color w:val="181B1E"/>
                <w:sz w:val="18"/>
              </w:rPr>
              <w:t>Cleaning</w:t>
            </w:r>
          </w:p>
        </w:tc>
        <w:tc>
          <w:tcPr>
            <w:tcW w:type="dxa" w:w="3400"/>
            <w:tcMar>
              <w:top w:w="90" w:type="dxa"/>
              <w:start w:w="120" w:type="dxa"/>
              <w:bottom w:w="90" w:type="dxa"/>
              <w:end w:w="120" w:type="dxa"/>
            </w:tcMar>
            <w:vAlign w:val="center"/>
          </w:tcPr>
          <w:p>
            <w:pPr>
              <w:spacing w:after="0" w:line="240" w:lineRule="auto"/>
            </w:pPr>
            <w:r>
              <w:rPr>
                <w:rFonts w:ascii="Calibri" w:hAnsi="Calibri"/>
                <w:b w:val="0"/>
                <w:i w:val="0"/>
                <w:color w:val="181B1E"/>
                <w:sz w:val="18"/>
              </w:rPr>
              <w:t>Remove page noise and normalize Arabic text</w:t>
            </w:r>
          </w:p>
        </w:tc>
        <w:tc>
          <w:tcPr>
            <w:tcW w:type="dxa" w:w="4350"/>
            <w:tcMar>
              <w:top w:w="90" w:type="dxa"/>
              <w:start w:w="120" w:type="dxa"/>
              <w:bottom w:w="90" w:type="dxa"/>
              <w:end w:w="120" w:type="dxa"/>
            </w:tcMar>
            <w:vAlign w:val="center"/>
          </w:tcPr>
          <w:p>
            <w:pPr>
              <w:spacing w:after="0" w:line="240" w:lineRule="auto"/>
            </w:pPr>
            <w:r>
              <w:rPr>
                <w:rFonts w:ascii="Calibri" w:hAnsi="Calibri"/>
                <w:b w:val="0"/>
                <w:i w:val="0"/>
                <w:color w:val="181B1E"/>
                <w:sz w:val="18"/>
              </w:rPr>
              <w:t>Partially visible in notebooks; raw captures retain some page chrome</w:t>
            </w:r>
          </w:p>
        </w:tc>
      </w:tr>
      <w:tr>
        <w:tc>
          <w:tcPr>
            <w:tcW w:type="dxa" w:w="1850"/>
            <w:tcMar>
              <w:top w:w="90" w:type="dxa"/>
              <w:start w:w="120" w:type="dxa"/>
              <w:bottom w:w="90" w:type="dxa"/>
              <w:end w:w="120" w:type="dxa"/>
            </w:tcMar>
            <w:vAlign w:val="center"/>
          </w:tcPr>
          <w:p>
            <w:pPr>
              <w:spacing w:after="0" w:line="240" w:lineRule="auto"/>
            </w:pPr>
            <w:r>
              <w:rPr>
                <w:rFonts w:ascii="Calibri" w:hAnsi="Calibri"/>
                <w:b w:val="0"/>
                <w:i w:val="0"/>
                <w:color w:val="181B1E"/>
                <w:sz w:val="18"/>
              </w:rPr>
              <w:t>Boundary preservation</w:t>
            </w:r>
          </w:p>
        </w:tc>
        <w:tc>
          <w:tcPr>
            <w:tcW w:type="dxa" w:w="3400"/>
            <w:tcMar>
              <w:top w:w="90" w:type="dxa"/>
              <w:start w:w="120" w:type="dxa"/>
              <w:bottom w:w="90" w:type="dxa"/>
              <w:end w:w="120" w:type="dxa"/>
            </w:tcMar>
            <w:vAlign w:val="center"/>
          </w:tcPr>
          <w:p>
            <w:pPr>
              <w:spacing w:after="0" w:line="240" w:lineRule="auto"/>
            </w:pPr>
            <w:r>
              <w:rPr>
                <w:rFonts w:ascii="Calibri" w:hAnsi="Calibri"/>
                <w:b w:val="0"/>
                <w:i w:val="0"/>
                <w:color w:val="181B1E"/>
                <w:sz w:val="18"/>
              </w:rPr>
              <w:t xml:space="preserve">Insert </w:t>
            </w:r>
            <w:r>
              <w:rPr>
                <w:rFonts w:ascii="Consolas" w:hAnsi="Consolas"/>
                <w:b w:val="0"/>
                <w:i w:val="0"/>
                <w:color w:val="0F2D44"/>
                <w:sz w:val="18"/>
              </w:rPr>
              <w:t>&lt;ARTICLE_n&gt;</w:t>
            </w:r>
            <w:r>
              <w:rPr>
                <w:rFonts w:ascii="Calibri" w:hAnsi="Calibri"/>
                <w:b w:val="0"/>
                <w:i w:val="0"/>
                <w:color w:val="181B1E"/>
                <w:sz w:val="18"/>
              </w:rPr>
              <w:t xml:space="preserve"> markers</w:t>
            </w:r>
          </w:p>
        </w:tc>
        <w:tc>
          <w:tcPr>
            <w:tcW w:type="dxa" w:w="4350"/>
            <w:tcMar>
              <w:top w:w="90" w:type="dxa"/>
              <w:start w:w="120" w:type="dxa"/>
              <w:bottom w:w="90" w:type="dxa"/>
              <w:end w:w="120" w:type="dxa"/>
            </w:tcMar>
            <w:vAlign w:val="center"/>
          </w:tcPr>
          <w:p>
            <w:pPr>
              <w:spacing w:after="0" w:line="240" w:lineRule="auto"/>
            </w:pPr>
            <w:r>
              <w:rPr>
                <w:rFonts w:ascii="Calibri" w:hAnsi="Calibri"/>
                <w:b w:val="0"/>
                <w:i w:val="0"/>
                <w:color w:val="181B1E"/>
                <w:sz w:val="18"/>
              </w:rPr>
              <w:t>Present; adjacent duplicates require normalization</w:t>
            </w:r>
          </w:p>
        </w:tc>
      </w:tr>
      <w:tr>
        <w:tc>
          <w:tcPr>
            <w:tcW w:type="dxa" w:w="1850"/>
            <w:tcMar>
              <w:top w:w="90" w:type="dxa"/>
              <w:start w:w="120" w:type="dxa"/>
              <w:bottom w:w="90" w:type="dxa"/>
              <w:end w:w="120" w:type="dxa"/>
            </w:tcMar>
            <w:vAlign w:val="center"/>
          </w:tcPr>
          <w:p>
            <w:pPr>
              <w:spacing w:after="0" w:line="240" w:lineRule="auto"/>
            </w:pPr>
            <w:r>
              <w:rPr>
                <w:rFonts w:ascii="Calibri" w:hAnsi="Calibri"/>
                <w:b w:val="0"/>
                <w:i w:val="0"/>
                <w:color w:val="181B1E"/>
                <w:sz w:val="18"/>
              </w:rPr>
              <w:t>Summary pairing</w:t>
            </w:r>
          </w:p>
        </w:tc>
        <w:tc>
          <w:tcPr>
            <w:tcW w:type="dxa" w:w="3400"/>
            <w:tcMar>
              <w:top w:w="90" w:type="dxa"/>
              <w:start w:w="120" w:type="dxa"/>
              <w:bottom w:w="90" w:type="dxa"/>
              <w:end w:w="120" w:type="dxa"/>
            </w:tcMar>
            <w:vAlign w:val="center"/>
          </w:tcPr>
          <w:p>
            <w:pPr>
              <w:spacing w:after="0" w:line="240" w:lineRule="auto"/>
            </w:pPr>
            <w:r>
              <w:rPr>
                <w:rFonts w:ascii="Calibri" w:hAnsi="Calibri"/>
                <w:b w:val="0"/>
                <w:i w:val="0"/>
                <w:color w:val="181B1E"/>
                <w:sz w:val="18"/>
              </w:rPr>
              <w:t>Attach primary and optional second abstractive references</w:t>
            </w:r>
          </w:p>
        </w:tc>
        <w:tc>
          <w:tcPr>
            <w:tcW w:type="dxa" w:w="4350"/>
            <w:tcMar>
              <w:top w:w="90" w:type="dxa"/>
              <w:start w:w="120" w:type="dxa"/>
              <w:bottom w:w="90" w:type="dxa"/>
              <w:end w:w="120" w:type="dxa"/>
            </w:tcMar>
            <w:vAlign w:val="center"/>
          </w:tcPr>
          <w:p>
            <w:pPr>
              <w:spacing w:after="0" w:line="240" w:lineRule="auto"/>
            </w:pPr>
            <w:r>
              <w:rPr>
                <w:rFonts w:ascii="Calibri" w:hAnsi="Calibri"/>
                <w:b w:val="0"/>
                <w:i w:val="0"/>
                <w:color w:val="181B1E"/>
                <w:sz w:val="18"/>
              </w:rPr>
              <w:t>Present</w:t>
            </w:r>
          </w:p>
        </w:tc>
      </w:tr>
      <w:tr>
        <w:tc>
          <w:tcPr>
            <w:tcW w:type="dxa" w:w="1850"/>
            <w:tcMar>
              <w:top w:w="90" w:type="dxa"/>
              <w:start w:w="120" w:type="dxa"/>
              <w:bottom w:w="90" w:type="dxa"/>
              <w:end w:w="120" w:type="dxa"/>
            </w:tcMar>
            <w:vAlign w:val="center"/>
          </w:tcPr>
          <w:p>
            <w:pPr>
              <w:spacing w:after="0" w:line="240" w:lineRule="auto"/>
            </w:pPr>
            <w:r>
              <w:rPr>
                <w:rFonts w:ascii="Calibri" w:hAnsi="Calibri"/>
                <w:b w:val="0"/>
                <w:i w:val="0"/>
                <w:color w:val="181B1E"/>
                <w:sz w:val="18"/>
              </w:rPr>
              <w:t>Split creation</w:t>
            </w:r>
          </w:p>
        </w:tc>
        <w:tc>
          <w:tcPr>
            <w:tcW w:type="dxa" w:w="3400"/>
            <w:tcMar>
              <w:top w:w="90" w:type="dxa"/>
              <w:start w:w="120" w:type="dxa"/>
              <w:bottom w:w="90" w:type="dxa"/>
              <w:end w:w="120" w:type="dxa"/>
            </w:tcMar>
            <w:vAlign w:val="center"/>
          </w:tcPr>
          <w:p>
            <w:pPr>
              <w:spacing w:after="0" w:line="240" w:lineRule="auto"/>
            </w:pPr>
            <w:r>
              <w:rPr>
                <w:rFonts w:ascii="Calibri" w:hAnsi="Calibri"/>
                <w:b w:val="0"/>
                <w:i w:val="0"/>
                <w:color w:val="181B1E"/>
                <w:sz w:val="18"/>
              </w:rPr>
              <w:t>Create train, validation, and test partitions</w:t>
            </w:r>
          </w:p>
        </w:tc>
        <w:tc>
          <w:tcPr>
            <w:tcW w:type="dxa" w:w="4350"/>
            <w:tcMar>
              <w:top w:w="90" w:type="dxa"/>
              <w:start w:w="120" w:type="dxa"/>
              <w:bottom w:w="90" w:type="dxa"/>
              <w:end w:w="120" w:type="dxa"/>
            </w:tcMar>
            <w:vAlign w:val="center"/>
          </w:tcPr>
          <w:p>
            <w:pPr>
              <w:spacing w:after="0" w:line="240" w:lineRule="auto"/>
            </w:pPr>
            <w:r>
              <w:rPr>
                <w:rFonts w:ascii="Calibri" w:hAnsi="Calibri"/>
                <w:b w:val="0"/>
                <w:i w:val="0"/>
                <w:color w:val="181B1E"/>
                <w:sz w:val="18"/>
              </w:rPr>
              <w:t>Relationship among artifacts requires clarification</w:t>
            </w:r>
          </w:p>
        </w:tc>
      </w:tr>
      <w:tr>
        <w:tc>
          <w:tcPr>
            <w:tcW w:type="dxa" w:w="1850"/>
            <w:tcMar>
              <w:top w:w="90" w:type="dxa"/>
              <w:start w:w="120" w:type="dxa"/>
              <w:bottom w:w="90" w:type="dxa"/>
              <w:end w:w="120" w:type="dxa"/>
            </w:tcMar>
            <w:vAlign w:val="center"/>
          </w:tcPr>
          <w:p>
            <w:pPr>
              <w:spacing w:after="0" w:line="240" w:lineRule="auto"/>
            </w:pPr>
            <w:r>
              <w:rPr>
                <w:rFonts w:ascii="Calibri" w:hAnsi="Calibri"/>
                <w:b w:val="0"/>
                <w:i w:val="0"/>
                <w:color w:val="181B1E"/>
                <w:sz w:val="18"/>
              </w:rPr>
              <w:t>Audit</w:t>
            </w:r>
          </w:p>
        </w:tc>
        <w:tc>
          <w:tcPr>
            <w:tcW w:type="dxa" w:w="3400"/>
            <w:tcMar>
              <w:top w:w="90" w:type="dxa"/>
              <w:start w:w="120" w:type="dxa"/>
              <w:bottom w:w="90" w:type="dxa"/>
              <w:end w:w="120" w:type="dxa"/>
            </w:tcMar>
            <w:vAlign w:val="center"/>
          </w:tcPr>
          <w:p>
            <w:pPr>
              <w:spacing w:after="0" w:line="240" w:lineRule="auto"/>
            </w:pPr>
            <w:r>
              <w:rPr>
                <w:rFonts w:ascii="Calibri" w:hAnsi="Calibri"/>
                <w:b w:val="0"/>
                <w:i w:val="0"/>
                <w:color w:val="181B1E"/>
                <w:sz w:val="18"/>
              </w:rPr>
              <w:t>Validate schema, lengths, duplicates, and leakage</w:t>
            </w:r>
          </w:p>
        </w:tc>
        <w:tc>
          <w:tcPr>
            <w:tcW w:type="dxa" w:w="4350"/>
            <w:tcMar>
              <w:top w:w="90" w:type="dxa"/>
              <w:start w:w="120" w:type="dxa"/>
              <w:bottom w:w="90" w:type="dxa"/>
              <w:end w:w="120" w:type="dxa"/>
            </w:tcMar>
            <w:vAlign w:val="center"/>
          </w:tcPr>
          <w:p>
            <w:pPr>
              <w:spacing w:after="0" w:line="240" w:lineRule="auto"/>
            </w:pPr>
            <w:r>
              <w:rPr>
                <w:rFonts w:ascii="Calibri" w:hAnsi="Calibri"/>
                <w:b w:val="0"/>
                <w:i w:val="0"/>
                <w:color w:val="181B1E"/>
                <w:sz w:val="18"/>
              </w:rPr>
              <w:t>Added in this repository</w:t>
            </w:r>
          </w:p>
        </w:tc>
      </w:tr>
    </w:tbl>
    <w:p>
      <w:pPr>
        <w:spacing w:after="20"/>
      </w:pPr>
    </w:p>
    <w:p>
      <w:pPr>
        <w:pStyle w:val="Heading1"/>
      </w:pPr>
      <w:r>
        <w:t>6. Baseline systems</w:t>
      </w:r>
    </w:p>
    <w:p>
      <w:r>
        <w:rPr>
          <w:rFonts w:ascii="Calibri" w:hAnsi="Calibri"/>
          <w:b w:val="0"/>
          <w:i w:val="0"/>
          <w:color w:val="181B1E"/>
          <w:sz w:val="21"/>
        </w:rPr>
        <w:t>Five submitted notebooks implement the following families:</w:t>
      </w:r>
    </w:p>
    <w:tbl>
      <w:tblPr>
        <w:tblW w:type="dxa" w:w="9600"/>
        <w:tblLayout w:type="fixed"/>
        <w:tblLook w:firstColumn="1" w:firstRow="1" w:lastColumn="0" w:lastRow="0" w:noHBand="0" w:noVBand="1" w:val="04A0"/>
        <w:tblInd w:w="120" w:type="dxa"/>
        <w:tblBorders>
          <w:top w:val="single" w:sz="4" w:space="0" w:color="AFC0CA"/>
          <w:left w:val="single" w:sz="4" w:space="0" w:color="AFC0CA"/>
          <w:bottom w:val="single" w:sz="4" w:space="0" w:color="AFC0CA"/>
          <w:right w:val="single" w:sz="4" w:space="0" w:color="AFC0CA"/>
          <w:insideH w:val="single" w:sz="4" w:space="0" w:color="AFC0CA"/>
          <w:insideV w:val="single" w:sz="4" w:space="0" w:color="AFC0CA"/>
        </w:tblBorders>
      </w:tblPr>
      <w:tblGrid>
        <w:gridCol w:w="1500"/>
        <w:gridCol w:w="3500"/>
        <w:gridCol w:w="4600"/>
      </w:tblGrid>
      <w:tr>
        <w:trPr>
          <w:tblHeader w:val="true"/>
        </w:trPr>
        <w:tc>
          <w:tcPr>
            <w:tcW w:type="dxa" w:w="1500"/>
            <w:tcMar>
              <w:top w:w="90" w:type="dxa"/>
              <w:start w:w="120" w:type="dxa"/>
              <w:bottom w:w="90" w:type="dxa"/>
              <w:end w:w="120" w:type="dxa"/>
            </w:tcMar>
            <w:vAlign w:val="center"/>
            <w:shd w:fill="D6E2E9"/>
          </w:tcPr>
          <w:p>
            <w:pPr>
              <w:spacing w:after="0" w:line="240" w:lineRule="auto"/>
            </w:pPr>
            <w:r>
              <w:rPr>
                <w:rFonts w:ascii="Calibri" w:hAnsi="Calibri"/>
                <w:b/>
                <w:i w:val="0"/>
                <w:color w:val="0F2D44"/>
                <w:sz w:val="18"/>
              </w:rPr>
              <w:t>Label</w:t>
            </w:r>
          </w:p>
        </w:tc>
        <w:tc>
          <w:tcPr>
            <w:tcW w:type="dxa" w:w="3500"/>
            <w:tcMar>
              <w:top w:w="90" w:type="dxa"/>
              <w:start w:w="120" w:type="dxa"/>
              <w:bottom w:w="90" w:type="dxa"/>
              <w:end w:w="120" w:type="dxa"/>
            </w:tcMar>
            <w:vAlign w:val="center"/>
            <w:shd w:fill="D6E2E9"/>
          </w:tcPr>
          <w:p>
            <w:pPr>
              <w:spacing w:after="0" w:line="240" w:lineRule="auto"/>
            </w:pPr>
            <w:r>
              <w:rPr>
                <w:rFonts w:ascii="Calibri" w:hAnsi="Calibri"/>
                <w:b/>
                <w:i w:val="0"/>
                <w:color w:val="0F2D44"/>
                <w:sz w:val="18"/>
              </w:rPr>
              <w:t>Pretrained checkpoint</w:t>
            </w:r>
          </w:p>
        </w:tc>
        <w:tc>
          <w:tcPr>
            <w:tcW w:type="dxa" w:w="4600"/>
            <w:tcMar>
              <w:top w:w="90" w:type="dxa"/>
              <w:start w:w="120" w:type="dxa"/>
              <w:bottom w:w="90" w:type="dxa"/>
              <w:end w:w="120" w:type="dxa"/>
            </w:tcMar>
            <w:vAlign w:val="center"/>
            <w:shd w:fill="D6E2E9"/>
          </w:tcPr>
          <w:p>
            <w:pPr>
              <w:spacing w:after="0" w:line="240" w:lineRule="auto"/>
            </w:pPr>
            <w:r>
              <w:rPr>
                <w:rFonts w:ascii="Calibri" w:hAnsi="Calibri"/>
                <w:b/>
                <w:i w:val="0"/>
                <w:color w:val="0F2D44"/>
                <w:sz w:val="18"/>
              </w:rPr>
              <w:t>Design role</w:t>
            </w:r>
          </w:p>
        </w:tc>
      </w:tr>
      <w:tr>
        <w:tc>
          <w:tcPr>
            <w:tcW w:type="dxa" w:w="1500"/>
            <w:tcMar>
              <w:top w:w="90" w:type="dxa"/>
              <w:start w:w="120" w:type="dxa"/>
              <w:bottom w:w="90" w:type="dxa"/>
              <w:end w:w="120" w:type="dxa"/>
            </w:tcMar>
            <w:vAlign w:val="center"/>
          </w:tcPr>
          <w:p>
            <w:pPr>
              <w:spacing w:after="0" w:line="240" w:lineRule="auto"/>
            </w:pPr>
            <w:r>
              <w:rPr>
                <w:rFonts w:ascii="Calibri" w:hAnsi="Calibri"/>
                <w:b w:val="0"/>
                <w:i w:val="0"/>
                <w:color w:val="181B1E"/>
                <w:sz w:val="18"/>
              </w:rPr>
              <w:t>mT5</w:t>
            </w:r>
          </w:p>
        </w:tc>
        <w:tc>
          <w:tcPr>
            <w:tcW w:type="dxa" w:w="3500"/>
            <w:tcMar>
              <w:top w:w="90" w:type="dxa"/>
              <w:start w:w="120" w:type="dxa"/>
              <w:bottom w:w="90" w:type="dxa"/>
              <w:end w:w="120" w:type="dxa"/>
            </w:tcMar>
            <w:vAlign w:val="center"/>
          </w:tcPr>
          <w:p>
            <w:pPr>
              <w:spacing w:after="0" w:line="240" w:lineRule="auto"/>
            </w:pPr>
            <w:r>
              <w:rPr>
                <w:rFonts w:ascii="Consolas" w:hAnsi="Consolas"/>
                <w:b w:val="0"/>
                <w:i w:val="0"/>
                <w:color w:val="0F2D44"/>
                <w:sz w:val="18"/>
              </w:rPr>
              <w:t>csebuetnlp/mT5_multilingual_XLSum</w:t>
            </w:r>
          </w:p>
        </w:tc>
        <w:tc>
          <w:tcPr>
            <w:tcW w:type="dxa" w:w="4600"/>
            <w:tcMar>
              <w:top w:w="90" w:type="dxa"/>
              <w:start w:w="120" w:type="dxa"/>
              <w:bottom w:w="90" w:type="dxa"/>
              <w:end w:w="120" w:type="dxa"/>
            </w:tcMar>
            <w:vAlign w:val="center"/>
          </w:tcPr>
          <w:p>
            <w:pPr>
              <w:spacing w:after="0" w:line="240" w:lineRule="auto"/>
            </w:pPr>
            <w:r>
              <w:rPr>
                <w:rFonts w:ascii="Calibri" w:hAnsi="Calibri"/>
                <w:b w:val="0"/>
                <w:i w:val="0"/>
                <w:color w:val="181B1E"/>
                <w:sz w:val="18"/>
              </w:rPr>
              <w:t>multilingual sequence-to-sequence baseline</w:t>
            </w:r>
          </w:p>
        </w:tc>
      </w:tr>
      <w:tr>
        <w:tc>
          <w:tcPr>
            <w:tcW w:type="dxa" w:w="1500"/>
            <w:tcMar>
              <w:top w:w="90" w:type="dxa"/>
              <w:start w:w="120" w:type="dxa"/>
              <w:bottom w:w="90" w:type="dxa"/>
              <w:end w:w="120" w:type="dxa"/>
            </w:tcMar>
            <w:vAlign w:val="center"/>
          </w:tcPr>
          <w:p>
            <w:pPr>
              <w:spacing w:after="0" w:line="240" w:lineRule="auto"/>
            </w:pPr>
            <w:r>
              <w:rPr>
                <w:rFonts w:ascii="Calibri" w:hAnsi="Calibri"/>
                <w:b w:val="0"/>
                <w:i w:val="0"/>
                <w:color w:val="181B1E"/>
                <w:sz w:val="18"/>
              </w:rPr>
              <w:t>LED</w:t>
            </w:r>
          </w:p>
        </w:tc>
        <w:tc>
          <w:tcPr>
            <w:tcW w:type="dxa" w:w="3500"/>
            <w:tcMar>
              <w:top w:w="90" w:type="dxa"/>
              <w:start w:w="120" w:type="dxa"/>
              <w:bottom w:w="90" w:type="dxa"/>
              <w:end w:w="120" w:type="dxa"/>
            </w:tcMar>
            <w:vAlign w:val="center"/>
          </w:tcPr>
          <w:p>
            <w:pPr>
              <w:spacing w:after="0" w:line="240" w:lineRule="auto"/>
            </w:pPr>
            <w:r>
              <w:rPr>
                <w:rFonts w:ascii="Consolas" w:hAnsi="Consolas"/>
                <w:b w:val="0"/>
                <w:i w:val="0"/>
                <w:color w:val="0F2D44"/>
                <w:sz w:val="18"/>
              </w:rPr>
              <w:t>allenai/led-base-16384</w:t>
            </w:r>
          </w:p>
        </w:tc>
        <w:tc>
          <w:tcPr>
            <w:tcW w:type="dxa" w:w="4600"/>
            <w:tcMar>
              <w:top w:w="90" w:type="dxa"/>
              <w:start w:w="120" w:type="dxa"/>
              <w:bottom w:w="90" w:type="dxa"/>
              <w:end w:w="120" w:type="dxa"/>
            </w:tcMar>
            <w:vAlign w:val="center"/>
          </w:tcPr>
          <w:p>
            <w:pPr>
              <w:spacing w:after="0" w:line="240" w:lineRule="auto"/>
            </w:pPr>
            <w:r>
              <w:rPr>
                <w:rFonts w:ascii="Calibri" w:hAnsi="Calibri"/>
                <w:b w:val="0"/>
                <w:i w:val="0"/>
                <w:color w:val="181B1E"/>
                <w:sz w:val="18"/>
              </w:rPr>
              <w:t>native long-context encoder-decoder baseline</w:t>
            </w:r>
          </w:p>
        </w:tc>
      </w:tr>
      <w:tr>
        <w:tc>
          <w:tcPr>
            <w:tcW w:type="dxa" w:w="1500"/>
            <w:tcMar>
              <w:top w:w="90" w:type="dxa"/>
              <w:start w:w="120" w:type="dxa"/>
              <w:bottom w:w="90" w:type="dxa"/>
              <w:end w:w="120" w:type="dxa"/>
            </w:tcMar>
            <w:vAlign w:val="center"/>
          </w:tcPr>
          <w:p>
            <w:pPr>
              <w:spacing w:after="0" w:line="240" w:lineRule="auto"/>
            </w:pPr>
            <w:r>
              <w:rPr>
                <w:rFonts w:ascii="Calibri" w:hAnsi="Calibri"/>
                <w:b w:val="0"/>
                <w:i w:val="0"/>
                <w:color w:val="181B1E"/>
                <w:sz w:val="18"/>
              </w:rPr>
              <w:t>AraT5</w:t>
            </w:r>
          </w:p>
        </w:tc>
        <w:tc>
          <w:tcPr>
            <w:tcW w:type="dxa" w:w="3500"/>
            <w:tcMar>
              <w:top w:w="90" w:type="dxa"/>
              <w:start w:w="120" w:type="dxa"/>
              <w:bottom w:w="90" w:type="dxa"/>
              <w:end w:w="120" w:type="dxa"/>
            </w:tcMar>
            <w:vAlign w:val="center"/>
          </w:tcPr>
          <w:p>
            <w:pPr>
              <w:spacing w:after="0" w:line="240" w:lineRule="auto"/>
            </w:pPr>
            <w:r>
              <w:rPr>
                <w:rFonts w:ascii="Consolas" w:hAnsi="Consolas"/>
                <w:b w:val="0"/>
                <w:i w:val="0"/>
                <w:color w:val="0F2D44"/>
                <w:sz w:val="18"/>
              </w:rPr>
              <w:t>UBC-NLP/AraT5-base</w:t>
            </w:r>
          </w:p>
        </w:tc>
        <w:tc>
          <w:tcPr>
            <w:tcW w:type="dxa" w:w="4600"/>
            <w:tcMar>
              <w:top w:w="90" w:type="dxa"/>
              <w:start w:w="120" w:type="dxa"/>
              <w:bottom w:w="90" w:type="dxa"/>
              <w:end w:w="120" w:type="dxa"/>
            </w:tcMar>
            <w:vAlign w:val="center"/>
          </w:tcPr>
          <w:p>
            <w:pPr>
              <w:spacing w:after="0" w:line="240" w:lineRule="auto"/>
            </w:pPr>
            <w:r>
              <w:rPr>
                <w:rFonts w:ascii="Calibri" w:hAnsi="Calibri"/>
                <w:b w:val="0"/>
                <w:i w:val="0"/>
                <w:color w:val="181B1E"/>
                <w:sz w:val="18"/>
              </w:rPr>
              <w:t>Arabic-focused sequence-to-sequence baseline</w:t>
            </w:r>
          </w:p>
        </w:tc>
      </w:tr>
      <w:tr>
        <w:tc>
          <w:tcPr>
            <w:tcW w:type="dxa" w:w="1500"/>
            <w:tcMar>
              <w:top w:w="90" w:type="dxa"/>
              <w:start w:w="120" w:type="dxa"/>
              <w:bottom w:w="90" w:type="dxa"/>
              <w:end w:w="120" w:type="dxa"/>
            </w:tcMar>
            <w:vAlign w:val="center"/>
          </w:tcPr>
          <w:p>
            <w:pPr>
              <w:spacing w:after="0" w:line="240" w:lineRule="auto"/>
            </w:pPr>
            <w:r>
              <w:rPr>
                <w:rFonts w:ascii="Calibri" w:hAnsi="Calibri"/>
                <w:b w:val="0"/>
                <w:i w:val="0"/>
                <w:color w:val="181B1E"/>
                <w:sz w:val="18"/>
              </w:rPr>
              <w:t>AraBERT</w:t>
            </w:r>
          </w:p>
        </w:tc>
        <w:tc>
          <w:tcPr>
            <w:tcW w:type="dxa" w:w="3500"/>
            <w:tcMar>
              <w:top w:w="90" w:type="dxa"/>
              <w:start w:w="120" w:type="dxa"/>
              <w:bottom w:w="90" w:type="dxa"/>
              <w:end w:w="120" w:type="dxa"/>
            </w:tcMar>
            <w:vAlign w:val="center"/>
          </w:tcPr>
          <w:p>
            <w:pPr>
              <w:spacing w:after="0" w:line="240" w:lineRule="auto"/>
            </w:pPr>
            <w:r>
              <w:rPr>
                <w:rFonts w:ascii="Consolas" w:hAnsi="Consolas"/>
                <w:b w:val="0"/>
                <w:i w:val="0"/>
                <w:color w:val="0F2D44"/>
                <w:sz w:val="18"/>
              </w:rPr>
              <w:t>aubmindlab/bert-base-arabertv02</w:t>
            </w:r>
          </w:p>
        </w:tc>
        <w:tc>
          <w:tcPr>
            <w:tcW w:type="dxa" w:w="4600"/>
            <w:tcMar>
              <w:top w:w="90" w:type="dxa"/>
              <w:start w:w="120" w:type="dxa"/>
              <w:bottom w:w="90" w:type="dxa"/>
              <w:end w:w="120" w:type="dxa"/>
            </w:tcMar>
            <w:vAlign w:val="center"/>
          </w:tcPr>
          <w:p>
            <w:pPr>
              <w:spacing w:after="0" w:line="240" w:lineRule="auto"/>
            </w:pPr>
            <w:r>
              <w:rPr>
                <w:rFonts w:ascii="Calibri" w:hAnsi="Calibri"/>
                <w:b w:val="0"/>
                <w:i w:val="0"/>
                <w:color w:val="181B1E"/>
                <w:sz w:val="18"/>
              </w:rPr>
              <w:t>Arabic encoder-decoder with hierarchical inference</w:t>
            </w:r>
          </w:p>
        </w:tc>
      </w:tr>
      <w:tr>
        <w:tc>
          <w:tcPr>
            <w:tcW w:type="dxa" w:w="1500"/>
            <w:tcMar>
              <w:top w:w="90" w:type="dxa"/>
              <w:start w:w="120" w:type="dxa"/>
              <w:bottom w:w="90" w:type="dxa"/>
              <w:end w:w="120" w:type="dxa"/>
            </w:tcMar>
            <w:vAlign w:val="center"/>
          </w:tcPr>
          <w:p>
            <w:pPr>
              <w:spacing w:after="0" w:line="240" w:lineRule="auto"/>
            </w:pPr>
            <w:r>
              <w:rPr>
                <w:rFonts w:ascii="Calibri" w:hAnsi="Calibri"/>
                <w:b w:val="0"/>
                <w:i w:val="0"/>
                <w:color w:val="181B1E"/>
                <w:sz w:val="18"/>
              </w:rPr>
              <w:t>mBERT</w:t>
            </w:r>
          </w:p>
        </w:tc>
        <w:tc>
          <w:tcPr>
            <w:tcW w:type="dxa" w:w="3500"/>
            <w:tcMar>
              <w:top w:w="90" w:type="dxa"/>
              <w:start w:w="120" w:type="dxa"/>
              <w:bottom w:w="90" w:type="dxa"/>
              <w:end w:w="120" w:type="dxa"/>
            </w:tcMar>
            <w:vAlign w:val="center"/>
          </w:tcPr>
          <w:p>
            <w:pPr>
              <w:spacing w:after="0" w:line="240" w:lineRule="auto"/>
            </w:pPr>
            <w:r>
              <w:rPr>
                <w:rFonts w:ascii="Consolas" w:hAnsi="Consolas"/>
                <w:b w:val="0"/>
                <w:i w:val="0"/>
                <w:color w:val="0F2D44"/>
                <w:sz w:val="18"/>
              </w:rPr>
              <w:t>bert-base-multilingual-cased</w:t>
            </w:r>
          </w:p>
        </w:tc>
        <w:tc>
          <w:tcPr>
            <w:tcW w:type="dxa" w:w="4600"/>
            <w:tcMar>
              <w:top w:w="90" w:type="dxa"/>
              <w:start w:w="120" w:type="dxa"/>
              <w:bottom w:w="90" w:type="dxa"/>
              <w:end w:w="120" w:type="dxa"/>
            </w:tcMar>
            <w:vAlign w:val="center"/>
          </w:tcPr>
          <w:p>
            <w:pPr>
              <w:spacing w:after="0" w:line="240" w:lineRule="auto"/>
            </w:pPr>
            <w:r>
              <w:rPr>
                <w:rFonts w:ascii="Calibri" w:hAnsi="Calibri"/>
                <w:b w:val="0"/>
                <w:i w:val="0"/>
                <w:color w:val="181B1E"/>
                <w:sz w:val="18"/>
              </w:rPr>
              <w:t>multilingual encoder-decoder with hierarchical inference</w:t>
            </w:r>
          </w:p>
        </w:tc>
      </w:tr>
    </w:tbl>
    <w:p>
      <w:pPr>
        <w:spacing w:after="20"/>
      </w:pPr>
    </w:p>
    <w:p>
      <w:r>
        <w:rPr>
          <w:rFonts w:ascii="Calibri" w:hAnsi="Calibri"/>
          <w:b w:val="0"/>
          <w:i w:val="0"/>
          <w:color w:val="181B1E"/>
          <w:sz w:val="21"/>
        </w:rPr>
        <w:t>Common controls include random seed 42, beam search, no-repeat n-gram constraints, checkpointing, mixed-precision support, and a nominal 6,144-token input / 512-token output budget. The exact effective context differs by model: BERT-based encoders are constrained by their native window and therefore use chunking or hierarchical inference.</w:t>
      </w:r>
    </w:p>
    <w:p>
      <w:pPr>
        <w:pStyle w:val="Heading1"/>
      </w:pPr>
      <w:r>
        <w:t>7. Evaluation design</w:t>
      </w:r>
    </w:p>
    <w:p>
      <w:r>
        <w:rPr>
          <w:rFonts w:ascii="Calibri" w:hAnsi="Calibri"/>
          <w:b w:val="0"/>
          <w:i w:val="0"/>
          <w:color w:val="181B1E"/>
          <w:sz w:val="21"/>
        </w:rPr>
        <w:t>The notebooks evaluate lexical overlap and semantic similarity using ROUGE, SacreBLEU, chrF, METEOR, BERTScore, and MoverScore-style calculations. Several reference protocols appear in the experiments:</w:t>
      </w:r>
    </w:p>
    <w:p>
      <w:pPr>
        <w:pStyle w:val="ReportBullet"/>
      </w:pPr>
      <w:r>
        <w:rPr>
          <w:rFonts w:ascii="Calibri" w:hAnsi="Calibri"/>
          <w:b w:val="0"/>
          <w:i w:val="0"/>
          <w:color w:val="181B1E"/>
          <w:sz w:val="21"/>
        </w:rPr>
        <w:t>score against reference 1;</w:t>
      </w:r>
    </w:p>
    <w:p>
      <w:pPr>
        <w:pStyle w:val="ReportBullet"/>
      </w:pPr>
      <w:r>
        <w:rPr>
          <w:rFonts w:ascii="Calibri" w:hAnsi="Calibri"/>
          <w:b w:val="0"/>
          <w:i w:val="0"/>
          <w:color w:val="181B1E"/>
          <w:sz w:val="21"/>
        </w:rPr>
        <w:t>score against reference 2;</w:t>
      </w:r>
    </w:p>
    <w:p>
      <w:pPr>
        <w:pStyle w:val="ReportBullet"/>
      </w:pPr>
      <w:r>
        <w:rPr>
          <w:rFonts w:ascii="Calibri" w:hAnsi="Calibri"/>
          <w:b w:val="0"/>
          <w:i w:val="0"/>
          <w:color w:val="181B1E"/>
          <w:sz w:val="21"/>
        </w:rPr>
        <w:t>average the two reference-level scores;</w:t>
      </w:r>
    </w:p>
    <w:p>
      <w:pPr>
        <w:pStyle w:val="ReportBullet"/>
      </w:pPr>
      <w:r>
        <w:rPr>
          <w:rFonts w:ascii="Calibri" w:hAnsi="Calibri"/>
          <w:b w:val="0"/>
          <w:i w:val="0"/>
          <w:color w:val="181B1E"/>
          <w:sz w:val="21"/>
        </w:rPr>
        <w:t>use a metric's native multi-reference mode;</w:t>
      </w:r>
    </w:p>
    <w:p>
      <w:pPr>
        <w:pStyle w:val="ReportBullet"/>
      </w:pPr>
      <w:r>
        <w:rPr>
          <w:rFonts w:ascii="Calibri" w:hAnsi="Calibri"/>
          <w:b w:val="0"/>
          <w:i w:val="0"/>
          <w:color w:val="181B1E"/>
          <w:sz w:val="21"/>
        </w:rPr>
        <w:t>select the better reference for each example.</w:t>
      </w:r>
    </w:p>
    <w:p>
      <w:r>
        <w:rPr>
          <w:rFonts w:ascii="Calibri" w:hAnsi="Calibri"/>
          <w:b w:val="0"/>
          <w:i w:val="0"/>
          <w:color w:val="181B1E"/>
          <w:sz w:val="21"/>
        </w:rPr>
        <w:t>These measures answer different questions and should not be mixed under one unlabeled score. Selecting the best reference per example is an oracle-style statistic and is normally higher than a fixed-reference score. A final benchmark should designate one primary protocol and report alternative protocols separately.</w:t>
      </w:r>
    </w:p>
    <w:p>
      <w:pPr>
        <w:pStyle w:val="Heading1"/>
        <w:pageBreakBefore/>
      </w:pPr>
      <w:r>
        <w:t>8. Submitted benchmark results</w:t>
      </w:r>
    </w:p>
    <w:p>
      <w:r>
        <w:rPr>
          <w:rFonts w:ascii="Calibri" w:hAnsi="Calibri"/>
          <w:b w:val="0"/>
          <w:i w:val="0"/>
          <w:color w:val="181B1E"/>
          <w:sz w:val="21"/>
        </w:rPr>
        <w:t>The following values are transcribed from the supplied aggregate result document. They were not regenerated during repository preparation.</w:t>
      </w:r>
    </w:p>
    <w:tbl>
      <w:tblPr>
        <w:tblW w:type="dxa" w:w="9600"/>
        <w:tblLayout w:type="fixed"/>
        <w:tblLook w:firstColumn="1" w:firstRow="1" w:lastColumn="0" w:lastRow="0" w:noHBand="0" w:noVBand="1" w:val="04A0"/>
        <w:tblInd w:w="120" w:type="dxa"/>
        <w:tblBorders>
          <w:top w:val="single" w:sz="4" w:space="0" w:color="AFC0CA"/>
          <w:left w:val="single" w:sz="4" w:space="0" w:color="AFC0CA"/>
          <w:bottom w:val="single" w:sz="4" w:space="0" w:color="AFC0CA"/>
          <w:right w:val="single" w:sz="4" w:space="0" w:color="AFC0CA"/>
          <w:insideH w:val="single" w:sz="4" w:space="0" w:color="AFC0CA"/>
          <w:insideV w:val="single" w:sz="4" w:space="0" w:color="AFC0CA"/>
        </w:tblBorders>
      </w:tblPr>
      <w:tblGrid>
        <w:gridCol w:w="1750"/>
        <w:gridCol w:w="850"/>
        <w:gridCol w:w="1350"/>
        <w:gridCol w:w="1350"/>
        <w:gridCol w:w="1450"/>
        <w:gridCol w:w="1400"/>
        <w:gridCol w:w="1450"/>
      </w:tblGrid>
      <w:tr>
        <w:trPr>
          <w:tblHeader w:val="true"/>
        </w:trPr>
        <w:tc>
          <w:tcPr>
            <w:tcW w:type="dxa" w:w="1750"/>
            <w:tcMar>
              <w:top w:w="90" w:type="dxa"/>
              <w:start w:w="120" w:type="dxa"/>
              <w:bottom w:w="90" w:type="dxa"/>
              <w:end w:w="120" w:type="dxa"/>
            </w:tcMar>
            <w:vAlign w:val="center"/>
            <w:shd w:fill="D6E2E9"/>
          </w:tcPr>
          <w:p>
            <w:pPr>
              <w:spacing w:after="0" w:line="240" w:lineRule="auto"/>
            </w:pPr>
            <w:r>
              <w:rPr>
                <w:rFonts w:ascii="Calibri" w:hAnsi="Calibri"/>
                <w:b/>
                <w:i w:val="0"/>
                <w:color w:val="0F2D44"/>
                <w:sz w:val="17"/>
              </w:rPr>
              <w:t>Model</w:t>
            </w:r>
          </w:p>
        </w:tc>
        <w:tc>
          <w:tcPr>
            <w:tcW w:type="dxa" w:w="850"/>
            <w:tcMar>
              <w:top w:w="90" w:type="dxa"/>
              <w:start w:w="120" w:type="dxa"/>
              <w:bottom w:w="90" w:type="dxa"/>
              <w:end w:w="120" w:type="dxa"/>
            </w:tcMar>
            <w:vAlign w:val="center"/>
            <w:shd w:fill="D6E2E9"/>
          </w:tcPr>
          <w:p>
            <w:pPr>
              <w:spacing w:after="0" w:line="240" w:lineRule="auto"/>
            </w:pPr>
            <w:r>
              <w:rPr>
                <w:rFonts w:ascii="Calibri" w:hAnsi="Calibri"/>
                <w:b/>
                <w:i w:val="0"/>
                <w:color w:val="0F2D44"/>
                <w:sz w:val="17"/>
              </w:rPr>
              <w:t>Count</w:t>
            </w:r>
          </w:p>
        </w:tc>
        <w:tc>
          <w:tcPr>
            <w:tcW w:type="dxa" w:w="1350"/>
            <w:tcMar>
              <w:top w:w="90" w:type="dxa"/>
              <w:start w:w="120" w:type="dxa"/>
              <w:bottom w:w="90" w:type="dxa"/>
              <w:end w:w="120" w:type="dxa"/>
            </w:tcMar>
            <w:vAlign w:val="center"/>
            <w:shd w:fill="D6E2E9"/>
          </w:tcPr>
          <w:p>
            <w:pPr>
              <w:spacing w:after="0" w:line="240" w:lineRule="auto"/>
            </w:pPr>
            <w:r>
              <w:rPr>
                <w:rFonts w:ascii="Calibri" w:hAnsi="Calibri"/>
                <w:b/>
                <w:i w:val="0"/>
                <w:color w:val="0F2D44"/>
                <w:sz w:val="17"/>
              </w:rPr>
              <w:t>ROUGE-1</w:t>
            </w:r>
          </w:p>
        </w:tc>
        <w:tc>
          <w:tcPr>
            <w:tcW w:type="dxa" w:w="1350"/>
            <w:tcMar>
              <w:top w:w="90" w:type="dxa"/>
              <w:start w:w="120" w:type="dxa"/>
              <w:bottom w:w="90" w:type="dxa"/>
              <w:end w:w="120" w:type="dxa"/>
            </w:tcMar>
            <w:vAlign w:val="center"/>
            <w:shd w:fill="D6E2E9"/>
          </w:tcPr>
          <w:p>
            <w:pPr>
              <w:spacing w:after="0" w:line="240" w:lineRule="auto"/>
            </w:pPr>
            <w:r>
              <w:rPr>
                <w:rFonts w:ascii="Calibri" w:hAnsi="Calibri"/>
                <w:b/>
                <w:i w:val="0"/>
                <w:color w:val="0F2D44"/>
                <w:sz w:val="17"/>
              </w:rPr>
              <w:t>ROUGE-2</w:t>
            </w:r>
          </w:p>
        </w:tc>
        <w:tc>
          <w:tcPr>
            <w:tcW w:type="dxa" w:w="1450"/>
            <w:tcMar>
              <w:top w:w="90" w:type="dxa"/>
              <w:start w:w="120" w:type="dxa"/>
              <w:bottom w:w="90" w:type="dxa"/>
              <w:end w:w="120" w:type="dxa"/>
            </w:tcMar>
            <w:vAlign w:val="center"/>
            <w:shd w:fill="D6E2E9"/>
          </w:tcPr>
          <w:p>
            <w:pPr>
              <w:spacing w:after="0" w:line="240" w:lineRule="auto"/>
            </w:pPr>
            <w:r>
              <w:rPr>
                <w:rFonts w:ascii="Calibri" w:hAnsi="Calibri"/>
                <w:b/>
                <w:i w:val="0"/>
                <w:color w:val="0F2D44"/>
                <w:sz w:val="17"/>
              </w:rPr>
              <w:t>ROUGE-Lsum</w:t>
            </w:r>
          </w:p>
        </w:tc>
        <w:tc>
          <w:tcPr>
            <w:tcW w:type="dxa" w:w="1400"/>
            <w:tcMar>
              <w:top w:w="90" w:type="dxa"/>
              <w:start w:w="120" w:type="dxa"/>
              <w:bottom w:w="90" w:type="dxa"/>
              <w:end w:w="120" w:type="dxa"/>
            </w:tcMar>
            <w:vAlign w:val="center"/>
            <w:shd w:fill="D6E2E9"/>
          </w:tcPr>
          <w:p>
            <w:pPr>
              <w:spacing w:after="0" w:line="240" w:lineRule="auto"/>
            </w:pPr>
            <w:r>
              <w:rPr>
                <w:rFonts w:ascii="Calibri" w:hAnsi="Calibri"/>
                <w:b/>
                <w:i w:val="0"/>
                <w:color w:val="0F2D44"/>
                <w:sz w:val="17"/>
              </w:rPr>
              <w:t>BERTScore F1</w:t>
            </w:r>
          </w:p>
        </w:tc>
        <w:tc>
          <w:tcPr>
            <w:tcW w:type="dxa" w:w="1450"/>
            <w:tcMar>
              <w:top w:w="90" w:type="dxa"/>
              <w:start w:w="120" w:type="dxa"/>
              <w:bottom w:w="90" w:type="dxa"/>
              <w:end w:w="120" w:type="dxa"/>
            </w:tcMar>
            <w:vAlign w:val="center"/>
            <w:shd w:fill="D6E2E9"/>
          </w:tcPr>
          <w:p>
            <w:pPr>
              <w:spacing w:after="0" w:line="240" w:lineRule="auto"/>
            </w:pPr>
            <w:r>
              <w:rPr>
                <w:rFonts w:ascii="Calibri" w:hAnsi="Calibri"/>
                <w:b/>
                <w:i w:val="0"/>
                <w:color w:val="0F2D44"/>
                <w:sz w:val="17"/>
              </w:rPr>
              <w:t>MoverScore</w:t>
            </w:r>
          </w:p>
        </w:tc>
      </w:tr>
      <w:tr>
        <w:tc>
          <w:tcPr>
            <w:tcW w:type="dxa" w:w="1750"/>
            <w:tcMar>
              <w:top w:w="90" w:type="dxa"/>
              <w:start w:w="120" w:type="dxa"/>
              <w:bottom w:w="90" w:type="dxa"/>
              <w:end w:w="120" w:type="dxa"/>
            </w:tcMar>
            <w:vAlign w:val="center"/>
          </w:tcPr>
          <w:p>
            <w:pPr>
              <w:spacing w:after="0" w:line="240" w:lineRule="auto"/>
            </w:pPr>
            <w:r>
              <w:rPr>
                <w:rFonts w:ascii="Calibri" w:hAnsi="Calibri"/>
                <w:b w:val="0"/>
                <w:i w:val="0"/>
                <w:color w:val="181B1E"/>
                <w:sz w:val="17"/>
              </w:rPr>
              <w:t>mT5</w:t>
            </w:r>
          </w:p>
        </w:tc>
        <w:tc>
          <w:tcPr>
            <w:tcW w:type="dxa" w:w="850"/>
            <w:tcMar>
              <w:top w:w="90" w:type="dxa"/>
              <w:start w:w="120" w:type="dxa"/>
              <w:bottom w:w="90" w:type="dxa"/>
              <w:end w:w="120" w:type="dxa"/>
            </w:tcMar>
            <w:vAlign w:val="center"/>
          </w:tcPr>
          <w:p>
            <w:pPr>
              <w:spacing w:after="0" w:line="240" w:lineRule="auto"/>
              <w:jc w:val="center"/>
            </w:pPr>
            <w:r>
              <w:rPr>
                <w:rFonts w:ascii="Calibri" w:hAnsi="Calibri"/>
                <w:b w:val="0"/>
                <w:i w:val="0"/>
                <w:color w:val="181B1E"/>
                <w:sz w:val="17"/>
              </w:rPr>
              <w:t>72</w:t>
            </w:r>
          </w:p>
        </w:tc>
        <w:tc>
          <w:tcPr>
            <w:tcW w:type="dxa" w:w="1350"/>
            <w:tcMar>
              <w:top w:w="90" w:type="dxa"/>
              <w:start w:w="120" w:type="dxa"/>
              <w:bottom w:w="90" w:type="dxa"/>
              <w:end w:w="120" w:type="dxa"/>
            </w:tcMar>
            <w:vAlign w:val="center"/>
          </w:tcPr>
          <w:p>
            <w:pPr>
              <w:spacing w:after="0" w:line="240" w:lineRule="auto"/>
              <w:jc w:val="center"/>
            </w:pPr>
            <w:r>
              <w:rPr>
                <w:rFonts w:ascii="Calibri" w:hAnsi="Calibri"/>
                <w:b/>
                <w:i w:val="0"/>
                <w:color w:val="181B1E"/>
                <w:sz w:val="17"/>
              </w:rPr>
              <w:t>0.1473</w:t>
            </w:r>
          </w:p>
        </w:tc>
        <w:tc>
          <w:tcPr>
            <w:tcW w:type="dxa" w:w="1350"/>
            <w:tcMar>
              <w:top w:w="90" w:type="dxa"/>
              <w:start w:w="120" w:type="dxa"/>
              <w:bottom w:w="90" w:type="dxa"/>
              <w:end w:w="120" w:type="dxa"/>
            </w:tcMar>
            <w:vAlign w:val="center"/>
          </w:tcPr>
          <w:p>
            <w:pPr>
              <w:spacing w:after="0" w:line="240" w:lineRule="auto"/>
              <w:jc w:val="center"/>
            </w:pPr>
            <w:r>
              <w:rPr>
                <w:rFonts w:ascii="Calibri" w:hAnsi="Calibri"/>
                <w:b/>
                <w:i w:val="0"/>
                <w:color w:val="181B1E"/>
                <w:sz w:val="17"/>
              </w:rPr>
              <w:t>0.0516</w:t>
            </w:r>
          </w:p>
        </w:tc>
        <w:tc>
          <w:tcPr>
            <w:tcW w:type="dxa" w:w="1450"/>
            <w:tcMar>
              <w:top w:w="90" w:type="dxa"/>
              <w:start w:w="120" w:type="dxa"/>
              <w:bottom w:w="90" w:type="dxa"/>
              <w:end w:w="120" w:type="dxa"/>
            </w:tcMar>
            <w:vAlign w:val="center"/>
          </w:tcPr>
          <w:p>
            <w:pPr>
              <w:spacing w:after="0" w:line="240" w:lineRule="auto"/>
              <w:jc w:val="center"/>
            </w:pPr>
            <w:r>
              <w:rPr>
                <w:rFonts w:ascii="Calibri" w:hAnsi="Calibri"/>
                <w:b/>
                <w:i w:val="0"/>
                <w:color w:val="181B1E"/>
                <w:sz w:val="17"/>
              </w:rPr>
              <w:t>0.1392</w:t>
            </w:r>
          </w:p>
        </w:tc>
        <w:tc>
          <w:tcPr>
            <w:tcW w:type="dxa" w:w="1400"/>
            <w:tcMar>
              <w:top w:w="90" w:type="dxa"/>
              <w:start w:w="120" w:type="dxa"/>
              <w:bottom w:w="90" w:type="dxa"/>
              <w:end w:w="120" w:type="dxa"/>
            </w:tcMar>
            <w:vAlign w:val="center"/>
          </w:tcPr>
          <w:p>
            <w:pPr>
              <w:spacing w:after="0" w:line="240" w:lineRule="auto"/>
              <w:jc w:val="center"/>
            </w:pPr>
            <w:r>
              <w:rPr>
                <w:rFonts w:ascii="Calibri" w:hAnsi="Calibri"/>
                <w:b/>
                <w:i w:val="0"/>
                <w:color w:val="181B1E"/>
                <w:sz w:val="17"/>
              </w:rPr>
              <w:t>0.8402</w:t>
            </w:r>
          </w:p>
        </w:tc>
        <w:tc>
          <w:tcPr>
            <w:tcW w:type="dxa" w:w="1450"/>
            <w:tcMar>
              <w:top w:w="90" w:type="dxa"/>
              <w:start w:w="120" w:type="dxa"/>
              <w:bottom w:w="90" w:type="dxa"/>
              <w:end w:w="120" w:type="dxa"/>
            </w:tcMar>
            <w:vAlign w:val="center"/>
          </w:tcPr>
          <w:p>
            <w:pPr>
              <w:spacing w:after="0" w:line="240" w:lineRule="auto"/>
              <w:jc w:val="center"/>
            </w:pPr>
            <w:r>
              <w:rPr>
                <w:rFonts w:ascii="Calibri" w:hAnsi="Calibri"/>
                <w:b w:val="0"/>
                <w:i w:val="0"/>
                <w:color w:val="181B1E"/>
                <w:sz w:val="17"/>
              </w:rPr>
              <w:t>0.9699</w:t>
            </w:r>
          </w:p>
        </w:tc>
      </w:tr>
      <w:tr>
        <w:tc>
          <w:tcPr>
            <w:tcW w:type="dxa" w:w="1750"/>
            <w:tcMar>
              <w:top w:w="90" w:type="dxa"/>
              <w:start w:w="120" w:type="dxa"/>
              <w:bottom w:w="90" w:type="dxa"/>
              <w:end w:w="120" w:type="dxa"/>
            </w:tcMar>
            <w:vAlign w:val="center"/>
          </w:tcPr>
          <w:p>
            <w:pPr>
              <w:spacing w:after="0" w:line="240" w:lineRule="auto"/>
            </w:pPr>
            <w:r>
              <w:rPr>
                <w:rFonts w:ascii="Calibri" w:hAnsi="Calibri"/>
                <w:b w:val="0"/>
                <w:i w:val="0"/>
                <w:color w:val="181B1E"/>
                <w:sz w:val="17"/>
              </w:rPr>
              <w:t>LED</w:t>
            </w:r>
          </w:p>
        </w:tc>
        <w:tc>
          <w:tcPr>
            <w:tcW w:type="dxa" w:w="850"/>
            <w:tcMar>
              <w:top w:w="90" w:type="dxa"/>
              <w:start w:w="120" w:type="dxa"/>
              <w:bottom w:w="90" w:type="dxa"/>
              <w:end w:w="120" w:type="dxa"/>
            </w:tcMar>
            <w:vAlign w:val="center"/>
          </w:tcPr>
          <w:p>
            <w:pPr>
              <w:spacing w:after="0" w:line="240" w:lineRule="auto"/>
              <w:jc w:val="center"/>
            </w:pPr>
            <w:r>
              <w:rPr>
                <w:rFonts w:ascii="Calibri" w:hAnsi="Calibri"/>
                <w:b w:val="0"/>
                <w:i w:val="0"/>
                <w:color w:val="181B1E"/>
                <w:sz w:val="17"/>
              </w:rPr>
              <w:t>71</w:t>
            </w:r>
          </w:p>
        </w:tc>
        <w:tc>
          <w:tcPr>
            <w:tcW w:type="dxa" w:w="1350"/>
            <w:tcMar>
              <w:top w:w="90" w:type="dxa"/>
              <w:start w:w="120" w:type="dxa"/>
              <w:bottom w:w="90" w:type="dxa"/>
              <w:end w:w="120" w:type="dxa"/>
            </w:tcMar>
            <w:vAlign w:val="center"/>
          </w:tcPr>
          <w:p>
            <w:pPr>
              <w:spacing w:after="0" w:line="240" w:lineRule="auto"/>
              <w:jc w:val="center"/>
            </w:pPr>
            <w:r>
              <w:rPr>
                <w:rFonts w:ascii="Calibri" w:hAnsi="Calibri"/>
                <w:b w:val="0"/>
                <w:i w:val="0"/>
                <w:color w:val="181B1E"/>
                <w:sz w:val="17"/>
              </w:rPr>
              <w:t>0.1089</w:t>
            </w:r>
          </w:p>
        </w:tc>
        <w:tc>
          <w:tcPr>
            <w:tcW w:type="dxa" w:w="1350"/>
            <w:tcMar>
              <w:top w:w="90" w:type="dxa"/>
              <w:start w:w="120" w:type="dxa"/>
              <w:bottom w:w="90" w:type="dxa"/>
              <w:end w:w="120" w:type="dxa"/>
            </w:tcMar>
            <w:vAlign w:val="center"/>
          </w:tcPr>
          <w:p>
            <w:pPr>
              <w:spacing w:after="0" w:line="240" w:lineRule="auto"/>
              <w:jc w:val="center"/>
            </w:pPr>
            <w:r>
              <w:rPr>
                <w:rFonts w:ascii="Calibri" w:hAnsi="Calibri"/>
                <w:b w:val="0"/>
                <w:i w:val="0"/>
                <w:color w:val="181B1E"/>
                <w:sz w:val="17"/>
              </w:rPr>
              <w:t>0.0257</w:t>
            </w:r>
          </w:p>
        </w:tc>
        <w:tc>
          <w:tcPr>
            <w:tcW w:type="dxa" w:w="1450"/>
            <w:tcMar>
              <w:top w:w="90" w:type="dxa"/>
              <w:start w:w="120" w:type="dxa"/>
              <w:bottom w:w="90" w:type="dxa"/>
              <w:end w:w="120" w:type="dxa"/>
            </w:tcMar>
            <w:vAlign w:val="center"/>
          </w:tcPr>
          <w:p>
            <w:pPr>
              <w:spacing w:after="0" w:line="240" w:lineRule="auto"/>
              <w:jc w:val="center"/>
            </w:pPr>
            <w:r>
              <w:rPr>
                <w:rFonts w:ascii="Calibri" w:hAnsi="Calibri"/>
                <w:b w:val="0"/>
                <w:i w:val="0"/>
                <w:color w:val="181B1E"/>
                <w:sz w:val="17"/>
              </w:rPr>
              <w:t>0.1074</w:t>
            </w:r>
          </w:p>
        </w:tc>
        <w:tc>
          <w:tcPr>
            <w:tcW w:type="dxa" w:w="1400"/>
            <w:tcMar>
              <w:top w:w="90" w:type="dxa"/>
              <w:start w:w="120" w:type="dxa"/>
              <w:bottom w:w="90" w:type="dxa"/>
              <w:end w:w="120" w:type="dxa"/>
            </w:tcMar>
            <w:vAlign w:val="center"/>
          </w:tcPr>
          <w:p>
            <w:pPr>
              <w:spacing w:after="0" w:line="240" w:lineRule="auto"/>
              <w:jc w:val="center"/>
            </w:pPr>
            <w:r>
              <w:rPr>
                <w:rFonts w:ascii="Calibri" w:hAnsi="Calibri"/>
                <w:b w:val="0"/>
                <w:i w:val="0"/>
                <w:color w:val="181B1E"/>
                <w:sz w:val="17"/>
              </w:rPr>
              <w:t>0.8333</w:t>
            </w:r>
          </w:p>
        </w:tc>
        <w:tc>
          <w:tcPr>
            <w:tcW w:type="dxa" w:w="1450"/>
            <w:tcMar>
              <w:top w:w="90" w:type="dxa"/>
              <w:start w:w="120" w:type="dxa"/>
              <w:bottom w:w="90" w:type="dxa"/>
              <w:end w:w="120" w:type="dxa"/>
            </w:tcMar>
            <w:vAlign w:val="center"/>
          </w:tcPr>
          <w:p>
            <w:pPr>
              <w:spacing w:after="0" w:line="240" w:lineRule="auto"/>
              <w:jc w:val="center"/>
            </w:pPr>
            <w:r>
              <w:rPr>
                <w:rFonts w:ascii="Calibri" w:hAnsi="Calibri"/>
                <w:b/>
                <w:i w:val="0"/>
                <w:color w:val="181B1E"/>
                <w:sz w:val="17"/>
              </w:rPr>
              <w:t>0.9700</w:t>
            </w:r>
          </w:p>
        </w:tc>
      </w:tr>
      <w:tr>
        <w:tc>
          <w:tcPr>
            <w:tcW w:type="dxa" w:w="1750"/>
            <w:tcMar>
              <w:top w:w="90" w:type="dxa"/>
              <w:start w:w="120" w:type="dxa"/>
              <w:bottom w:w="90" w:type="dxa"/>
              <w:end w:w="120" w:type="dxa"/>
            </w:tcMar>
            <w:vAlign w:val="center"/>
          </w:tcPr>
          <w:p>
            <w:pPr>
              <w:spacing w:after="0" w:line="240" w:lineRule="auto"/>
            </w:pPr>
            <w:r>
              <w:rPr>
                <w:rFonts w:ascii="Calibri" w:hAnsi="Calibri"/>
                <w:b w:val="0"/>
                <w:i w:val="0"/>
                <w:color w:val="181B1E"/>
                <w:sz w:val="17"/>
              </w:rPr>
              <w:t>AraBERT</w:t>
            </w:r>
          </w:p>
        </w:tc>
        <w:tc>
          <w:tcPr>
            <w:tcW w:type="dxa" w:w="850"/>
            <w:tcMar>
              <w:top w:w="90" w:type="dxa"/>
              <w:start w:w="120" w:type="dxa"/>
              <w:bottom w:w="90" w:type="dxa"/>
              <w:end w:w="120" w:type="dxa"/>
            </w:tcMar>
            <w:vAlign w:val="center"/>
          </w:tcPr>
          <w:p>
            <w:pPr>
              <w:spacing w:after="0" w:line="240" w:lineRule="auto"/>
              <w:jc w:val="center"/>
            </w:pPr>
            <w:r>
              <w:rPr>
                <w:rFonts w:ascii="Calibri" w:hAnsi="Calibri"/>
                <w:b w:val="0"/>
                <w:i w:val="0"/>
                <w:color w:val="181B1E"/>
                <w:sz w:val="17"/>
              </w:rPr>
              <w:t>71</w:t>
            </w:r>
          </w:p>
        </w:tc>
        <w:tc>
          <w:tcPr>
            <w:tcW w:type="dxa" w:w="1350"/>
            <w:tcMar>
              <w:top w:w="90" w:type="dxa"/>
              <w:start w:w="120" w:type="dxa"/>
              <w:bottom w:w="90" w:type="dxa"/>
              <w:end w:w="120" w:type="dxa"/>
            </w:tcMar>
            <w:vAlign w:val="center"/>
          </w:tcPr>
          <w:p>
            <w:pPr>
              <w:spacing w:after="0" w:line="240" w:lineRule="auto"/>
              <w:jc w:val="center"/>
            </w:pPr>
            <w:r>
              <w:rPr>
                <w:rFonts w:ascii="Calibri" w:hAnsi="Calibri"/>
                <w:b w:val="0"/>
                <w:i w:val="0"/>
                <w:color w:val="181B1E"/>
                <w:sz w:val="17"/>
              </w:rPr>
              <w:t>0.0142</w:t>
            </w:r>
          </w:p>
        </w:tc>
        <w:tc>
          <w:tcPr>
            <w:tcW w:type="dxa" w:w="1350"/>
            <w:tcMar>
              <w:top w:w="90" w:type="dxa"/>
              <w:start w:w="120" w:type="dxa"/>
              <w:bottom w:w="90" w:type="dxa"/>
              <w:end w:w="120" w:type="dxa"/>
            </w:tcMar>
            <w:vAlign w:val="center"/>
          </w:tcPr>
          <w:p>
            <w:pPr>
              <w:spacing w:after="0" w:line="240" w:lineRule="auto"/>
              <w:jc w:val="center"/>
            </w:pPr>
            <w:r>
              <w:rPr>
                <w:rFonts w:ascii="Calibri" w:hAnsi="Calibri"/>
                <w:b w:val="0"/>
                <w:i w:val="0"/>
                <w:color w:val="181B1E"/>
                <w:sz w:val="17"/>
              </w:rPr>
              <w:t>0.0001</w:t>
            </w:r>
          </w:p>
        </w:tc>
        <w:tc>
          <w:tcPr>
            <w:tcW w:type="dxa" w:w="1450"/>
            <w:tcMar>
              <w:top w:w="90" w:type="dxa"/>
              <w:start w:w="120" w:type="dxa"/>
              <w:bottom w:w="90" w:type="dxa"/>
              <w:end w:w="120" w:type="dxa"/>
            </w:tcMar>
            <w:vAlign w:val="center"/>
          </w:tcPr>
          <w:p>
            <w:pPr>
              <w:spacing w:after="0" w:line="240" w:lineRule="auto"/>
              <w:jc w:val="center"/>
            </w:pPr>
            <w:r>
              <w:rPr>
                <w:rFonts w:ascii="Calibri" w:hAnsi="Calibri"/>
                <w:b w:val="0"/>
                <w:i w:val="0"/>
                <w:color w:val="181B1E"/>
                <w:sz w:val="17"/>
              </w:rPr>
              <w:t>0.0128</w:t>
            </w:r>
          </w:p>
        </w:tc>
        <w:tc>
          <w:tcPr>
            <w:tcW w:type="dxa" w:w="1400"/>
            <w:tcMar>
              <w:top w:w="90" w:type="dxa"/>
              <w:start w:w="120" w:type="dxa"/>
              <w:bottom w:w="90" w:type="dxa"/>
              <w:end w:w="120" w:type="dxa"/>
            </w:tcMar>
            <w:vAlign w:val="center"/>
          </w:tcPr>
          <w:p>
            <w:pPr>
              <w:spacing w:after="0" w:line="240" w:lineRule="auto"/>
              <w:jc w:val="center"/>
            </w:pPr>
            <w:r>
              <w:rPr>
                <w:rFonts w:ascii="Calibri" w:hAnsi="Calibri"/>
                <w:b w:val="0"/>
                <w:i w:val="0"/>
                <w:color w:val="181B1E"/>
                <w:sz w:val="17"/>
              </w:rPr>
              <w:t>0.7263</w:t>
            </w:r>
          </w:p>
        </w:tc>
        <w:tc>
          <w:tcPr>
            <w:tcW w:type="dxa" w:w="1450"/>
            <w:tcMar>
              <w:top w:w="90" w:type="dxa"/>
              <w:start w:w="120" w:type="dxa"/>
              <w:bottom w:w="90" w:type="dxa"/>
              <w:end w:w="120" w:type="dxa"/>
            </w:tcMar>
            <w:vAlign w:val="center"/>
          </w:tcPr>
          <w:p>
            <w:pPr>
              <w:spacing w:after="0" w:line="240" w:lineRule="auto"/>
              <w:jc w:val="center"/>
            </w:pPr>
            <w:r>
              <w:rPr>
                <w:rFonts w:ascii="Calibri" w:hAnsi="Calibri"/>
                <w:b w:val="0"/>
                <w:i w:val="0"/>
                <w:color w:val="181B1E"/>
                <w:sz w:val="17"/>
              </w:rPr>
              <w:t>0.9569</w:t>
            </w:r>
          </w:p>
        </w:tc>
      </w:tr>
      <w:tr>
        <w:tc>
          <w:tcPr>
            <w:tcW w:type="dxa" w:w="1750"/>
            <w:tcMar>
              <w:top w:w="90" w:type="dxa"/>
              <w:start w:w="120" w:type="dxa"/>
              <w:bottom w:w="90" w:type="dxa"/>
              <w:end w:w="120" w:type="dxa"/>
            </w:tcMar>
            <w:vAlign w:val="center"/>
          </w:tcPr>
          <w:p>
            <w:pPr>
              <w:spacing w:after="0" w:line="240" w:lineRule="auto"/>
            </w:pPr>
            <w:r>
              <w:rPr>
                <w:rFonts w:ascii="Calibri" w:hAnsi="Calibri"/>
                <w:b w:val="0"/>
                <w:i w:val="0"/>
                <w:color w:val="181B1E"/>
                <w:sz w:val="17"/>
              </w:rPr>
              <w:t>mBERT</w:t>
            </w:r>
          </w:p>
        </w:tc>
        <w:tc>
          <w:tcPr>
            <w:tcW w:type="dxa" w:w="850"/>
            <w:tcMar>
              <w:top w:w="90" w:type="dxa"/>
              <w:start w:w="120" w:type="dxa"/>
              <w:bottom w:w="90" w:type="dxa"/>
              <w:end w:w="120" w:type="dxa"/>
            </w:tcMar>
            <w:vAlign w:val="center"/>
          </w:tcPr>
          <w:p>
            <w:pPr>
              <w:spacing w:after="0" w:line="240" w:lineRule="auto"/>
              <w:jc w:val="center"/>
            </w:pPr>
            <w:r>
              <w:rPr>
                <w:rFonts w:ascii="Calibri" w:hAnsi="Calibri"/>
                <w:b w:val="0"/>
                <w:i w:val="0"/>
                <w:color w:val="181B1E"/>
                <w:sz w:val="17"/>
              </w:rPr>
              <w:t>71</w:t>
            </w:r>
          </w:p>
        </w:tc>
        <w:tc>
          <w:tcPr>
            <w:tcW w:type="dxa" w:w="1350"/>
            <w:tcMar>
              <w:top w:w="90" w:type="dxa"/>
              <w:start w:w="120" w:type="dxa"/>
              <w:bottom w:w="90" w:type="dxa"/>
              <w:end w:w="120" w:type="dxa"/>
            </w:tcMar>
            <w:vAlign w:val="center"/>
          </w:tcPr>
          <w:p>
            <w:pPr>
              <w:spacing w:after="0" w:line="240" w:lineRule="auto"/>
              <w:jc w:val="center"/>
            </w:pPr>
            <w:r>
              <w:rPr>
                <w:rFonts w:ascii="Calibri" w:hAnsi="Calibri"/>
                <w:b w:val="0"/>
                <w:i w:val="0"/>
                <w:color w:val="181B1E"/>
                <w:sz w:val="17"/>
              </w:rPr>
              <w:t>0.0000</w:t>
            </w:r>
          </w:p>
        </w:tc>
        <w:tc>
          <w:tcPr>
            <w:tcW w:type="dxa" w:w="1350"/>
            <w:tcMar>
              <w:top w:w="90" w:type="dxa"/>
              <w:start w:w="120" w:type="dxa"/>
              <w:bottom w:w="90" w:type="dxa"/>
              <w:end w:w="120" w:type="dxa"/>
            </w:tcMar>
            <w:vAlign w:val="center"/>
          </w:tcPr>
          <w:p>
            <w:pPr>
              <w:spacing w:after="0" w:line="240" w:lineRule="auto"/>
              <w:jc w:val="center"/>
            </w:pPr>
            <w:r>
              <w:rPr>
                <w:rFonts w:ascii="Calibri" w:hAnsi="Calibri"/>
                <w:b w:val="0"/>
                <w:i w:val="0"/>
                <w:color w:val="181B1E"/>
                <w:sz w:val="17"/>
              </w:rPr>
              <w:t>0.0000</w:t>
            </w:r>
          </w:p>
        </w:tc>
        <w:tc>
          <w:tcPr>
            <w:tcW w:type="dxa" w:w="1450"/>
            <w:tcMar>
              <w:top w:w="90" w:type="dxa"/>
              <w:start w:w="120" w:type="dxa"/>
              <w:bottom w:w="90" w:type="dxa"/>
              <w:end w:w="120" w:type="dxa"/>
            </w:tcMar>
            <w:vAlign w:val="center"/>
          </w:tcPr>
          <w:p>
            <w:pPr>
              <w:spacing w:after="0" w:line="240" w:lineRule="auto"/>
              <w:jc w:val="center"/>
            </w:pPr>
            <w:r>
              <w:rPr>
                <w:rFonts w:ascii="Calibri" w:hAnsi="Calibri"/>
                <w:b w:val="0"/>
                <w:i w:val="0"/>
                <w:color w:val="181B1E"/>
                <w:sz w:val="17"/>
              </w:rPr>
              <w:t>0.0000</w:t>
            </w:r>
          </w:p>
        </w:tc>
        <w:tc>
          <w:tcPr>
            <w:tcW w:type="dxa" w:w="1400"/>
            <w:tcMar>
              <w:top w:w="90" w:type="dxa"/>
              <w:start w:w="120" w:type="dxa"/>
              <w:bottom w:w="90" w:type="dxa"/>
              <w:end w:w="120" w:type="dxa"/>
            </w:tcMar>
            <w:vAlign w:val="center"/>
          </w:tcPr>
          <w:p>
            <w:pPr>
              <w:spacing w:after="0" w:line="240" w:lineRule="auto"/>
              <w:jc w:val="center"/>
            </w:pPr>
            <w:r>
              <w:rPr>
                <w:rFonts w:ascii="Calibri" w:hAnsi="Calibri"/>
                <w:b w:val="0"/>
                <w:i w:val="0"/>
                <w:color w:val="181B1E"/>
                <w:sz w:val="17"/>
              </w:rPr>
              <w:t>0.7279</w:t>
            </w:r>
          </w:p>
        </w:tc>
        <w:tc>
          <w:tcPr>
            <w:tcW w:type="dxa" w:w="1450"/>
            <w:tcMar>
              <w:top w:w="90" w:type="dxa"/>
              <w:start w:w="120" w:type="dxa"/>
              <w:bottom w:w="90" w:type="dxa"/>
              <w:end w:w="120" w:type="dxa"/>
            </w:tcMar>
            <w:vAlign w:val="center"/>
          </w:tcPr>
          <w:p>
            <w:pPr>
              <w:spacing w:after="0" w:line="240" w:lineRule="auto"/>
              <w:jc w:val="center"/>
            </w:pPr>
            <w:r>
              <w:rPr>
                <w:rFonts w:ascii="Calibri" w:hAnsi="Calibri"/>
                <w:b w:val="0"/>
                <w:i w:val="0"/>
                <w:color w:val="181B1E"/>
                <w:sz w:val="17"/>
              </w:rPr>
              <w:t>0.9540</w:t>
            </w:r>
          </w:p>
        </w:tc>
      </w:tr>
      <w:tr>
        <w:tc>
          <w:tcPr>
            <w:tcW w:type="dxa" w:w="1750"/>
            <w:tcMar>
              <w:top w:w="90" w:type="dxa"/>
              <w:start w:w="120" w:type="dxa"/>
              <w:bottom w:w="90" w:type="dxa"/>
              <w:end w:w="120" w:type="dxa"/>
            </w:tcMar>
            <w:vAlign w:val="center"/>
          </w:tcPr>
          <w:p>
            <w:pPr>
              <w:spacing w:after="0" w:line="240" w:lineRule="auto"/>
            </w:pPr>
            <w:r>
              <w:rPr>
                <w:rFonts w:ascii="Calibri" w:hAnsi="Calibri"/>
                <w:b w:val="0"/>
                <w:i w:val="0"/>
                <w:color w:val="181B1E"/>
                <w:sz w:val="17"/>
              </w:rPr>
              <w:t>AraT5</w:t>
            </w:r>
          </w:p>
        </w:tc>
        <w:tc>
          <w:tcPr>
            <w:tcW w:type="dxa" w:w="850"/>
            <w:tcMar>
              <w:top w:w="90" w:type="dxa"/>
              <w:start w:w="120" w:type="dxa"/>
              <w:bottom w:w="90" w:type="dxa"/>
              <w:end w:w="120" w:type="dxa"/>
            </w:tcMar>
            <w:vAlign w:val="center"/>
          </w:tcPr>
          <w:p>
            <w:pPr>
              <w:spacing w:after="0" w:line="240" w:lineRule="auto"/>
              <w:jc w:val="center"/>
            </w:pPr>
            <w:r>
              <w:rPr>
                <w:rFonts w:ascii="Calibri" w:hAnsi="Calibri"/>
                <w:b w:val="0"/>
                <w:i w:val="0"/>
                <w:color w:val="181B1E"/>
                <w:sz w:val="17"/>
              </w:rPr>
              <w:t>71</w:t>
            </w:r>
          </w:p>
        </w:tc>
        <w:tc>
          <w:tcPr>
            <w:tcW w:type="dxa" w:w="1350"/>
            <w:tcMar>
              <w:top w:w="90" w:type="dxa"/>
              <w:start w:w="120" w:type="dxa"/>
              <w:bottom w:w="90" w:type="dxa"/>
              <w:end w:w="120" w:type="dxa"/>
            </w:tcMar>
            <w:vAlign w:val="center"/>
          </w:tcPr>
          <w:p>
            <w:pPr>
              <w:spacing w:after="0" w:line="240" w:lineRule="auto"/>
              <w:jc w:val="center"/>
            </w:pPr>
            <w:r>
              <w:rPr>
                <w:rFonts w:ascii="Calibri" w:hAnsi="Calibri"/>
                <w:b w:val="0"/>
                <w:i w:val="0"/>
                <w:color w:val="181B1E"/>
                <w:sz w:val="17"/>
              </w:rPr>
              <w:t>0.0000</w:t>
            </w:r>
          </w:p>
        </w:tc>
        <w:tc>
          <w:tcPr>
            <w:tcW w:type="dxa" w:w="1350"/>
            <w:tcMar>
              <w:top w:w="90" w:type="dxa"/>
              <w:start w:w="120" w:type="dxa"/>
              <w:bottom w:w="90" w:type="dxa"/>
              <w:end w:w="120" w:type="dxa"/>
            </w:tcMar>
            <w:vAlign w:val="center"/>
          </w:tcPr>
          <w:p>
            <w:pPr>
              <w:spacing w:after="0" w:line="240" w:lineRule="auto"/>
              <w:jc w:val="center"/>
            </w:pPr>
            <w:r>
              <w:rPr>
                <w:rFonts w:ascii="Calibri" w:hAnsi="Calibri"/>
                <w:b w:val="0"/>
                <w:i w:val="0"/>
                <w:color w:val="181B1E"/>
                <w:sz w:val="17"/>
              </w:rPr>
              <w:t>0.0000</w:t>
            </w:r>
          </w:p>
        </w:tc>
        <w:tc>
          <w:tcPr>
            <w:tcW w:type="dxa" w:w="1450"/>
            <w:tcMar>
              <w:top w:w="90" w:type="dxa"/>
              <w:start w:w="120" w:type="dxa"/>
              <w:bottom w:w="90" w:type="dxa"/>
              <w:end w:w="120" w:type="dxa"/>
            </w:tcMar>
            <w:vAlign w:val="center"/>
          </w:tcPr>
          <w:p>
            <w:pPr>
              <w:spacing w:after="0" w:line="240" w:lineRule="auto"/>
              <w:jc w:val="center"/>
            </w:pPr>
            <w:r>
              <w:rPr>
                <w:rFonts w:ascii="Calibri" w:hAnsi="Calibri"/>
                <w:b w:val="0"/>
                <w:i w:val="0"/>
                <w:color w:val="181B1E"/>
                <w:sz w:val="17"/>
              </w:rPr>
              <w:t>0.0000</w:t>
            </w:r>
          </w:p>
        </w:tc>
        <w:tc>
          <w:tcPr>
            <w:tcW w:type="dxa" w:w="1400"/>
            <w:tcMar>
              <w:top w:w="90" w:type="dxa"/>
              <w:start w:w="120" w:type="dxa"/>
              <w:bottom w:w="90" w:type="dxa"/>
              <w:end w:w="120" w:type="dxa"/>
            </w:tcMar>
            <w:vAlign w:val="center"/>
          </w:tcPr>
          <w:p>
            <w:pPr>
              <w:spacing w:after="0" w:line="240" w:lineRule="auto"/>
              <w:jc w:val="center"/>
            </w:pPr>
            <w:r>
              <w:rPr>
                <w:rFonts w:ascii="Calibri" w:hAnsi="Calibri"/>
                <w:b w:val="0"/>
                <w:i w:val="0"/>
                <w:color w:val="181B1E"/>
                <w:sz w:val="17"/>
              </w:rPr>
              <w:t>0.7101</w:t>
            </w:r>
          </w:p>
        </w:tc>
        <w:tc>
          <w:tcPr>
            <w:tcW w:type="dxa" w:w="1450"/>
            <w:tcMar>
              <w:top w:w="90" w:type="dxa"/>
              <w:start w:w="120" w:type="dxa"/>
              <w:bottom w:w="90" w:type="dxa"/>
              <w:end w:w="120" w:type="dxa"/>
            </w:tcMar>
            <w:vAlign w:val="center"/>
          </w:tcPr>
          <w:p>
            <w:pPr>
              <w:spacing w:after="0" w:line="240" w:lineRule="auto"/>
              <w:jc w:val="center"/>
            </w:pPr>
            <w:r>
              <w:rPr>
                <w:rFonts w:ascii="Calibri" w:hAnsi="Calibri"/>
                <w:b w:val="0"/>
                <w:i w:val="0"/>
                <w:color w:val="181B1E"/>
                <w:sz w:val="17"/>
              </w:rPr>
              <w:t>0.9575</w:t>
            </w:r>
          </w:p>
        </w:tc>
      </w:tr>
    </w:tbl>
    <w:p>
      <w:pPr>
        <w:spacing w:after="20"/>
      </w:pPr>
    </w:p>
    <w:p>
      <w:r>
        <w:rPr>
          <w:rFonts w:ascii="Calibri" w:hAnsi="Calibri"/>
          <w:b w:val="0"/>
          <w:i w:val="0"/>
          <w:color w:val="181B1E"/>
          <w:sz w:val="21"/>
        </w:rPr>
        <w:t>ROUGE values in this table use the first reference. BERTScore is first-reference F1. MoverScore uses the stored best-over-references field. The differing counts prevent a fully controlled ranking. AraT5 and mBERT show zero lexical overlap but non-zero semantic metrics; their generated outputs, decoding constraints, and tokenization should be inspected before publication.</w:t>
      </w:r>
    </w:p>
    <w:p>
      <w:r>
        <w:rPr>
          <w:rFonts w:ascii="Calibri" w:hAnsi="Calibri"/>
          <w:b w:val="0"/>
          <w:i w:val="0"/>
          <w:color w:val="181B1E"/>
          <w:sz w:val="21"/>
        </w:rPr>
        <w:t>The mT5 notebook also contains later exploratory decoding runs with different metrics. They are valuable experiment history but are not substituted into this primary table because the supplied result sheet identifies the table above as the overall comparison.</w:t>
      </w:r>
    </w:p>
    <w:p>
      <w:pPr>
        <w:pStyle w:val="Heading1"/>
      </w:pPr>
      <w:r>
        <w:t>9. Reproducibility assessment</w:t>
      </w:r>
    </w:p>
    <w:p>
      <w:pPr>
        <w:pStyle w:val="Heading2"/>
      </w:pPr>
      <w:r>
        <w:t>Strengths</w:t>
      </w:r>
    </w:p>
    <w:p>
      <w:pPr>
        <w:pStyle w:val="ReportBullet"/>
      </w:pPr>
      <w:r>
        <w:rPr>
          <w:rFonts w:ascii="Calibri" w:hAnsi="Calibri"/>
          <w:b w:val="0"/>
          <w:i w:val="0"/>
          <w:color w:val="181B1E"/>
          <w:sz w:val="21"/>
        </w:rPr>
        <w:t>fixed random seed in the main notebooks;</w:t>
      </w:r>
    </w:p>
    <w:p>
      <w:pPr>
        <w:pStyle w:val="ReportBullet"/>
      </w:pPr>
      <w:r>
        <w:rPr>
          <w:rFonts w:ascii="Calibri" w:hAnsi="Calibri"/>
          <w:b w:val="0"/>
          <w:i w:val="0"/>
          <w:color w:val="181B1E"/>
          <w:sz w:val="21"/>
        </w:rPr>
        <w:t>explicit model checkpoints and context budgets;</w:t>
      </w:r>
    </w:p>
    <w:p>
      <w:pPr>
        <w:pStyle w:val="ReportBullet"/>
      </w:pPr>
      <w:r>
        <w:rPr>
          <w:rFonts w:ascii="Calibri" w:hAnsi="Calibri"/>
          <w:b w:val="0"/>
          <w:i w:val="0"/>
          <w:color w:val="181B1E"/>
          <w:sz w:val="21"/>
        </w:rPr>
        <w:t>stored predictions, metrics, and output paths in the executed artifacts;</w:t>
      </w:r>
    </w:p>
    <w:p>
      <w:pPr>
        <w:pStyle w:val="ReportBullet"/>
      </w:pPr>
      <w:r>
        <w:rPr>
          <w:rFonts w:ascii="Calibri" w:hAnsi="Calibri"/>
          <w:b w:val="0"/>
          <w:i w:val="0"/>
          <w:color w:val="181B1E"/>
          <w:sz w:val="21"/>
        </w:rPr>
        <w:t>multi-metric and dual-reference evaluation code;</w:t>
      </w:r>
    </w:p>
    <w:p>
      <w:pPr>
        <w:pStyle w:val="ReportBullet"/>
      </w:pPr>
      <w:r>
        <w:rPr>
          <w:rFonts w:ascii="Calibri" w:hAnsi="Calibri"/>
          <w:b w:val="0"/>
          <w:i w:val="0"/>
          <w:color w:val="181B1E"/>
          <w:sz w:val="21"/>
        </w:rPr>
        <w:t>checkpointing, automatic resume, and mixed-precision controls;</w:t>
      </w:r>
    </w:p>
    <w:p>
      <w:pPr>
        <w:pStyle w:val="ReportBullet"/>
      </w:pPr>
      <w:r>
        <w:rPr>
          <w:rFonts w:ascii="Calibri" w:hAnsi="Calibri"/>
          <w:b w:val="0"/>
          <w:i w:val="0"/>
          <w:color w:val="181B1E"/>
          <w:sz w:val="21"/>
        </w:rPr>
        <w:t>clear model-family separation across notebooks.</w:t>
      </w:r>
    </w:p>
    <w:p>
      <w:pPr>
        <w:pStyle w:val="Heading2"/>
      </w:pPr>
      <w:r>
        <w:t>Open issues</w:t>
      </w:r>
    </w:p>
    <w:p>
      <w:pPr>
        <w:pStyle w:val="ReportBullet"/>
      </w:pPr>
      <w:r>
        <w:rPr>
          <w:rFonts w:ascii="Calibri" w:hAnsi="Calibri"/>
          <w:b w:val="0"/>
          <w:i w:val="0"/>
          <w:color w:val="181B1E"/>
          <w:sz w:val="21"/>
        </w:rPr>
        <w:t>execution counts were cleared while outputs remained;</w:t>
      </w:r>
    </w:p>
    <w:p>
      <w:pPr>
        <w:pStyle w:val="ReportBullet"/>
      </w:pPr>
      <w:r>
        <w:rPr>
          <w:rFonts w:ascii="Calibri" w:hAnsi="Calibri"/>
          <w:b w:val="0"/>
          <w:i w:val="0"/>
          <w:color w:val="181B1E"/>
          <w:sz w:val="21"/>
        </w:rPr>
        <w:t>sessions installed different library versions;</w:t>
      </w:r>
    </w:p>
    <w:p>
      <w:pPr>
        <w:pStyle w:val="ReportBullet"/>
      </w:pPr>
      <w:r>
        <w:rPr>
          <w:rFonts w:ascii="Calibri" w:hAnsi="Calibri"/>
          <w:b w:val="0"/>
          <w:i w:val="0"/>
          <w:color w:val="181B1E"/>
          <w:sz w:val="21"/>
        </w:rPr>
        <w:t>absolute Google Drive paths are embedded in experiment code;</w:t>
      </w:r>
    </w:p>
    <w:p>
      <w:pPr>
        <w:pStyle w:val="ReportBullet"/>
      </w:pPr>
      <w:r>
        <w:rPr>
          <w:rFonts w:ascii="Calibri" w:hAnsi="Calibri"/>
          <w:b w:val="0"/>
          <w:i w:val="0"/>
          <w:color w:val="181B1E"/>
          <w:sz w:val="21"/>
        </w:rPr>
        <w:t>train/test terminology and split provenance are ambiguous;</w:t>
      </w:r>
    </w:p>
    <w:p>
      <w:pPr>
        <w:pStyle w:val="ReportBullet"/>
      </w:pPr>
      <w:r>
        <w:rPr>
          <w:rFonts w:ascii="Calibri" w:hAnsi="Calibri"/>
          <w:b w:val="0"/>
          <w:i w:val="0"/>
          <w:color w:val="181B1E"/>
          <w:sz w:val="21"/>
        </w:rPr>
        <w:t>duplicate identifiers and exact duplicate inputs exist;</w:t>
      </w:r>
    </w:p>
    <w:p>
      <w:pPr>
        <w:pStyle w:val="ReportBullet"/>
      </w:pPr>
      <w:r>
        <w:rPr>
          <w:rFonts w:ascii="Calibri" w:hAnsi="Calibri"/>
          <w:b w:val="0"/>
          <w:i w:val="0"/>
          <w:color w:val="181B1E"/>
          <w:sz w:val="21"/>
        </w:rPr>
        <w:t>evaluation counts differ across models;</w:t>
      </w:r>
    </w:p>
    <w:p>
      <w:pPr>
        <w:pStyle w:val="ReportBullet"/>
      </w:pPr>
      <w:r>
        <w:rPr>
          <w:rFonts w:ascii="Calibri" w:hAnsi="Calibri"/>
          <w:b w:val="0"/>
          <w:i w:val="0"/>
          <w:color w:val="181B1E"/>
          <w:sz w:val="21"/>
        </w:rPr>
        <w:t>raw and processed checksums were not supplied;</w:t>
      </w:r>
    </w:p>
    <w:p>
      <w:pPr>
        <w:pStyle w:val="ReportBullet"/>
      </w:pPr>
      <w:r>
        <w:rPr>
          <w:rFonts w:ascii="Calibri" w:hAnsi="Calibri"/>
          <w:b w:val="0"/>
          <w:i w:val="0"/>
          <w:color w:val="181B1E"/>
          <w:sz w:val="21"/>
        </w:rPr>
        <w:t>full model checkpoints and prediction files were not included in the archive.</w:t>
      </w:r>
    </w:p>
    <w:p>
      <w:r>
        <w:rPr>
          <w:rFonts w:ascii="Calibri" w:hAnsi="Calibri"/>
          <w:b w:val="0"/>
          <w:i w:val="0"/>
          <w:color w:val="181B1E"/>
          <w:sz w:val="21"/>
        </w:rPr>
        <w:t>The repository adds a standard-library audit tool, sanitized notebooks, synthetic schema data, unit tests, aggregate metric files, a model registry, and a reproducibility checklist. Full scientific reproduction still requires authorized data, checkpoints or retraining compute, and one frozen evaluation protocol.</w:t>
      </w:r>
    </w:p>
    <w:p>
      <w:pPr>
        <w:pStyle w:val="Heading1"/>
      </w:pPr>
      <w:r>
        <w:t>10. Data quality, ethics, and release risk</w:t>
      </w:r>
    </w:p>
    <w:p>
      <w:r>
        <w:rPr>
          <w:rFonts w:ascii="Calibri" w:hAnsi="Calibri"/>
          <w:b w:val="0"/>
          <w:i w:val="0"/>
          <w:color w:val="181B1E"/>
          <w:sz w:val="21"/>
        </w:rPr>
        <w:t>News aggregation can preserve publisher text, personal information, political content, traumatic events, and page-level noise. A responsible public release should:</w:t>
      </w:r>
    </w:p>
    <w:p>
      <w:pPr>
        <w:pStyle w:val="ReportBullet"/>
      </w:pPr>
      <w:r>
        <w:rPr>
          <w:rFonts w:ascii="Calibri" w:hAnsi="Calibri"/>
          <w:b w:val="0"/>
          <w:i w:val="0"/>
          <w:color w:val="181B1E"/>
          <w:sz w:val="21"/>
        </w:rPr>
        <w:t>record source URL, publisher, timestamp, collection method, and rights basis;</w:t>
      </w:r>
    </w:p>
    <w:p>
      <w:pPr>
        <w:pStyle w:val="ReportBullet"/>
      </w:pPr>
      <w:r>
        <w:rPr>
          <w:rFonts w:ascii="Calibri" w:hAnsi="Calibri"/>
          <w:b w:val="0"/>
          <w:i w:val="0"/>
          <w:color w:val="181B1E"/>
          <w:sz w:val="21"/>
        </w:rPr>
        <w:t>remove login prompts, navigation text, advertisements, and unrelated snippets;</w:t>
      </w:r>
    </w:p>
    <w:p>
      <w:pPr>
        <w:pStyle w:val="ReportBullet"/>
      </w:pPr>
      <w:r>
        <w:rPr>
          <w:rFonts w:ascii="Calibri" w:hAnsi="Calibri"/>
          <w:b w:val="0"/>
          <w:i w:val="0"/>
          <w:color w:val="181B1E"/>
          <w:sz w:val="21"/>
        </w:rPr>
        <w:t>offer correction and takedown procedures;</w:t>
      </w:r>
    </w:p>
    <w:p>
      <w:pPr>
        <w:pStyle w:val="ReportBullet"/>
      </w:pPr>
      <w:r>
        <w:rPr>
          <w:rFonts w:ascii="Calibri" w:hAnsi="Calibri"/>
          <w:b w:val="0"/>
          <w:i w:val="0"/>
          <w:color w:val="181B1E"/>
          <w:sz w:val="21"/>
        </w:rPr>
        <w:t>document geographic, political, topical, and publisher-selection biases;</w:t>
      </w:r>
    </w:p>
    <w:p>
      <w:pPr>
        <w:pStyle w:val="ReportBullet"/>
      </w:pPr>
      <w:r>
        <w:rPr>
          <w:rFonts w:ascii="Calibri" w:hAnsi="Calibri"/>
          <w:b w:val="0"/>
          <w:i w:val="0"/>
          <w:color w:val="181B1E"/>
          <w:sz w:val="21"/>
        </w:rPr>
        <w:t>separate code, metadata, summaries, source text, and model artifacts under appropriate licenses;</w:t>
      </w:r>
    </w:p>
    <w:p>
      <w:pPr>
        <w:pStyle w:val="ReportBullet"/>
      </w:pPr>
      <w:r>
        <w:rPr>
          <w:rFonts w:ascii="Calibri" w:hAnsi="Calibri"/>
          <w:b w:val="0"/>
          <w:i w:val="0"/>
          <w:color w:val="181B1E"/>
          <w:sz w:val="21"/>
        </w:rPr>
        <w:t>avoid publishing full third-party articles until redistribution is authorized.</w:t>
      </w:r>
    </w:p>
    <w:p>
      <w:r>
        <w:rPr>
          <w:rFonts w:ascii="Calibri" w:hAnsi="Calibri"/>
          <w:b w:val="0"/>
          <w:i w:val="0"/>
          <w:color w:val="181B1E"/>
          <w:sz w:val="21"/>
        </w:rPr>
        <w:t>The repository therefore includes only a synthetic sample and non-textual audit metadata.</w:t>
      </w:r>
    </w:p>
    <w:p>
      <w:pPr>
        <w:pStyle w:val="Heading1"/>
      </w:pPr>
      <w:r>
        <w:t>11. Required work before publication</w:t>
      </w:r>
    </w:p>
    <w:p>
      <w:pPr>
        <w:pStyle w:val="ReportNumber"/>
        <w:numPr>
          <w:ilvl w:val="0"/>
          <w:numId w:val="11"/>
        </w:numPr>
      </w:pPr>
      <w:r>
        <w:rPr>
          <w:rFonts w:ascii="Calibri" w:hAnsi="Calibri"/>
          <w:b w:val="0"/>
          <w:i w:val="0"/>
          <w:color w:val="181B1E"/>
          <w:sz w:val="21"/>
        </w:rPr>
        <w:t>Build a canonical manifest with unique event and document IDs.</w:t>
      </w:r>
    </w:p>
    <w:p>
      <w:pPr>
        <w:pStyle w:val="ReportNumber"/>
        <w:numPr>
          <w:ilvl w:val="0"/>
          <w:numId w:val="11"/>
        </w:numPr>
      </w:pPr>
      <w:r>
        <w:rPr>
          <w:rFonts w:ascii="Calibri" w:hAnsi="Calibri"/>
          <w:b w:val="0"/>
          <w:i w:val="0"/>
          <w:color w:val="181B1E"/>
          <w:sz w:val="21"/>
        </w:rPr>
        <w:t>Reconcile 2,259 processed article slots with the reported 2,266 collected articles.</w:t>
      </w:r>
    </w:p>
    <w:p>
      <w:pPr>
        <w:pStyle w:val="ReportNumber"/>
        <w:numPr>
          <w:ilvl w:val="0"/>
          <w:numId w:val="11"/>
        </w:numPr>
      </w:pPr>
      <w:r>
        <w:rPr>
          <w:rFonts w:ascii="Calibri" w:hAnsi="Calibri"/>
          <w:b w:val="0"/>
          <w:i w:val="0"/>
          <w:color w:val="181B1E"/>
          <w:sz w:val="21"/>
        </w:rPr>
        <w:t>Explain or remove repeated IDs and exact duplicate inputs.</w:t>
      </w:r>
    </w:p>
    <w:p>
      <w:pPr>
        <w:pStyle w:val="ReportNumber"/>
        <w:numPr>
          <w:ilvl w:val="0"/>
          <w:numId w:val="11"/>
        </w:numPr>
      </w:pPr>
      <w:r>
        <w:rPr>
          <w:rFonts w:ascii="Calibri" w:hAnsi="Calibri"/>
          <w:b w:val="0"/>
          <w:i w:val="0"/>
          <w:color w:val="181B1E"/>
          <w:sz w:val="21"/>
        </w:rPr>
        <w:t>Freeze leakage-safe train, validation, and test splits.</w:t>
      </w:r>
    </w:p>
    <w:p>
      <w:pPr>
        <w:pStyle w:val="ReportNumber"/>
        <w:numPr>
          <w:ilvl w:val="0"/>
          <w:numId w:val="11"/>
        </w:numPr>
      </w:pPr>
      <w:r>
        <w:rPr>
          <w:rFonts w:ascii="Calibri" w:hAnsi="Calibri"/>
          <w:b w:val="0"/>
          <w:i w:val="0"/>
          <w:color w:val="181B1E"/>
          <w:sz w:val="21"/>
        </w:rPr>
        <w:t>Document event clustering and human-summary creation protocols.</w:t>
      </w:r>
    </w:p>
    <w:p>
      <w:pPr>
        <w:pStyle w:val="ReportNumber"/>
        <w:numPr>
          <w:ilvl w:val="0"/>
          <w:numId w:val="11"/>
        </w:numPr>
      </w:pPr>
      <w:r>
        <w:rPr>
          <w:rFonts w:ascii="Calibri" w:hAnsi="Calibri"/>
          <w:b w:val="0"/>
          <w:i w:val="0"/>
          <w:color w:val="181B1E"/>
          <w:sz w:val="21"/>
        </w:rPr>
        <w:t>Run all baselines from one environment and shared evaluation script.</w:t>
      </w:r>
    </w:p>
    <w:p>
      <w:pPr>
        <w:pStyle w:val="ReportNumber"/>
        <w:numPr>
          <w:ilvl w:val="0"/>
          <w:numId w:val="11"/>
        </w:numPr>
      </w:pPr>
      <w:r>
        <w:rPr>
          <w:rFonts w:ascii="Calibri" w:hAnsi="Calibri"/>
          <w:b w:val="0"/>
          <w:i w:val="0"/>
          <w:color w:val="181B1E"/>
          <w:sz w:val="21"/>
        </w:rPr>
        <w:t>Add human evaluation for factuality, coverage, fluency, and cross-document synthesis.</w:t>
      </w:r>
    </w:p>
    <w:p>
      <w:pPr>
        <w:pStyle w:val="ReportNumber"/>
        <w:numPr>
          <w:ilvl w:val="0"/>
          <w:numId w:val="11"/>
        </w:numPr>
      </w:pPr>
      <w:r>
        <w:rPr>
          <w:rFonts w:ascii="Calibri" w:hAnsi="Calibri"/>
          <w:b w:val="0"/>
          <w:i w:val="0"/>
          <w:color w:val="181B1E"/>
          <w:sz w:val="21"/>
        </w:rPr>
        <w:t>Complete source-rights and dataset-license review.</w:t>
      </w:r>
    </w:p>
    <w:p>
      <w:pPr>
        <w:pStyle w:val="ReportNumber"/>
        <w:numPr>
          <w:ilvl w:val="0"/>
          <w:numId w:val="11"/>
        </w:numPr>
      </w:pPr>
      <w:r>
        <w:rPr>
          <w:rFonts w:ascii="Calibri" w:hAnsi="Calibri"/>
          <w:b w:val="0"/>
          <w:i w:val="0"/>
          <w:color w:val="181B1E"/>
          <w:sz w:val="21"/>
        </w:rPr>
        <w:t>Publish checksums, run manifests, code revision, hardware, and per-example predictions where permitted.</w:t>
      </w:r>
    </w:p>
    <w:p>
      <w:pPr>
        <w:pStyle w:val="ReportNumber"/>
        <w:numPr>
          <w:ilvl w:val="0"/>
          <w:numId w:val="11"/>
        </w:numPr>
      </w:pPr>
      <w:r>
        <w:rPr>
          <w:rFonts w:ascii="Calibri" w:hAnsi="Calibri"/>
          <w:b w:val="0"/>
          <w:i w:val="0"/>
          <w:color w:val="181B1E"/>
          <w:sz w:val="21"/>
        </w:rPr>
        <w:t>Replace the provisional citation with a paper, preprint, or DOI.</w:t>
      </w:r>
    </w:p>
    <w:p>
      <w:pPr>
        <w:pStyle w:val="Heading1"/>
      </w:pPr>
      <w:r>
        <w:t>12. Conclusion</w:t>
      </w:r>
    </w:p>
    <w:p>
      <w:r>
        <w:rPr>
          <w:rFonts w:ascii="Calibri" w:hAnsi="Calibri"/>
          <w:b w:val="0"/>
          <w:i w:val="0"/>
          <w:color w:val="181B1E"/>
          <w:sz w:val="21"/>
        </w:rPr>
        <w:t>Ara25 is a substantial Arabic NLP research asset with a distinctive long-context, multi-document, abstractive design and a useful collection of model experiments. Its strongest current value is not an unqualified “first” claim, but the concrete combination of event-level multi-source inputs, long context, human summaries, dual-reference evaluation, and transparent baseline work. The audit findings provide a credible path from an ambitious private research archive to a defensible public benchmark and portfolio artifact.</w:t>
      </w:r>
    </w:p>
    <w:p>
      <w:pPr>
        <w:pStyle w:val="Heading1"/>
      </w:pPr>
      <w:r>
        <w:t>References</w:t>
      </w:r>
    </w:p>
    <w:p>
      <w:pPr>
        <w:pStyle w:val="ReportNumber"/>
        <w:numPr>
          <w:ilvl w:val="0"/>
          <w:numId w:val="12"/>
        </w:numPr>
      </w:pPr>
      <w:r>
        <w:rPr>
          <w:rFonts w:ascii="Calibri" w:hAnsi="Calibri"/>
          <w:b w:val="0"/>
          <w:i w:val="0"/>
          <w:color w:val="181B1E"/>
          <w:sz w:val="21"/>
        </w:rPr>
        <w:t>El-Haj, M., Kruschwitz, U., and Fox, C. EASC: Essex Arabic Summaries Corpus. Repository: https://github.com/ArabicNLP-UK/EASC</w:t>
      </w:r>
    </w:p>
    <w:p>
      <w:pPr>
        <w:pStyle w:val="ReportNumber"/>
        <w:numPr>
          <w:ilvl w:val="0"/>
          <w:numId w:val="12"/>
        </w:numPr>
      </w:pPr>
      <w:r>
        <w:rPr>
          <w:rFonts w:ascii="Calibri" w:hAnsi="Calibri"/>
          <w:b w:val="0"/>
          <w:i w:val="0"/>
          <w:color w:val="181B1E"/>
          <w:sz w:val="21"/>
        </w:rPr>
        <w:t xml:space="preserve">Li, L. et al. (2013). </w:t>
      </w:r>
      <w:r>
        <w:rPr>
          <w:rFonts w:ascii="Calibri" w:hAnsi="Calibri"/>
          <w:b w:val="0"/>
          <w:i/>
          <w:color w:val="181B1E"/>
          <w:sz w:val="21"/>
        </w:rPr>
        <w:t>Multi-document multilingual summarization corpus preparation, Part 1: Arabic, English, Greek, Chinese, Romanian.</w:t>
      </w:r>
      <w:r>
        <w:rPr>
          <w:rFonts w:ascii="Calibri" w:hAnsi="Calibri"/>
          <w:b w:val="0"/>
          <w:i w:val="0"/>
          <w:color w:val="181B1E"/>
          <w:sz w:val="21"/>
        </w:rPr>
        <w:t xml:space="preserve"> MultiLing 2013. https://aclanthology.org/W13-3101/</w:t>
      </w:r>
    </w:p>
    <w:p>
      <w:pPr>
        <w:pStyle w:val="ReportNumber"/>
        <w:numPr>
          <w:ilvl w:val="0"/>
          <w:numId w:val="12"/>
        </w:numPr>
      </w:pPr>
      <w:r>
        <w:rPr>
          <w:rFonts w:ascii="Calibri" w:hAnsi="Calibri"/>
          <w:b w:val="0"/>
          <w:i w:val="0"/>
          <w:color w:val="181B1E"/>
          <w:sz w:val="21"/>
        </w:rPr>
        <w:t xml:space="preserve">Alhamadani, A. et al. (2023). </w:t>
      </w:r>
      <w:r>
        <w:rPr>
          <w:rFonts w:ascii="Calibri" w:hAnsi="Calibri"/>
          <w:b w:val="0"/>
          <w:i/>
          <w:color w:val="181B1E"/>
          <w:sz w:val="21"/>
        </w:rPr>
        <w:t>LANS: Large-scale Arabic News Summarization Corpus.</w:t>
      </w:r>
      <w:r>
        <w:rPr>
          <w:rFonts w:ascii="Calibri" w:hAnsi="Calibri"/>
          <w:b w:val="0"/>
          <w:i w:val="0"/>
          <w:color w:val="181B1E"/>
          <w:sz w:val="21"/>
        </w:rPr>
        <w:t xml:space="preserve"> ArabicNLP 2023. https://aclanthology.org/2023.arabicnlp-1.8/</w:t>
      </w:r>
    </w:p>
    <w:p>
      <w:pPr>
        <w:pStyle w:val="ReportNumber"/>
        <w:numPr>
          <w:ilvl w:val="0"/>
          <w:numId w:val="12"/>
        </w:numPr>
      </w:pPr>
      <w:r>
        <w:rPr>
          <w:rFonts w:ascii="Calibri" w:hAnsi="Calibri"/>
          <w:b w:val="0"/>
          <w:i w:val="0"/>
          <w:color w:val="181B1E"/>
          <w:sz w:val="21"/>
        </w:rPr>
        <w:t xml:space="preserve">Wolhandler, R. et al. (2022). </w:t>
      </w:r>
      <w:r>
        <w:rPr>
          <w:rFonts w:ascii="Calibri" w:hAnsi="Calibri"/>
          <w:b w:val="0"/>
          <w:i/>
          <w:color w:val="181B1E"/>
          <w:sz w:val="21"/>
        </w:rPr>
        <w:t>How “Multi” is Multi-Document Summarization?</w:t>
      </w:r>
      <w:r>
        <w:rPr>
          <w:rFonts w:ascii="Calibri" w:hAnsi="Calibri"/>
          <w:b w:val="0"/>
          <w:i w:val="0"/>
          <w:color w:val="181B1E"/>
          <w:sz w:val="21"/>
        </w:rPr>
        <w:t xml:space="preserve"> EMNLP 2022. https://aclanthology.org/2022.emnlp-main.389/</w:t>
      </w:r>
    </w:p>
    <w:sectPr w:rsidR="00FC693F" w:rsidRPr="0006063C" w:rsidSect="00034616">
      <w:headerReference w:type="default" r:id="rId9"/>
      <w:footerReference w:type="default" r:id="rId10"/>
      <w:pgSz w:w="11909" w:h="16834"/>
      <w:pgMar w:top="1123" w:right="1152" w:bottom="1123" w:left="1152"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35C64"/>
        <w:sz w:val="17"/>
      </w:rPr>
      <w:t xml:space="preserve">Amer A. Al-Dulame  ·  Page </w:t>
    </w:r>
    <w:r>
      <w:rPr>
        <w:rFonts w:ascii="Calibri" w:hAnsi="Calibri"/>
        <w:b w:val="0"/>
        <w:i w:val="0"/>
        <w:color w:val="535C64"/>
        <w:sz w:val="17"/>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3" w:color="B8C8D4"/>
      </w:pBdr>
    </w:pPr>
    <w:r>
      <w:rPr>
        <w:rFonts w:ascii="Calibri" w:hAnsi="Calibri"/>
        <w:b/>
        <w:i w:val="0"/>
        <w:color w:val="535C64"/>
        <w:sz w:val="17"/>
      </w:rPr>
      <w:t>ARA25  |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60"/>
      </w:pPr>
    </w:lvl>
  </w:abstractNum>
  <w:num w:numId="10">
    <w:abstractNumId w:val="9"/>
  </w:num>
  <w:abstractNum w:abstractNumId="10">
    <w:multiLevelType w:val="singleLevel"/>
    <w:lvl w:ilvl="0">
      <w:start w:val="1"/>
      <w:numFmt w:val="decimal"/>
      <w:lvlText w:val="%1."/>
      <w:suff w:val="tab"/>
      <w:pPr>
        <w:tabs>
          <w:tab w:val="num" w:pos="540"/>
        </w:tabs>
        <w:ind w:left="540" w:hanging="260"/>
      </w:pPr>
    </w:lvl>
  </w:abstractNum>
  <w:num w:numId="11">
    <w:abstractNumId w:val="10"/>
  </w:num>
  <w:abstractNum w:abstractNumId="11">
    <w:multiLevelType w:val="singleLevel"/>
    <w:lvl w:ilvl="0">
      <w:start w:val="1"/>
      <w:numFmt w:val="decimal"/>
      <w:lvlText w:val="%1."/>
      <w:suff w:val="tab"/>
      <w:pPr>
        <w:tabs>
          <w:tab w:val="num" w:pos="540"/>
        </w:tabs>
        <w:ind w:left="540" w:hanging="26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81B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06799"/>
      <w:sz w:val="31"/>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6799"/>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0F2D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Bullet">
    <w:name w:val="Report Bullet"/>
    <w:basedOn w:val="ListBullet"/>
    <w:pPr>
      <w:spacing w:after="80" w:line="264" w:lineRule="auto"/>
      <w:ind w:left="461" w:hanging="259"/>
    </w:pPr>
    <w:rPr>
      <w:rFonts w:ascii="Calibri" w:hAnsi="Calibri"/>
      <w:sz w:val="21"/>
    </w:rPr>
  </w:style>
  <w:style w:type="paragraph" w:customStyle="1" w:styleId="ReportNumber">
    <w:name w:val="Report Number"/>
    <w:basedOn w:val="ListNumber"/>
    <w:pPr>
      <w:spacing w:after="80" w:line="264" w:lineRule="auto"/>
      <w:ind w:left="461" w:hanging="259"/>
    </w:pPr>
    <w:rPr>
      <w:rFonts w:ascii="Calibri" w:hAnsi="Calibri"/>
      <w:sz w:val="21"/>
    </w:rPr>
  </w:style>
  <w:style w:type="paragraph" w:customStyle="1" w:styleId="ReportQuote">
    <w:name w:val="Report Quote"/>
    <w:basedOn w:val="Normal"/>
    <w:pPr>
      <w:spacing w:before="80" w:after="160"/>
      <w:ind w:left="403" w:right="259"/>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Ara25 Technical Report</dc:title>
  <dc:subject>Arabic long-context multi-document abstractive summarization</dc:subject>
  <dc:creator>Amer A. Al-Dulame</dc:creator>
  <cp:keywords/>
  <dc:description>generated by python-docx</dc:description>
  <cp:lastModifiedBy/>
  <cp:revision>1</cp:revision>
  <dcterms:created xsi:type="dcterms:W3CDTF">2013-12-23T23:15:00Z</dcterms:created>
  <dcterms:modified xsi:type="dcterms:W3CDTF">2013-12-23T23:15:00Z</dcterms:modified>
  <cp:category/>
</cp:coreProperties>
</file>