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52"/>
        </w:rPr>
        <w:t>HatTrick (HAT) — Whitepaper</w:t>
      </w:r>
    </w:p>
    <w:p>
      <w:r>
        <w:rPr>
          <w:b/>
          <w:color w:val="CD7F32"/>
          <w:sz w:val="36"/>
        </w:rPr>
        <w:t>1. Token Specifications &amp; Tokenomics</w:t>
      </w:r>
    </w:p>
    <w:p>
      <w:r>
        <w:rPr>
          <w:b w:val="0"/>
          <w:color w:val="222222"/>
          <w:sz w:val="22"/>
        </w:rPr>
        <w:t>Name: Hattrick Token (read “haTrick”)</w:t>
      </w:r>
    </w:p>
    <w:p>
      <w:r>
        <w:rPr>
          <w:b w:val="0"/>
          <w:color w:val="222222"/>
          <w:sz w:val="22"/>
        </w:rPr>
        <w:t>Symbol: HAT    |    Decimals: 18    |    Initial Supply: 1,000,000,000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Allocation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500,000,000 HAT</w:t>
            </w:r>
          </w:p>
        </w:tc>
        <w:tc>
          <w:tcPr>
            <w:tcW w:type="dxa" w:w="2880"/>
          </w:tcPr>
          <w:p>
            <w:r>
              <w:t>Liquidity Pools (HAT/BNB &amp; HAT/USDT)</w:t>
            </w:r>
          </w:p>
        </w:tc>
      </w:tr>
      <w:tr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200,000,000 HAT</w:t>
            </w:r>
          </w:p>
        </w:tc>
        <w:tc>
          <w:tcPr>
            <w:tcW w:type="dxa" w:w="2880"/>
          </w:tcPr>
          <w:p>
            <w:r>
              <w:t>Team Vesting</w:t>
            </w:r>
          </w:p>
        </w:tc>
      </w:tr>
      <w:tr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200,000,000 HAT</w:t>
            </w:r>
          </w:p>
        </w:tc>
        <w:tc>
          <w:tcPr>
            <w:tcW w:type="dxa" w:w="2880"/>
          </w:tcPr>
          <w:p>
            <w:r>
              <w:t>Reserve for Future Programs &amp; Use Cases (incl. burn)</w:t>
            </w:r>
          </w:p>
        </w:tc>
      </w:tr>
      <w:tr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100,000,000 HAT</w:t>
            </w:r>
          </w:p>
        </w:tc>
        <w:tc>
          <w:tcPr>
            <w:tcW w:type="dxa" w:w="2880"/>
          </w:tcPr>
          <w:p>
            <w:r>
              <w:t>Gamified Earnings (Pixel Hunt Airdrops)</w:t>
            </w:r>
          </w:p>
        </w:tc>
      </w:tr>
    </w:tbl>
    <w:p>
      <w:r>
        <w:rPr>
          <w:b/>
          <w:color w:val="CD7F32"/>
          <w:sz w:val="36"/>
        </w:rPr>
        <w:t>2. Token Utility &amp; Use Cases</w:t>
      </w:r>
    </w:p>
    <w:p>
      <w:r>
        <w:rPr>
          <w:b w:val="0"/>
          <w:color w:val="222222"/>
          <w:sz w:val="22"/>
        </w:rPr>
        <w:t>• Decentralized Trading: swap HAT on PancakeSwap for market-driven price discovery.</w:t>
      </w:r>
    </w:p>
    <w:p>
      <w:r>
        <w:rPr>
          <w:b w:val="0"/>
          <w:color w:val="222222"/>
          <w:sz w:val="22"/>
        </w:rPr>
        <w:t>• Off-Chain Conversions: HAT → digital minerals (silver first) and cash credits in the haTrick platform.</w:t>
      </w:r>
    </w:p>
    <w:p>
      <w:r>
        <w:rPr>
          <w:b w:val="0"/>
          <w:color w:val="222222"/>
          <w:sz w:val="22"/>
        </w:rPr>
        <w:t>• Staking (Phase 2+): earn HAT/mineral credits/cash rewards funded by treasury yields.</w:t>
      </w:r>
    </w:p>
    <w:p>
      <w:r>
        <w:rPr>
          <w:b w:val="0"/>
          <w:color w:val="222222"/>
          <w:sz w:val="22"/>
        </w:rPr>
        <w:t>• Liquidity Participation: provide HAT/BNB or HAT/USDT to earn swap fees; treasury incentives early on.</w:t>
      </w:r>
    </w:p>
    <w:p>
      <w:r>
        <w:rPr>
          <w:b w:val="0"/>
          <w:color w:val="222222"/>
          <w:sz w:val="22"/>
        </w:rPr>
        <w:t>• Web3 DApp: wallet-connect buy/swap/LP flows.</w:t>
      </w:r>
    </w:p>
    <w:p>
      <w:r>
        <w:rPr>
          <w:b/>
          <w:color w:val="CD7F32"/>
          <w:sz w:val="36"/>
        </w:rPr>
        <w:t>3. Modular Architecture (High-Level)</w:t>
      </w:r>
    </w:p>
    <w:p>
      <w:r>
        <w:rPr>
          <w:b w:val="0"/>
          <w:color w:val="222222"/>
          <w:sz w:val="22"/>
        </w:rPr>
        <w:t>Upgradeable modules (UUPS). TokenGateway is the single admin touchpoint; controllers enforce policy. Low-level internals remain proprietary.</w:t>
      </w:r>
    </w:p>
    <w:p>
      <w:r>
        <w:rPr>
          <w:b/>
          <w:color w:val="CD7F32"/>
          <w:sz w:val="36"/>
        </w:rPr>
        <w:t>4. Launch Controls &amp; Anti‑Whale — 7 Oct Build</w:t>
      </w:r>
    </w:p>
    <w:p>
      <w:r>
        <w:rPr>
          <w:b/>
          <w:color w:val="D4AF37"/>
          <w:sz w:val="22"/>
        </w:rPr>
        <w:t>EarlyBird no longer relies on TransferController.maxWalletAmount. The global wallet cap is deferred until EarlyBird ends.</w:t>
      </w:r>
    </w:p>
    <w:p>
      <w:r>
        <w:rPr>
          <w:b w:val="0"/>
          <w:color w:val="222222"/>
          <w:sz w:val="22"/>
        </w:rPr>
        <w:t>Per‑pair quote caps by tier (oracle‑free): Each EarlyBird tier has USDT/BNB caps configured in EarlyBirdProgram via setTierPairLimit. For a given HAT transfer ΔHAT, the controller converts to the pair quote using current pair price and applies a 0.25% fee haircut before enforcing the cap (to reflect AMM fees).</w:t>
      </w:r>
    </w:p>
    <w:p>
      <w:r>
        <w:rPr>
          <w:b w:val="0"/>
          <w:color w:val="222222"/>
          <w:sz w:val="22"/>
        </w:rPr>
        <w:t>Enforcement (per pair): quoteValue = price(HAT→QUOTE) × ΔHAT × (1 − 0.0025) must be ≤ tierPairLimit(memberTier(sender), pair).</w:t>
      </w:r>
    </w:p>
    <w:p>
      <w:r>
        <w:rPr>
          <w:b/>
          <w:color w:val="D4AF37"/>
          <w:sz w:val="22"/>
        </w:rPr>
        <w:t>New APIs: setTierPairLimit(tierId, pair, capQuoteUnits), tierPairLimit(tierId, pair), memberTier(addr).</w:t>
      </w:r>
    </w:p>
    <w:p>
      <w:r>
        <w:rPr>
          <w:b w:val="0"/>
          <w:color w:val="222222"/>
          <w:sz w:val="22"/>
        </w:rPr>
        <w:t>Operational requirement: call TransferController.setEarlyBirdProgram(&lt;address&gt;) after deployment/upgrades to wire the program.</w:t>
      </w:r>
    </w:p>
    <w:p>
      <w:r>
        <w:rPr>
          <w:b w:val="0"/>
          <w:color w:val="222222"/>
          <w:sz w:val="22"/>
        </w:rPr>
        <w:t>Post‑EarlyBird: governance can re‑enable global maxWallet logic or switch to an oracle‑driven USD limit (preferred long‑term).</w:t>
      </w:r>
    </w:p>
    <w:p>
      <w:r>
        <w:rPr>
          <w:b w:val="0"/>
          <w:color w:val="222222"/>
          <w:sz w:val="22"/>
        </w:rPr>
        <w:t>This is an interim, oracle‑free solution that prevents abuse during EarlyBird while keeping trading open (no sell blocks).</w:t>
      </w:r>
    </w:p>
    <w:p>
      <w:r>
        <w:rPr>
          <w:b/>
          <w:color w:val="CD7F32"/>
          <w:sz w:val="36"/>
        </w:rPr>
        <w:t>5. EarlyBird Tier Program (On‑Chain)</w:t>
      </w:r>
    </w:p>
    <w:p>
      <w:r>
        <w:rPr>
          <w:b w:val="0"/>
          <w:color w:val="222222"/>
          <w:sz w:val="22"/>
        </w:rPr>
        <w:t>USDT payments settle to multisig; tiers set deterministic unlock waves and tier‑specific caps, exposed by public getters.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USDT Fee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Unlock Wave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Per‑Pair Caps (Quote)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10 USDT</w:t>
            </w:r>
          </w:p>
        </w:tc>
        <w:tc>
          <w:tcPr>
            <w:tcW w:type="dxa" w:w="2160"/>
          </w:tcPr>
          <w:p>
            <w:r>
              <w:t>Month 3</w:t>
            </w:r>
          </w:p>
        </w:tc>
        <w:tc>
          <w:tcPr>
            <w:tcW w:type="dxa" w:w="2160"/>
          </w:tcPr>
          <w:p>
            <w:r>
              <w:t>Caps set via setTierPairLimit (USDT &amp; BNB)</w:t>
            </w:r>
          </w:p>
        </w:tc>
      </w:tr>
      <w:tr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50 USDT</w:t>
            </w:r>
          </w:p>
        </w:tc>
        <w:tc>
          <w:tcPr>
            <w:tcW w:type="dxa" w:w="2160"/>
          </w:tcPr>
          <w:p>
            <w:r>
              <w:t>Month 2</w:t>
            </w:r>
          </w:p>
        </w:tc>
        <w:tc>
          <w:tcPr>
            <w:tcW w:type="dxa" w:w="2160"/>
          </w:tcPr>
          <w:p>
            <w:r>
              <w:t>Caps set via setTierPairLimit (USDT &amp; BNB)</w:t>
            </w:r>
          </w:p>
        </w:tc>
      </w:tr>
      <w:tr>
        <w:tc>
          <w:tcPr>
            <w:tcW w:type="dxa" w:w="2160"/>
          </w:tcPr>
          <w:p>
            <w:r>
              <w:t>Platinum</w:t>
            </w:r>
          </w:p>
        </w:tc>
        <w:tc>
          <w:tcPr>
            <w:tcW w:type="dxa" w:w="2160"/>
          </w:tcPr>
          <w:p>
            <w:r>
              <w:t>100 USDT</w:t>
            </w:r>
          </w:p>
        </w:tc>
        <w:tc>
          <w:tcPr>
            <w:tcW w:type="dxa" w:w="2160"/>
          </w:tcPr>
          <w:p>
            <w:r>
              <w:t>Month 1</w:t>
            </w:r>
          </w:p>
        </w:tc>
        <w:tc>
          <w:tcPr>
            <w:tcW w:type="dxa" w:w="2160"/>
          </w:tcPr>
          <w:p>
            <w:r>
              <w:t>Caps set via setTierPairLimit (USDT &amp; BNB)</w:t>
            </w:r>
          </w:p>
        </w:tc>
      </w:tr>
    </w:tbl>
    <w:p>
      <w:r>
        <w:rPr>
          <w:b w:val="0"/>
          <w:color w:val="222222"/>
          <w:sz w:val="22"/>
        </w:rPr>
        <w:t>Interfaces: payTier(tierId); tierInfo(tierId); memberInfo(addr); assignTierOffchain(addr,tierId,amountCollected,note).</w:t>
      </w:r>
    </w:p>
    <w:p>
      <w:r>
        <w:rPr>
          <w:b w:val="0"/>
          <w:color w:val="222222"/>
          <w:sz w:val="22"/>
        </w:rPr>
        <w:t>Transparency: on‑chain payment proofs for enrollments; stored audit notes for manual entries.</w:t>
      </w:r>
    </w:p>
    <w:p>
      <w:r>
        <w:rPr>
          <w:b/>
          <w:color w:val="CD7F32"/>
          <w:sz w:val="36"/>
        </w:rPr>
        <w:t>6. Gradual Liquidity Strategy</w:t>
      </w:r>
    </w:p>
    <w:p>
      <w:r>
        <w:rPr>
          <w:b w:val="0"/>
          <w:color w:val="222222"/>
          <w:sz w:val="22"/>
        </w:rPr>
        <w:t>• Publish pair and treasury addresses; maintain public dashboards (TVL, volume, slippage).</w:t>
      </w:r>
    </w:p>
    <w:p>
      <w:r>
        <w:rPr>
          <w:b w:val="0"/>
          <w:color w:val="222222"/>
          <w:sz w:val="22"/>
        </w:rPr>
        <w:t>• Schedule liquidity top‑ups as depth and volume grow; announce adds/removals with tx links.</w:t>
      </w:r>
    </w:p>
    <w:p>
      <w:r>
        <w:rPr>
          <w:b w:val="0"/>
          <w:color w:val="222222"/>
          <w:sz w:val="22"/>
        </w:rPr>
        <w:t>• Treasury stakes LP in Farms and stakes harvested CAKE (Syrup/Auto‑CAKE) under multisig custody.</w:t>
      </w:r>
    </w:p>
    <w:p>
      <w:r>
        <w:rPr>
          <w:b/>
          <w:color w:val="CD7F32"/>
          <w:sz w:val="36"/>
        </w:rPr>
        <w:t>7. Liquidity Farming &amp; CAKE Staking Policy</w:t>
      </w:r>
    </w:p>
    <w:p>
      <w:r>
        <w:rPr>
          <w:b w:val="0"/>
          <w:color w:val="222222"/>
          <w:sz w:val="22"/>
        </w:rPr>
        <w:t>• LP Fee Income (v2) + Farm Income (CAKE) + CAKE Staking Income.</w:t>
      </w:r>
    </w:p>
    <w:p>
      <w:r>
        <w:rPr>
          <w:b w:val="0"/>
          <w:color w:val="222222"/>
          <w:sz w:val="22"/>
        </w:rPr>
        <w:t>• Custody: Gnosis Safe multisig; time‑boxed/timelock procedures for withdrawals.</w:t>
      </w:r>
    </w:p>
    <w:p>
      <w:r>
        <w:rPr>
          <w:b w:val="0"/>
          <w:color w:val="222222"/>
          <w:sz w:val="22"/>
        </w:rPr>
        <w:t>• Reporting: monthly treasury yield reports with tx links.</w:t>
      </w:r>
    </w:p>
    <w:p>
      <w:r>
        <w:rPr>
          <w:b/>
          <w:color w:val="CD7F32"/>
          <w:sz w:val="36"/>
        </w:rPr>
        <w:t>8. Upgrade &amp; Operations Runbook</w:t>
      </w:r>
    </w:p>
    <w:p>
      <w:r>
        <w:rPr>
          <w:b w:val="0"/>
          <w:color w:val="222222"/>
          <w:sz w:val="22"/>
        </w:rPr>
        <w:t>• Safe hand‑off → UUPS upgrades (EarlyBirdProgram / TransferController / TokenGateway) → Safe return.</w:t>
      </w:r>
    </w:p>
    <w:p>
      <w:r>
        <w:rPr>
          <w:b w:val="0"/>
          <w:color w:val="222222"/>
          <w:sz w:val="22"/>
        </w:rPr>
        <w:t>• Post‑deploy wiring: TransferController.setEarlyBirdProgram(&lt;EarlyBirdProgramProxy&gt;).</w:t>
      </w:r>
    </w:p>
    <w:p>
      <w:r>
        <w:rPr>
          <w:b w:val="0"/>
          <w:color w:val="222222"/>
          <w:sz w:val="22"/>
        </w:rPr>
        <w:t>• Configure caps: EarlyBirdProgram.setTierPairLimit(Starter, USDT, 10e6); setTierPairLimit(Starter, BNB, &lt;10‑USDT‑equiv&gt;); repeat for Gold=50, Platinum=100.</w:t>
      </w:r>
    </w:p>
    <w:p>
      <w:r>
        <w:rPr>
          <w:b w:val="0"/>
          <w:color w:val="222222"/>
          <w:sz w:val="22"/>
        </w:rPr>
        <w:t>• Verify: tierPairLimit(...) &amp; memberTier(...); dry‑run transfers check 0.25% haircut enforcement.</w:t>
      </w:r>
    </w:p>
    <w:p>
      <w:r>
        <w:rPr>
          <w:b w:val="0"/>
          <w:color w:val="222222"/>
          <w:sz w:val="22"/>
        </w:rPr>
        <w:t>• Sunset: at EarlyBird end, remove per‑pair caps; enable global maxWallet or switch to oracle‑USD limit; publish tx hashes.</w:t>
      </w:r>
    </w:p>
    <w:p>
      <w:r>
        <w:rPr>
          <w:b/>
          <w:color w:val="CD7F32"/>
          <w:sz w:val="36"/>
        </w:rPr>
        <w:t>9. Roadmap &amp; Milestones (excerpt)</w:t>
      </w:r>
    </w:p>
    <w:p>
      <w:r>
        <w:rPr>
          <w:b w:val="0"/>
          <w:color w:val="222222"/>
          <w:sz w:val="22"/>
        </w:rPr>
        <w:t>• Phase 1 (Q4 2025): Token &amp; pool launch, EarlyBird (per‑pair caps), LP &amp; CAKE staking, audit kickoff.</w:t>
      </w:r>
    </w:p>
    <w:p>
      <w:r>
        <w:rPr>
          <w:b w:val="0"/>
          <w:color w:val="222222"/>
          <w:sz w:val="22"/>
        </w:rPr>
        <w:t>• Phase 2 (Q1 2026): On‑chain staking vaults, dashboards, treasury yield reporting.</w:t>
      </w:r>
    </w:p>
    <w:p>
      <w:r>
        <w:rPr>
          <w:b w:val="0"/>
          <w:color w:val="222222"/>
          <w:sz w:val="22"/>
        </w:rPr>
        <w:t>• Phase 3 (Q4 2026): Conversions backend (HAT→minerals/cash), partner hooks, analytics expansion.</w:t>
      </w:r>
    </w:p>
    <w:p>
      <w:r>
        <w:rPr>
          <w:b w:val="0"/>
          <w:color w:val="222222"/>
          <w:sz w:val="22"/>
        </w:rPr>
        <w:t>• Phase 4 (Q2 2027): CEX listings; prototype metal‑backed stablecoin; liquidity partner program.</w:t>
      </w:r>
    </w:p>
    <w:p>
      <w:r>
        <w:rPr>
          <w:b w:val="0"/>
          <w:color w:val="222222"/>
          <w:sz w:val="22"/>
        </w:rPr>
        <w:t>• Future: Replace EarlyBird per‑pair caps with unified oracle‑driven USD limits for post‑EarlyBird trading controls.</w:t>
      </w:r>
    </w:p>
    <w:p>
      <w:r>
        <w:rPr>
          <w:b/>
          <w:color w:val="CD7F32"/>
          <w:sz w:val="36"/>
        </w:rPr>
        <w:t>10. Stewards of the haTrick Treasury</w:t>
      </w:r>
    </w:p>
    <w:p>
      <w:r>
        <w:rPr>
          <w:b/>
          <w:color w:val="D4AF37"/>
          <w:sz w:val="22"/>
        </w:rPr>
        <w:t>Amer Abdalrazeq — Founder / Solutions Architect / Fintech Expert</w:t>
      </w:r>
    </w:p>
    <w:p>
      <w:r>
        <w:rPr>
          <w:b w:val="0"/>
          <w:color w:val="222222"/>
          <w:sz w:val="22"/>
        </w:rPr>
        <w:t>Sets HAT strategy and architecture; multisig signer.</w:t>
      </w:r>
    </w:p>
    <w:p>
      <w:r>
        <w:rPr>
          <w:b/>
          <w:color w:val="D4AF37"/>
          <w:sz w:val="22"/>
        </w:rPr>
        <w:t>Majed Abdalrazeq — Board Member / Fintech Consultant</w:t>
      </w:r>
    </w:p>
    <w:p>
      <w:r>
        <w:rPr>
          <w:b w:val="0"/>
          <w:color w:val="222222"/>
          <w:sz w:val="22"/>
        </w:rPr>
        <w:t>Compliance and risk frameworks; multisig signer.</w:t>
      </w:r>
    </w:p>
    <w:p>
      <w:r>
        <w:rPr>
          <w:b/>
          <w:color w:val="D4AF37"/>
          <w:sz w:val="22"/>
        </w:rPr>
        <w:t>Faisal Abdalrazeq — Project Manager / Public Relations</w:t>
      </w:r>
    </w:p>
    <w:p>
      <w:r>
        <w:rPr>
          <w:b w:val="0"/>
          <w:color w:val="222222"/>
          <w:sz w:val="22"/>
        </w:rPr>
        <w:t>Delivery coordination, status pages, release notes.</w:t>
      </w:r>
    </w:p>
    <w:p>
      <w:r>
        <w:rPr>
          <w:b/>
          <w:color w:val="D4AF37"/>
          <w:sz w:val="22"/>
        </w:rPr>
        <w:t>Osama Abdalrazeq — Social Media Lead / Community Moderator</w:t>
      </w:r>
    </w:p>
    <w:p>
      <w:r>
        <w:rPr>
          <w:b w:val="0"/>
          <w:color w:val="222222"/>
          <w:sz w:val="22"/>
        </w:rPr>
        <w:t>Brand voice, moderation, weekly program summaries.</w:t>
      </w:r>
    </w:p>
    <w:p>
      <w:r>
        <w:rPr>
          <w:b/>
          <w:color w:val="D4AF37"/>
          <w:sz w:val="22"/>
        </w:rPr>
        <w:t>Mohammad Abdalrazeq — Marketing Strategist / Branding</w:t>
      </w:r>
    </w:p>
    <w:p>
      <w:r>
        <w:rPr>
          <w:b w:val="0"/>
          <w:color w:val="222222"/>
          <w:sz w:val="22"/>
        </w:rPr>
        <w:t>Go‑to‑market storytelling, analytics, partner messaging.</w:t>
      </w:r>
    </w:p>
    <w:p>
      <w:r>
        <w:rPr>
          <w:b/>
          <w:color w:val="D4AF37"/>
          <w:sz w:val="22"/>
        </w:rPr>
        <w:t>Osama Alsarahna — Operations Manager / Public Relations</w:t>
      </w:r>
    </w:p>
    <w:p>
      <w:r>
        <w:rPr>
          <w:b w:val="0"/>
          <w:color w:val="222222"/>
          <w:sz w:val="22"/>
        </w:rPr>
        <w:t>Operational readiness, partner onboarding, PR for launches.</w:t>
      </w:r>
    </w:p>
    <w:p>
      <w:r>
        <w:rPr>
          <w:b/>
          <w:color w:val="D4AF37"/>
          <w:sz w:val="22"/>
        </w:rPr>
        <w:t>Saif Abdalrazeq — Graphic Designer</w:t>
      </w:r>
    </w:p>
    <w:p>
      <w:r>
        <w:rPr>
          <w:b w:val="0"/>
          <w:color w:val="222222"/>
          <w:sz w:val="22"/>
        </w:rPr>
        <w:t>Brand visuals, whitepaper/website design, social media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