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521AC" w14:textId="77777777" w:rsidR="00427C1A" w:rsidRDefault="00427C1A" w:rsidP="001264AD">
      <w:pPr>
        <w:spacing w:line="480" w:lineRule="auto"/>
        <w:rPr>
          <w:rFonts w:ascii="Times New Roman" w:hAnsi="Times New Roman" w:cs="Times New Roman"/>
          <w:sz w:val="24"/>
          <w:szCs w:val="24"/>
        </w:rPr>
      </w:pPr>
    </w:p>
    <w:p w14:paraId="0916D2DD" w14:textId="77777777" w:rsidR="002861B4" w:rsidRPr="001264AD" w:rsidRDefault="002861B4" w:rsidP="001264AD">
      <w:pPr>
        <w:spacing w:line="480" w:lineRule="auto"/>
        <w:rPr>
          <w:rFonts w:ascii="Times New Roman" w:hAnsi="Times New Roman" w:cs="Times New Roman"/>
          <w:sz w:val="24"/>
          <w:szCs w:val="24"/>
        </w:rPr>
      </w:pPr>
    </w:p>
    <w:p w14:paraId="2C3FD7B4" w14:textId="77777777" w:rsidR="00427C1A" w:rsidRPr="001264AD" w:rsidRDefault="00427C1A" w:rsidP="001264AD">
      <w:pPr>
        <w:spacing w:line="480" w:lineRule="auto"/>
        <w:rPr>
          <w:rFonts w:ascii="Times New Roman" w:hAnsi="Times New Roman" w:cs="Times New Roman"/>
          <w:sz w:val="24"/>
          <w:szCs w:val="24"/>
        </w:rPr>
      </w:pPr>
    </w:p>
    <w:p w14:paraId="34380BC3" w14:textId="77777777" w:rsidR="005025C3" w:rsidRDefault="00000000" w:rsidP="001264AD">
      <w:pPr>
        <w:spacing w:line="480" w:lineRule="auto"/>
        <w:jc w:val="center"/>
        <w:rPr>
          <w:rFonts w:ascii="Times New Roman" w:hAnsi="Times New Roman" w:cs="Times New Roman"/>
          <w:b/>
          <w:bCs/>
          <w:sz w:val="24"/>
          <w:szCs w:val="24"/>
        </w:rPr>
      </w:pPr>
      <w:r w:rsidRPr="001264AD">
        <w:rPr>
          <w:rFonts w:ascii="Times New Roman" w:hAnsi="Times New Roman" w:cs="Times New Roman"/>
          <w:sz w:val="24"/>
          <w:szCs w:val="24"/>
        </w:rPr>
        <w:br/>
      </w:r>
      <w:r w:rsidR="005025C3" w:rsidRPr="005025C3">
        <w:rPr>
          <w:rFonts w:ascii="Times New Roman" w:hAnsi="Times New Roman" w:cs="Times New Roman"/>
          <w:b/>
          <w:bCs/>
          <w:sz w:val="24"/>
          <w:szCs w:val="24"/>
        </w:rPr>
        <w:t>1.4 Assignment: Building out and Validating Your Use Case using AI Agents</w:t>
      </w:r>
    </w:p>
    <w:p w14:paraId="5BA8DFF1" w14:textId="7A76A22A" w:rsidR="005025C3" w:rsidRDefault="005025C3" w:rsidP="001264AD">
      <w:pPr>
        <w:spacing w:line="480" w:lineRule="auto"/>
        <w:jc w:val="center"/>
        <w:rPr>
          <w:rFonts w:ascii="Times New Roman" w:hAnsi="Times New Roman" w:cs="Times New Roman"/>
          <w:iCs/>
          <w:sz w:val="24"/>
          <w:szCs w:val="24"/>
        </w:rPr>
      </w:pPr>
      <w:r>
        <w:rPr>
          <w:rFonts w:ascii="Times New Roman" w:hAnsi="Times New Roman" w:cs="Times New Roman"/>
          <w:iCs/>
          <w:sz w:val="24"/>
          <w:szCs w:val="24"/>
        </w:rPr>
        <w:t xml:space="preserve">Mohammed Amer </w:t>
      </w:r>
    </w:p>
    <w:p w14:paraId="7444BEE8" w14:textId="6527FDE5" w:rsidR="005025C3" w:rsidRPr="005025C3" w:rsidRDefault="005025C3" w:rsidP="005025C3">
      <w:pPr>
        <w:spacing w:line="480" w:lineRule="auto"/>
        <w:jc w:val="center"/>
        <w:rPr>
          <w:rFonts w:ascii="Times New Roman" w:hAnsi="Times New Roman" w:cs="Times New Roman"/>
          <w:iCs/>
          <w:sz w:val="24"/>
          <w:szCs w:val="24"/>
        </w:rPr>
      </w:pPr>
      <w:r>
        <w:rPr>
          <w:rFonts w:ascii="Times New Roman" w:hAnsi="Times New Roman" w:cs="Times New Roman"/>
          <w:iCs/>
          <w:sz w:val="24"/>
          <w:szCs w:val="24"/>
        </w:rPr>
        <w:t>IWU</w:t>
      </w:r>
    </w:p>
    <w:p w14:paraId="629662ED" w14:textId="0C5CD115" w:rsidR="005025C3" w:rsidRDefault="005025C3" w:rsidP="005025C3">
      <w:pPr>
        <w:spacing w:line="480" w:lineRule="auto"/>
        <w:jc w:val="center"/>
        <w:rPr>
          <w:rFonts w:ascii="Times New Roman" w:hAnsi="Times New Roman" w:cs="Times New Roman"/>
          <w:iCs/>
          <w:sz w:val="24"/>
          <w:szCs w:val="24"/>
        </w:rPr>
      </w:pPr>
      <w:r w:rsidRPr="005025C3">
        <w:rPr>
          <w:rFonts w:ascii="Times New Roman" w:hAnsi="Times New Roman" w:cs="Times New Roman"/>
          <w:iCs/>
          <w:sz w:val="24"/>
          <w:szCs w:val="24"/>
        </w:rPr>
        <w:t>3FA2026 AI Integration Capstone</w:t>
      </w:r>
    </w:p>
    <w:p w14:paraId="72E85A7B" w14:textId="220B6484" w:rsidR="005025C3" w:rsidRDefault="005025C3" w:rsidP="005025C3">
      <w:pPr>
        <w:spacing w:line="480" w:lineRule="auto"/>
        <w:jc w:val="center"/>
        <w:rPr>
          <w:rFonts w:ascii="Times New Roman" w:hAnsi="Times New Roman" w:cs="Times New Roman"/>
          <w:iCs/>
          <w:sz w:val="24"/>
          <w:szCs w:val="24"/>
        </w:rPr>
      </w:pPr>
      <w:r>
        <w:rPr>
          <w:rFonts w:ascii="Times New Roman" w:hAnsi="Times New Roman" w:cs="Times New Roman"/>
          <w:iCs/>
          <w:sz w:val="24"/>
          <w:szCs w:val="24"/>
        </w:rPr>
        <w:t>SEPT 05, 2026</w:t>
      </w:r>
    </w:p>
    <w:p w14:paraId="358CB15B" w14:textId="77777777" w:rsidR="005025C3" w:rsidRDefault="005025C3" w:rsidP="005025C3">
      <w:pPr>
        <w:spacing w:line="480" w:lineRule="auto"/>
        <w:jc w:val="center"/>
        <w:rPr>
          <w:rFonts w:ascii="Times New Roman" w:hAnsi="Times New Roman" w:cs="Times New Roman"/>
          <w:iCs/>
          <w:sz w:val="24"/>
          <w:szCs w:val="24"/>
        </w:rPr>
      </w:pPr>
    </w:p>
    <w:p w14:paraId="5C09A656" w14:textId="77777777" w:rsidR="005025C3" w:rsidRDefault="005025C3" w:rsidP="005025C3">
      <w:pPr>
        <w:spacing w:line="480" w:lineRule="auto"/>
        <w:jc w:val="center"/>
        <w:rPr>
          <w:rFonts w:ascii="Times New Roman" w:hAnsi="Times New Roman" w:cs="Times New Roman"/>
          <w:iCs/>
          <w:sz w:val="24"/>
          <w:szCs w:val="24"/>
        </w:rPr>
      </w:pPr>
    </w:p>
    <w:p w14:paraId="051CD956" w14:textId="77777777" w:rsidR="005025C3" w:rsidRDefault="005025C3" w:rsidP="005025C3">
      <w:pPr>
        <w:spacing w:line="480" w:lineRule="auto"/>
        <w:jc w:val="center"/>
        <w:rPr>
          <w:rFonts w:ascii="Times New Roman" w:hAnsi="Times New Roman" w:cs="Times New Roman"/>
          <w:iCs/>
          <w:sz w:val="24"/>
          <w:szCs w:val="24"/>
        </w:rPr>
      </w:pPr>
    </w:p>
    <w:p w14:paraId="762BC82B" w14:textId="77777777" w:rsidR="005025C3" w:rsidRDefault="005025C3" w:rsidP="005025C3">
      <w:pPr>
        <w:spacing w:line="480" w:lineRule="auto"/>
        <w:jc w:val="center"/>
        <w:rPr>
          <w:rFonts w:ascii="Times New Roman" w:hAnsi="Times New Roman" w:cs="Times New Roman"/>
          <w:iCs/>
          <w:sz w:val="24"/>
          <w:szCs w:val="24"/>
        </w:rPr>
      </w:pPr>
    </w:p>
    <w:p w14:paraId="2635CEF9" w14:textId="77777777" w:rsidR="005025C3" w:rsidRDefault="005025C3" w:rsidP="005025C3">
      <w:pPr>
        <w:spacing w:line="480" w:lineRule="auto"/>
        <w:jc w:val="center"/>
        <w:rPr>
          <w:rFonts w:ascii="Times New Roman" w:hAnsi="Times New Roman" w:cs="Times New Roman"/>
          <w:iCs/>
          <w:sz w:val="24"/>
          <w:szCs w:val="24"/>
        </w:rPr>
      </w:pPr>
    </w:p>
    <w:p w14:paraId="54D1CF9B" w14:textId="77777777" w:rsidR="005025C3" w:rsidRDefault="005025C3" w:rsidP="005025C3">
      <w:pPr>
        <w:spacing w:line="480" w:lineRule="auto"/>
        <w:jc w:val="center"/>
        <w:rPr>
          <w:rFonts w:ascii="Times New Roman" w:hAnsi="Times New Roman" w:cs="Times New Roman"/>
          <w:iCs/>
          <w:sz w:val="24"/>
          <w:szCs w:val="24"/>
        </w:rPr>
      </w:pPr>
    </w:p>
    <w:p w14:paraId="44383182" w14:textId="77777777" w:rsidR="005025C3" w:rsidRDefault="005025C3" w:rsidP="005025C3">
      <w:pPr>
        <w:spacing w:line="480" w:lineRule="auto"/>
        <w:jc w:val="center"/>
        <w:rPr>
          <w:rFonts w:ascii="Times New Roman" w:hAnsi="Times New Roman" w:cs="Times New Roman"/>
          <w:iCs/>
          <w:sz w:val="24"/>
          <w:szCs w:val="24"/>
        </w:rPr>
      </w:pPr>
    </w:p>
    <w:p w14:paraId="5D4A7CC3" w14:textId="77777777" w:rsidR="005025C3" w:rsidRDefault="005025C3" w:rsidP="005025C3">
      <w:pPr>
        <w:spacing w:line="480" w:lineRule="auto"/>
        <w:jc w:val="center"/>
        <w:rPr>
          <w:rFonts w:ascii="Times New Roman" w:hAnsi="Times New Roman" w:cs="Times New Roman"/>
          <w:iCs/>
          <w:sz w:val="24"/>
          <w:szCs w:val="24"/>
        </w:rPr>
      </w:pPr>
    </w:p>
    <w:p w14:paraId="746A7B3F" w14:textId="77777777" w:rsidR="002861B4" w:rsidRDefault="002861B4" w:rsidP="001264AD">
      <w:pPr>
        <w:spacing w:line="480" w:lineRule="auto"/>
        <w:jc w:val="center"/>
        <w:rPr>
          <w:rFonts w:ascii="Times New Roman" w:hAnsi="Times New Roman" w:cs="Times New Roman"/>
          <w:iCs/>
          <w:sz w:val="24"/>
          <w:szCs w:val="24"/>
        </w:rPr>
      </w:pPr>
    </w:p>
    <w:p w14:paraId="08D6E744" w14:textId="4BA42D4B" w:rsidR="001264AD" w:rsidRPr="001264AD" w:rsidRDefault="00000000" w:rsidP="001264AD">
      <w:pPr>
        <w:spacing w:line="480" w:lineRule="auto"/>
        <w:jc w:val="center"/>
        <w:rPr>
          <w:rFonts w:ascii="Times New Roman" w:hAnsi="Times New Roman" w:cs="Times New Roman"/>
          <w:b/>
          <w:bCs/>
          <w:iCs/>
          <w:sz w:val="24"/>
          <w:szCs w:val="24"/>
        </w:rPr>
      </w:pPr>
      <w:r w:rsidRPr="001264AD">
        <w:rPr>
          <w:rFonts w:ascii="Times New Roman" w:hAnsi="Times New Roman" w:cs="Times New Roman"/>
          <w:i/>
          <w:sz w:val="24"/>
          <w:szCs w:val="24"/>
        </w:rPr>
        <w:lastRenderedPageBreak/>
        <w:br/>
      </w:r>
      <w:r w:rsidRPr="001264AD">
        <w:rPr>
          <w:rFonts w:ascii="Times New Roman" w:hAnsi="Times New Roman" w:cs="Times New Roman"/>
          <w:b/>
          <w:bCs/>
          <w:iCs/>
          <w:sz w:val="24"/>
          <w:szCs w:val="24"/>
        </w:rPr>
        <w:t>Complete Six-Phase Project Documentation</w:t>
      </w:r>
    </w:p>
    <w:p w14:paraId="192659C6" w14:textId="3772D014"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Executive Summary</w:t>
      </w:r>
    </w:p>
    <w:p w14:paraId="79FF86A3" w14:textId="2A28A37A" w:rsidR="001264AD" w:rsidRDefault="001264AD" w:rsidP="001264AD">
      <w:pPr>
        <w:spacing w:line="480" w:lineRule="auto"/>
        <w:ind w:firstLine="720"/>
        <w:rPr>
          <w:rFonts w:ascii="Times New Roman" w:hAnsi="Times New Roman" w:cs="Times New Roman"/>
          <w:sz w:val="24"/>
          <w:szCs w:val="24"/>
        </w:rPr>
      </w:pPr>
      <w:r w:rsidRPr="001264AD">
        <w:rPr>
          <w:rFonts w:ascii="Times New Roman" w:hAnsi="Times New Roman" w:cs="Times New Roman"/>
          <w:sz w:val="24"/>
          <w:szCs w:val="24"/>
        </w:rPr>
        <w:t>The fictitious U.S. building-operations business BrightGrid Facilities serves modest commercial assets including offices, retail, clinics, and mixed-use buildings. BrightGrid Energy Insights, a cloud-based AI application, analyzes electricity and building-sensor data to identify unusual consumption patterns, rank likely causes, and notify facility managers before an energy problem becomes costly or equipment-related</w:t>
      </w:r>
      <w:r>
        <w:rPr>
          <w:rFonts w:ascii="Times New Roman" w:hAnsi="Times New Roman" w:cs="Times New Roman"/>
          <w:sz w:val="24"/>
          <w:szCs w:val="24"/>
        </w:rPr>
        <w:t xml:space="preserve"> (</w:t>
      </w:r>
      <w:r w:rsidRPr="001264AD">
        <w:rPr>
          <w:rFonts w:ascii="Times New Roman" w:hAnsi="Times New Roman" w:cs="Times New Roman"/>
          <w:sz w:val="24"/>
          <w:szCs w:val="24"/>
        </w:rPr>
        <w:t>Ramachandran &amp; Agrawal, 2025</w:t>
      </w:r>
      <w:r>
        <w:rPr>
          <w:rFonts w:ascii="Times New Roman" w:hAnsi="Times New Roman" w:cs="Times New Roman"/>
          <w:sz w:val="24"/>
          <w:szCs w:val="24"/>
        </w:rPr>
        <w:t>)</w:t>
      </w:r>
      <w:r w:rsidRPr="001264AD">
        <w:rPr>
          <w:rFonts w:ascii="Times New Roman" w:hAnsi="Times New Roman" w:cs="Times New Roman"/>
          <w:sz w:val="24"/>
          <w:szCs w:val="24"/>
        </w:rPr>
        <w:t xml:space="preserve">. </w:t>
      </w:r>
    </w:p>
    <w:p w14:paraId="0248C298" w14:textId="77777777" w:rsidR="001264AD" w:rsidRDefault="001264AD" w:rsidP="001264AD">
      <w:pPr>
        <w:spacing w:line="480" w:lineRule="auto"/>
        <w:ind w:firstLine="720"/>
        <w:rPr>
          <w:rFonts w:ascii="Times New Roman" w:hAnsi="Times New Roman" w:cs="Times New Roman"/>
          <w:sz w:val="24"/>
          <w:szCs w:val="24"/>
        </w:rPr>
      </w:pPr>
      <w:r w:rsidRPr="001264AD">
        <w:rPr>
          <w:rFonts w:ascii="Times New Roman" w:hAnsi="Times New Roman" w:cs="Times New Roman"/>
          <w:sz w:val="24"/>
          <w:szCs w:val="24"/>
        </w:rPr>
        <w:t xml:space="preserve">The practical issue is that smaller building operators get electric bills and building-management data but no energy analysts. Thus, the MVP detects an abnormality, explains why, and suggests a next step. During the MVP, human operators will make HVAC equipment selections. </w:t>
      </w:r>
    </w:p>
    <w:p w14:paraId="41337E5A" w14:textId="059F9F66" w:rsidR="001264AD" w:rsidRPr="001264AD" w:rsidRDefault="001264AD" w:rsidP="001264AD">
      <w:pPr>
        <w:spacing w:line="480" w:lineRule="auto"/>
        <w:ind w:firstLine="720"/>
        <w:rPr>
          <w:rFonts w:ascii="Times New Roman" w:hAnsi="Times New Roman" w:cs="Times New Roman"/>
          <w:sz w:val="24"/>
          <w:szCs w:val="24"/>
        </w:rPr>
      </w:pPr>
      <w:r w:rsidRPr="001264AD">
        <w:rPr>
          <w:rFonts w:ascii="Times New Roman" w:hAnsi="Times New Roman" w:cs="Times New Roman"/>
          <w:sz w:val="24"/>
          <w:szCs w:val="24"/>
        </w:rPr>
        <w:t>Problem framing, technical solution, design and prototype, testing and assessment, deployment, and post-launch feedback/iteration comprise the six-phase lifecycle. React and TypeScript for the web interface, FastAPI/Python for the API, PostgreSQL for application metadata, AWS IoT Core and Amazon Timestream for time-series ingestion, S3 for historical storage, and scikit-learn and XGBoost for a Python anomaly-detection pipeline are recommended A four-to-five-person team may complete the MVP in 16 weeks. MVP targets 100 pilot users in 25–50 buildings, followed by phased development to 10,000. At least 90% detection accuracy, three false warnings per site per month, dashboard load speed below two seconds at the 95th percentile, 99.5% availability, and 80% pilot-user retention after 90 days will determine success</w:t>
      </w:r>
      <w:r w:rsidR="005025C3">
        <w:rPr>
          <w:rFonts w:ascii="Times New Roman" w:hAnsi="Times New Roman" w:cs="Times New Roman"/>
          <w:sz w:val="24"/>
          <w:szCs w:val="24"/>
        </w:rPr>
        <w:t xml:space="preserve"> </w:t>
      </w:r>
      <w:r w:rsidR="005025C3">
        <w:rPr>
          <w:rFonts w:ascii="Times New Roman" w:hAnsi="Times New Roman" w:cs="Times New Roman"/>
          <w:sz w:val="24"/>
          <w:szCs w:val="24"/>
        </w:rPr>
        <w:t>(</w:t>
      </w:r>
      <w:r w:rsidR="005025C3" w:rsidRPr="001264AD">
        <w:rPr>
          <w:rFonts w:ascii="Times New Roman" w:hAnsi="Times New Roman" w:cs="Times New Roman"/>
          <w:sz w:val="24"/>
          <w:szCs w:val="24"/>
        </w:rPr>
        <w:t>Ramachandran &amp; Agrawal, 2025</w:t>
      </w:r>
      <w:r w:rsidR="005025C3">
        <w:rPr>
          <w:rFonts w:ascii="Times New Roman" w:hAnsi="Times New Roman" w:cs="Times New Roman"/>
          <w:sz w:val="24"/>
          <w:szCs w:val="24"/>
        </w:rPr>
        <w:t>)</w:t>
      </w:r>
      <w:r w:rsidRPr="001264AD">
        <w:rPr>
          <w:rFonts w:ascii="Times New Roman" w:hAnsi="Times New Roman" w:cs="Times New Roman"/>
          <w:sz w:val="24"/>
          <w:szCs w:val="24"/>
        </w:rPr>
        <w:t>. The NIST AI Risk Management Framework will guide security, auditability, and responsible-AI practices throughout the lifespan.</w:t>
      </w:r>
    </w:p>
    <w:p w14:paraId="5595406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noProof/>
          <w:sz w:val="24"/>
          <w:szCs w:val="24"/>
        </w:rPr>
        <w:lastRenderedPageBreak/>
        <w:drawing>
          <wp:inline distT="0" distB="0" distL="0" distR="0" wp14:anchorId="79D8D0EB" wp14:editId="0DD3C4E1">
            <wp:extent cx="6126480" cy="3123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ghtgrid_architecture.png"/>
                    <pic:cNvPicPr/>
                  </pic:nvPicPr>
                  <pic:blipFill>
                    <a:blip r:embed="rId7"/>
                    <a:stretch>
                      <a:fillRect/>
                    </a:stretch>
                  </pic:blipFill>
                  <pic:spPr>
                    <a:xfrm>
                      <a:off x="0" y="0"/>
                      <a:ext cx="6126480" cy="3123220"/>
                    </a:xfrm>
                    <a:prstGeom prst="rect">
                      <a:avLst/>
                    </a:prstGeom>
                  </pic:spPr>
                </pic:pic>
              </a:graphicData>
            </a:graphic>
          </wp:inline>
        </w:drawing>
      </w:r>
    </w:p>
    <w:p w14:paraId="59D39DE8"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Figure 1. Proposed high-level technical architecture.</w:t>
      </w:r>
    </w:p>
    <w:p w14:paraId="265DB0D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br w:type="page"/>
      </w:r>
    </w:p>
    <w:p w14:paraId="7356D11E" w14:textId="77777777" w:rsidR="00FB68FA" w:rsidRPr="001264AD" w:rsidRDefault="00000000" w:rsidP="001264AD">
      <w:pPr>
        <w:spacing w:line="480" w:lineRule="auto"/>
        <w:jc w:val="center"/>
        <w:rPr>
          <w:rFonts w:ascii="Times New Roman" w:hAnsi="Times New Roman" w:cs="Times New Roman"/>
          <w:b/>
          <w:bCs/>
          <w:sz w:val="24"/>
          <w:szCs w:val="24"/>
        </w:rPr>
      </w:pPr>
      <w:r w:rsidRPr="001264AD">
        <w:rPr>
          <w:rFonts w:ascii="Times New Roman" w:hAnsi="Times New Roman" w:cs="Times New Roman"/>
          <w:b/>
          <w:bCs/>
          <w:sz w:val="24"/>
          <w:szCs w:val="24"/>
        </w:rPr>
        <w:lastRenderedPageBreak/>
        <w:t>Phase 1 – Problem Framing</w:t>
      </w:r>
    </w:p>
    <w:p w14:paraId="64A16CFF"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1.1 Company Background</w:t>
      </w:r>
    </w:p>
    <w:p w14:paraId="1FDF71A4" w14:textId="2CCF33B2" w:rsidR="00FB68FA" w:rsidRPr="001264AD" w:rsidRDefault="00000000" w:rsidP="001264AD">
      <w:pPr>
        <w:spacing w:line="480" w:lineRule="auto"/>
        <w:ind w:firstLine="720"/>
        <w:rPr>
          <w:rFonts w:ascii="Times New Roman" w:hAnsi="Times New Roman" w:cs="Times New Roman"/>
          <w:sz w:val="24"/>
          <w:szCs w:val="24"/>
        </w:rPr>
      </w:pPr>
      <w:r w:rsidRPr="001264AD">
        <w:rPr>
          <w:rFonts w:ascii="Times New Roman" w:hAnsi="Times New Roman" w:cs="Times New Roman"/>
          <w:sz w:val="24"/>
          <w:szCs w:val="24"/>
        </w:rPr>
        <w:t>BrightGrid Facilities is positioned as a 35-person facilities-technology firm that manages energy and maintenance services for small commercial property owners. The company wants to add a subscription software product rather than relying only on consulting revenue. The first product will target buildings with basic smart meters, utility exports, or building-management-system feeds</w:t>
      </w:r>
      <w:r w:rsidR="005025C3">
        <w:rPr>
          <w:rFonts w:ascii="Times New Roman" w:hAnsi="Times New Roman" w:cs="Times New Roman"/>
          <w:sz w:val="24"/>
          <w:szCs w:val="24"/>
        </w:rPr>
        <w:t xml:space="preserve"> </w:t>
      </w:r>
      <w:r w:rsidR="005025C3">
        <w:rPr>
          <w:rFonts w:ascii="Times New Roman" w:hAnsi="Times New Roman" w:cs="Times New Roman"/>
          <w:sz w:val="24"/>
          <w:szCs w:val="24"/>
        </w:rPr>
        <w:t>(</w:t>
      </w:r>
      <w:r w:rsidR="005025C3" w:rsidRPr="001264AD">
        <w:rPr>
          <w:rFonts w:ascii="Times New Roman" w:hAnsi="Times New Roman" w:cs="Times New Roman"/>
          <w:sz w:val="24"/>
          <w:szCs w:val="24"/>
        </w:rPr>
        <w:t>Ramachandran &amp; Agrawal, 2025</w:t>
      </w:r>
      <w:r w:rsidR="005025C3">
        <w:rPr>
          <w:rFonts w:ascii="Times New Roman" w:hAnsi="Times New Roman" w:cs="Times New Roman"/>
          <w:sz w:val="24"/>
          <w:szCs w:val="24"/>
        </w:rPr>
        <w:t>)</w:t>
      </w:r>
      <w:r w:rsidRPr="001264AD">
        <w:rPr>
          <w:rFonts w:ascii="Times New Roman" w:hAnsi="Times New Roman" w:cs="Times New Roman"/>
          <w:sz w:val="24"/>
          <w:szCs w:val="24"/>
        </w:rPr>
        <w:t>.</w:t>
      </w:r>
    </w:p>
    <w:p w14:paraId="5A1775D8"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1.2 Specific Problem</w:t>
      </w:r>
    </w:p>
    <w:p w14:paraId="5110D46E" w14:textId="77777777" w:rsidR="00FB68FA" w:rsidRPr="001264AD" w:rsidRDefault="00000000" w:rsidP="001264AD">
      <w:pPr>
        <w:spacing w:line="480" w:lineRule="auto"/>
        <w:ind w:firstLine="720"/>
        <w:rPr>
          <w:rFonts w:ascii="Times New Roman" w:hAnsi="Times New Roman" w:cs="Times New Roman"/>
          <w:sz w:val="24"/>
          <w:szCs w:val="24"/>
        </w:rPr>
      </w:pPr>
      <w:r w:rsidRPr="001264AD">
        <w:rPr>
          <w:rFonts w:ascii="Times New Roman" w:hAnsi="Times New Roman" w:cs="Times New Roman"/>
          <w:sz w:val="24"/>
          <w:szCs w:val="24"/>
        </w:rPr>
        <w:t>Facility managers can see energy totals but frequently lack continuous, automated analysis. Abnormal consumption may remain hidden until the monthly utility bill arrives. Examples include HVAC schedules running after business hours, a failing sensor, a stuck damper, unexpected refrigeration load, or an unexplained week-over-week increase in electricity use.</w:t>
      </w:r>
    </w:p>
    <w:p w14:paraId="0DB26E8F"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1.3 Target Users and Personas</w:t>
      </w:r>
    </w:p>
    <w:tbl>
      <w:tblPr>
        <w:tblStyle w:val="TableGrid"/>
        <w:tblW w:w="0" w:type="auto"/>
        <w:jc w:val="center"/>
        <w:tblLook w:val="04A0" w:firstRow="1" w:lastRow="0" w:firstColumn="1" w:lastColumn="0" w:noHBand="0" w:noVBand="1"/>
      </w:tblPr>
      <w:tblGrid>
        <w:gridCol w:w="1944"/>
        <w:gridCol w:w="1872"/>
        <w:gridCol w:w="3240"/>
        <w:gridCol w:w="2880"/>
      </w:tblGrid>
      <w:tr w:rsidR="00FB68FA" w:rsidRPr="001264AD" w14:paraId="726808DF" w14:textId="77777777">
        <w:trPr>
          <w:jc w:val="center"/>
        </w:trPr>
        <w:tc>
          <w:tcPr>
            <w:tcW w:w="1944" w:type="dxa"/>
            <w:shd w:val="clear" w:color="auto" w:fill="D9EAF7"/>
            <w:vAlign w:val="center"/>
          </w:tcPr>
          <w:p w14:paraId="11481B5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Persona</w:t>
            </w:r>
          </w:p>
        </w:tc>
        <w:tc>
          <w:tcPr>
            <w:tcW w:w="1872" w:type="dxa"/>
            <w:shd w:val="clear" w:color="auto" w:fill="D9EAF7"/>
            <w:vAlign w:val="center"/>
          </w:tcPr>
          <w:p w14:paraId="164CFB8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Role</w:t>
            </w:r>
          </w:p>
        </w:tc>
        <w:tc>
          <w:tcPr>
            <w:tcW w:w="3240" w:type="dxa"/>
            <w:shd w:val="clear" w:color="auto" w:fill="D9EAF7"/>
            <w:vAlign w:val="center"/>
          </w:tcPr>
          <w:p w14:paraId="225AECC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Needs</w:t>
            </w:r>
          </w:p>
        </w:tc>
        <w:tc>
          <w:tcPr>
            <w:tcW w:w="2880" w:type="dxa"/>
            <w:shd w:val="clear" w:color="auto" w:fill="D9EAF7"/>
            <w:vAlign w:val="center"/>
          </w:tcPr>
          <w:p w14:paraId="153A234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Pain Points</w:t>
            </w:r>
          </w:p>
        </w:tc>
      </w:tr>
      <w:tr w:rsidR="00FB68FA" w:rsidRPr="001264AD" w14:paraId="13ED65D8" w14:textId="77777777">
        <w:trPr>
          <w:jc w:val="center"/>
        </w:trPr>
        <w:tc>
          <w:tcPr>
            <w:tcW w:w="1944" w:type="dxa"/>
          </w:tcPr>
          <w:p w14:paraId="1C29480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Maya – Property Manager</w:t>
            </w:r>
          </w:p>
        </w:tc>
        <w:tc>
          <w:tcPr>
            <w:tcW w:w="1872" w:type="dxa"/>
          </w:tcPr>
          <w:p w14:paraId="76BDEA1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Manages 10–30 buildings</w:t>
            </w:r>
          </w:p>
        </w:tc>
        <w:tc>
          <w:tcPr>
            <w:tcW w:w="3240" w:type="dxa"/>
          </w:tcPr>
          <w:p w14:paraId="6EC99C1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Quick portfolio-level visibility; actionable alerts</w:t>
            </w:r>
          </w:p>
        </w:tc>
        <w:tc>
          <w:tcPr>
            <w:tcW w:w="2880" w:type="dxa"/>
          </w:tcPr>
          <w:p w14:paraId="4775F96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Too many dashboards; limited technical staff</w:t>
            </w:r>
          </w:p>
        </w:tc>
      </w:tr>
      <w:tr w:rsidR="00FB68FA" w:rsidRPr="001264AD" w14:paraId="43AD2A82" w14:textId="77777777">
        <w:trPr>
          <w:jc w:val="center"/>
        </w:trPr>
        <w:tc>
          <w:tcPr>
            <w:tcW w:w="1944" w:type="dxa"/>
          </w:tcPr>
          <w:p w14:paraId="1568D44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Carlos – Facility Technician</w:t>
            </w:r>
          </w:p>
        </w:tc>
        <w:tc>
          <w:tcPr>
            <w:tcW w:w="1872" w:type="dxa"/>
          </w:tcPr>
          <w:p w14:paraId="71A391B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Investigates building issues</w:t>
            </w:r>
          </w:p>
        </w:tc>
        <w:tc>
          <w:tcPr>
            <w:tcW w:w="3240" w:type="dxa"/>
          </w:tcPr>
          <w:p w14:paraId="2B19D3A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Clear anomaly evidence and likely causes</w:t>
            </w:r>
          </w:p>
        </w:tc>
        <w:tc>
          <w:tcPr>
            <w:tcW w:w="2880" w:type="dxa"/>
          </w:tcPr>
          <w:p w14:paraId="18D8792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Manual troubleshooting; incomplete data</w:t>
            </w:r>
          </w:p>
        </w:tc>
      </w:tr>
      <w:tr w:rsidR="00FB68FA" w:rsidRPr="001264AD" w14:paraId="2940B6A9" w14:textId="77777777">
        <w:trPr>
          <w:jc w:val="center"/>
        </w:trPr>
        <w:tc>
          <w:tcPr>
            <w:tcW w:w="1944" w:type="dxa"/>
          </w:tcPr>
          <w:p w14:paraId="6544866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Priya – Operations Director</w:t>
            </w:r>
          </w:p>
        </w:tc>
        <w:tc>
          <w:tcPr>
            <w:tcW w:w="1872" w:type="dxa"/>
          </w:tcPr>
          <w:p w14:paraId="10E6159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Owns operating costs</w:t>
            </w:r>
          </w:p>
        </w:tc>
        <w:tc>
          <w:tcPr>
            <w:tcW w:w="3240" w:type="dxa"/>
          </w:tcPr>
          <w:p w14:paraId="65D5E27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Portfolio trends, savings evidence, reports</w:t>
            </w:r>
          </w:p>
        </w:tc>
        <w:tc>
          <w:tcPr>
            <w:tcW w:w="2880" w:type="dxa"/>
          </w:tcPr>
          <w:p w14:paraId="595EE9E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Hard to prove ROI; inconsistent reporting</w:t>
            </w:r>
          </w:p>
        </w:tc>
      </w:tr>
    </w:tbl>
    <w:p w14:paraId="32AC4684" w14:textId="77777777" w:rsidR="00FB68FA" w:rsidRPr="001264AD" w:rsidRDefault="00FB68FA" w:rsidP="001264AD">
      <w:pPr>
        <w:spacing w:line="480" w:lineRule="auto"/>
        <w:rPr>
          <w:rFonts w:ascii="Times New Roman" w:hAnsi="Times New Roman" w:cs="Times New Roman"/>
          <w:sz w:val="24"/>
          <w:szCs w:val="24"/>
        </w:rPr>
      </w:pPr>
    </w:p>
    <w:p w14:paraId="1619F69E"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lastRenderedPageBreak/>
        <w:t>1.4 Success Criteria</w:t>
      </w:r>
    </w:p>
    <w:p w14:paraId="7D16DBD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Detect meaningful abnormal energy patterns with at least 90% precision during pilot evaluation.</w:t>
      </w:r>
    </w:p>
    <w:p w14:paraId="70FDD6F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Reduce time spent identifying a likely energy issue by at least 50% compared with the customer's current workflow.</w:t>
      </w:r>
    </w:p>
    <w:p w14:paraId="552DDE8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Keep false alerts to three or fewer per building per month after model calibration.</w:t>
      </w:r>
    </w:p>
    <w:p w14:paraId="5BBE146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Generate an understandable explanation and evidence for every high-priority alert.</w:t>
      </w:r>
    </w:p>
    <w:p w14:paraId="2621212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Demonstrate a measurable reduction in avoidable energy consumption at pilot sites, with a target of 5–10% for buildings where actionable anomalies are found.</w:t>
      </w:r>
    </w:p>
    <w:p w14:paraId="6001094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Maintain 99.5% or better service availability during production operation.</w:t>
      </w:r>
    </w:p>
    <w:p w14:paraId="22CD4F78"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1.5 Market Size and Competitive Landscape</w:t>
      </w:r>
    </w:p>
    <w:p w14:paraId="590E3473" w14:textId="7044808F" w:rsidR="001264AD" w:rsidRPr="001264AD" w:rsidRDefault="001264AD" w:rsidP="001264AD">
      <w:pPr>
        <w:spacing w:line="480" w:lineRule="auto"/>
        <w:ind w:firstLine="720"/>
        <w:rPr>
          <w:rFonts w:ascii="Times New Roman" w:hAnsi="Times New Roman" w:cs="Times New Roman"/>
          <w:sz w:val="24"/>
          <w:szCs w:val="24"/>
        </w:rPr>
      </w:pPr>
      <w:r w:rsidRPr="001264AD">
        <w:rPr>
          <w:rFonts w:ascii="Times New Roman" w:hAnsi="Times New Roman" w:cs="Times New Roman"/>
          <w:sz w:val="24"/>
          <w:szCs w:val="24"/>
        </w:rPr>
        <w:t>An academic planning model estimates the first serviceable market, not a third-party projection. The Data Explorer of EPA's ENERGY STAR Portfolio Manager ecosystem has over 150,000 U.S. commercial and multifamily buildings, representing a huge addressable population of benchmarking-ready facilities. About 25% of U.S. commercial building space is benchmarked in Portfolio Manager</w:t>
      </w:r>
      <w:r w:rsidR="005025C3">
        <w:rPr>
          <w:rFonts w:ascii="Times New Roman" w:hAnsi="Times New Roman" w:cs="Times New Roman"/>
          <w:sz w:val="24"/>
          <w:szCs w:val="24"/>
        </w:rPr>
        <w:t xml:space="preserve"> </w:t>
      </w:r>
      <w:r w:rsidR="005025C3">
        <w:rPr>
          <w:rFonts w:ascii="Times New Roman" w:hAnsi="Times New Roman" w:cs="Times New Roman"/>
          <w:sz w:val="24"/>
          <w:szCs w:val="24"/>
        </w:rPr>
        <w:t>(</w:t>
      </w:r>
      <w:r w:rsidR="005025C3" w:rsidRPr="001264AD">
        <w:rPr>
          <w:rFonts w:ascii="Times New Roman" w:hAnsi="Times New Roman" w:cs="Times New Roman"/>
          <w:sz w:val="24"/>
          <w:szCs w:val="24"/>
        </w:rPr>
        <w:t>Ramachandran &amp; Agrawal, 2025</w:t>
      </w:r>
      <w:r w:rsidR="005025C3">
        <w:rPr>
          <w:rFonts w:ascii="Times New Roman" w:hAnsi="Times New Roman" w:cs="Times New Roman"/>
          <w:sz w:val="24"/>
          <w:szCs w:val="24"/>
        </w:rPr>
        <w:t>)</w:t>
      </w:r>
      <w:r w:rsidRPr="001264AD">
        <w:rPr>
          <w:rFonts w:ascii="Times New Roman" w:hAnsi="Times New Roman" w:cs="Times New Roman"/>
          <w:sz w:val="24"/>
          <w:szCs w:val="24"/>
        </w:rPr>
        <w:t>. BrightGrid's cautious first market forecasts 5,000 small-to-mid-sized buildings might buy a $3,000 yearly software subscription, providing a $15 million ARR first viable potential.</w:t>
      </w:r>
    </w:p>
    <w:tbl>
      <w:tblPr>
        <w:tblStyle w:val="TableGrid"/>
        <w:tblW w:w="0" w:type="auto"/>
        <w:jc w:val="center"/>
        <w:tblLook w:val="04A0" w:firstRow="1" w:lastRow="0" w:firstColumn="1" w:lastColumn="0" w:noHBand="0" w:noVBand="1"/>
      </w:tblPr>
      <w:tblGrid>
        <w:gridCol w:w="2880"/>
        <w:gridCol w:w="3312"/>
        <w:gridCol w:w="3744"/>
      </w:tblGrid>
      <w:tr w:rsidR="00FB68FA" w:rsidRPr="001264AD" w14:paraId="6EEC69EE" w14:textId="77777777">
        <w:trPr>
          <w:jc w:val="center"/>
        </w:trPr>
        <w:tc>
          <w:tcPr>
            <w:tcW w:w="2880" w:type="dxa"/>
            <w:shd w:val="clear" w:color="auto" w:fill="D9EAF7"/>
            <w:vAlign w:val="center"/>
          </w:tcPr>
          <w:p w14:paraId="5E30361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Competitor Category</w:t>
            </w:r>
          </w:p>
        </w:tc>
        <w:tc>
          <w:tcPr>
            <w:tcW w:w="3312" w:type="dxa"/>
            <w:shd w:val="clear" w:color="auto" w:fill="D9EAF7"/>
            <w:vAlign w:val="center"/>
          </w:tcPr>
          <w:p w14:paraId="7A99111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Strength</w:t>
            </w:r>
          </w:p>
        </w:tc>
        <w:tc>
          <w:tcPr>
            <w:tcW w:w="3744" w:type="dxa"/>
            <w:shd w:val="clear" w:color="auto" w:fill="D9EAF7"/>
            <w:vAlign w:val="center"/>
          </w:tcPr>
          <w:p w14:paraId="5D3254C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Gap BrightGrid Targets</w:t>
            </w:r>
          </w:p>
        </w:tc>
      </w:tr>
      <w:tr w:rsidR="00FB68FA" w:rsidRPr="001264AD" w14:paraId="5FC74976" w14:textId="77777777">
        <w:trPr>
          <w:jc w:val="center"/>
        </w:trPr>
        <w:tc>
          <w:tcPr>
            <w:tcW w:w="2880" w:type="dxa"/>
          </w:tcPr>
          <w:p w14:paraId="7EA8BC6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Enterprise building-management platforms</w:t>
            </w:r>
          </w:p>
        </w:tc>
        <w:tc>
          <w:tcPr>
            <w:tcW w:w="3312" w:type="dxa"/>
          </w:tcPr>
          <w:p w14:paraId="2A50BFD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Deep controls and integrations</w:t>
            </w:r>
          </w:p>
        </w:tc>
        <w:tc>
          <w:tcPr>
            <w:tcW w:w="3744" w:type="dxa"/>
          </w:tcPr>
          <w:p w14:paraId="76DB8D4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Often expensive and complex for small operators</w:t>
            </w:r>
          </w:p>
        </w:tc>
      </w:tr>
      <w:tr w:rsidR="00FB68FA" w:rsidRPr="001264AD" w14:paraId="4F50367A" w14:textId="77777777">
        <w:trPr>
          <w:jc w:val="center"/>
        </w:trPr>
        <w:tc>
          <w:tcPr>
            <w:tcW w:w="2880" w:type="dxa"/>
          </w:tcPr>
          <w:p w14:paraId="7B5A131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lastRenderedPageBreak/>
              <w:t>Utility dashboards</w:t>
            </w:r>
          </w:p>
        </w:tc>
        <w:tc>
          <w:tcPr>
            <w:tcW w:w="3312" w:type="dxa"/>
          </w:tcPr>
          <w:p w14:paraId="499BA11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Reliable billing/usage visibility</w:t>
            </w:r>
          </w:p>
        </w:tc>
        <w:tc>
          <w:tcPr>
            <w:tcW w:w="3744" w:type="dxa"/>
          </w:tcPr>
          <w:p w14:paraId="7280B94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Limited predictive/anomaly intelligence</w:t>
            </w:r>
          </w:p>
        </w:tc>
      </w:tr>
      <w:tr w:rsidR="00FB68FA" w:rsidRPr="001264AD" w14:paraId="4DDBF0EF" w14:textId="77777777">
        <w:trPr>
          <w:jc w:val="center"/>
        </w:trPr>
        <w:tc>
          <w:tcPr>
            <w:tcW w:w="2880" w:type="dxa"/>
          </w:tcPr>
          <w:p w14:paraId="5346B8F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Energy consultants</w:t>
            </w:r>
          </w:p>
        </w:tc>
        <w:tc>
          <w:tcPr>
            <w:tcW w:w="3312" w:type="dxa"/>
          </w:tcPr>
          <w:p w14:paraId="5B32C2F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Human expertise and tailored recommendations</w:t>
            </w:r>
          </w:p>
        </w:tc>
        <w:tc>
          <w:tcPr>
            <w:tcW w:w="3744" w:type="dxa"/>
          </w:tcPr>
          <w:p w14:paraId="456EFC9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Expensive and not continuous</w:t>
            </w:r>
          </w:p>
        </w:tc>
      </w:tr>
      <w:tr w:rsidR="00FB68FA" w:rsidRPr="001264AD" w14:paraId="03A9BF28" w14:textId="77777777">
        <w:trPr>
          <w:jc w:val="center"/>
        </w:trPr>
        <w:tc>
          <w:tcPr>
            <w:tcW w:w="2880" w:type="dxa"/>
          </w:tcPr>
          <w:p w14:paraId="09B6EBC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Generic BI tools</w:t>
            </w:r>
          </w:p>
        </w:tc>
        <w:tc>
          <w:tcPr>
            <w:tcW w:w="3312" w:type="dxa"/>
          </w:tcPr>
          <w:p w14:paraId="497EDFF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Flexible visualization</w:t>
            </w:r>
          </w:p>
        </w:tc>
        <w:tc>
          <w:tcPr>
            <w:tcW w:w="3744" w:type="dxa"/>
          </w:tcPr>
          <w:p w14:paraId="23620D6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Require users to build their own analytical logic</w:t>
            </w:r>
          </w:p>
        </w:tc>
      </w:tr>
    </w:tbl>
    <w:p w14:paraId="2217099F" w14:textId="77777777" w:rsidR="00FB68FA" w:rsidRPr="001264AD" w:rsidRDefault="00FB68FA" w:rsidP="001264AD">
      <w:pPr>
        <w:spacing w:line="480" w:lineRule="auto"/>
        <w:rPr>
          <w:rFonts w:ascii="Times New Roman" w:hAnsi="Times New Roman" w:cs="Times New Roman"/>
          <w:sz w:val="24"/>
          <w:szCs w:val="24"/>
        </w:rPr>
      </w:pPr>
    </w:p>
    <w:p w14:paraId="68D8D30E"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1.6 Scope Boundaries</w:t>
      </w:r>
    </w:p>
    <w:p w14:paraId="6125A61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MVP analyzes energy and sensor data; it does not autonomously control HVAC or other equipment.</w:t>
      </w:r>
    </w:p>
    <w:p w14:paraId="7C6095D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Initial deployment targets commercial buildings in the United States.</w:t>
      </w:r>
    </w:p>
    <w:p w14:paraId="2060633F" w14:textId="64748085"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The first release supports electricity-focused anomaly detection; water, gas, and carbon optimization are later extensions</w:t>
      </w:r>
      <w:r w:rsidR="005025C3">
        <w:rPr>
          <w:rFonts w:ascii="Times New Roman" w:hAnsi="Times New Roman" w:cs="Times New Roman"/>
          <w:sz w:val="24"/>
          <w:szCs w:val="24"/>
        </w:rPr>
        <w:t xml:space="preserve"> </w:t>
      </w:r>
      <w:r w:rsidR="005025C3">
        <w:rPr>
          <w:rFonts w:ascii="Times New Roman" w:hAnsi="Times New Roman" w:cs="Times New Roman"/>
          <w:sz w:val="24"/>
          <w:szCs w:val="24"/>
        </w:rPr>
        <w:t>(</w:t>
      </w:r>
      <w:r w:rsidR="005025C3" w:rsidRPr="001264AD">
        <w:rPr>
          <w:rFonts w:ascii="Times New Roman" w:hAnsi="Times New Roman" w:cs="Times New Roman"/>
          <w:sz w:val="24"/>
          <w:szCs w:val="24"/>
        </w:rPr>
        <w:t>Ramachandran &amp; Agrawal, 2025</w:t>
      </w:r>
      <w:r w:rsidR="005025C3">
        <w:rPr>
          <w:rFonts w:ascii="Times New Roman" w:hAnsi="Times New Roman" w:cs="Times New Roman"/>
          <w:sz w:val="24"/>
          <w:szCs w:val="24"/>
        </w:rPr>
        <w:t>)</w:t>
      </w:r>
      <w:r w:rsidRPr="001264AD">
        <w:rPr>
          <w:rFonts w:ascii="Times New Roman" w:hAnsi="Times New Roman" w:cs="Times New Roman"/>
          <w:sz w:val="24"/>
          <w:szCs w:val="24"/>
        </w:rPr>
        <w:t>.</w:t>
      </w:r>
    </w:p>
    <w:p w14:paraId="2CCC262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The system provides decision support and evidence, not engineering certification or guaranteed savings.</w:t>
      </w:r>
    </w:p>
    <w:p w14:paraId="2EE07DD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br w:type="page"/>
      </w:r>
    </w:p>
    <w:p w14:paraId="75484225" w14:textId="77777777" w:rsidR="00FB68FA" w:rsidRPr="001264AD" w:rsidRDefault="00000000" w:rsidP="001264AD">
      <w:pPr>
        <w:spacing w:line="480" w:lineRule="auto"/>
        <w:jc w:val="center"/>
        <w:rPr>
          <w:rFonts w:ascii="Times New Roman" w:hAnsi="Times New Roman" w:cs="Times New Roman"/>
          <w:b/>
          <w:bCs/>
          <w:sz w:val="24"/>
          <w:szCs w:val="24"/>
        </w:rPr>
      </w:pPr>
      <w:r w:rsidRPr="001264AD">
        <w:rPr>
          <w:rFonts w:ascii="Times New Roman" w:hAnsi="Times New Roman" w:cs="Times New Roman"/>
          <w:b/>
          <w:bCs/>
          <w:sz w:val="24"/>
          <w:szCs w:val="24"/>
        </w:rPr>
        <w:lastRenderedPageBreak/>
        <w:t>Phase 2 – Technical Solution</w:t>
      </w:r>
    </w:p>
    <w:p w14:paraId="701E899D"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2.1 Proposed Technology Stack</w:t>
      </w:r>
    </w:p>
    <w:tbl>
      <w:tblPr>
        <w:tblStyle w:val="TableGrid"/>
        <w:tblW w:w="0" w:type="auto"/>
        <w:jc w:val="center"/>
        <w:tblLook w:val="04A0" w:firstRow="1" w:lastRow="0" w:firstColumn="1" w:lastColumn="0" w:noHBand="0" w:noVBand="1"/>
      </w:tblPr>
      <w:tblGrid>
        <w:gridCol w:w="2160"/>
        <w:gridCol w:w="3024"/>
        <w:gridCol w:w="4752"/>
      </w:tblGrid>
      <w:tr w:rsidR="00FB68FA" w:rsidRPr="001264AD" w14:paraId="3DB7CDDA" w14:textId="77777777">
        <w:trPr>
          <w:jc w:val="center"/>
        </w:trPr>
        <w:tc>
          <w:tcPr>
            <w:tcW w:w="2160" w:type="dxa"/>
            <w:shd w:val="clear" w:color="auto" w:fill="D9EAF7"/>
            <w:vAlign w:val="center"/>
          </w:tcPr>
          <w:p w14:paraId="5E9235C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Layer</w:t>
            </w:r>
          </w:p>
        </w:tc>
        <w:tc>
          <w:tcPr>
            <w:tcW w:w="3024" w:type="dxa"/>
            <w:shd w:val="clear" w:color="auto" w:fill="D9EAF7"/>
            <w:vAlign w:val="center"/>
          </w:tcPr>
          <w:p w14:paraId="2A2538B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Technology</w:t>
            </w:r>
          </w:p>
        </w:tc>
        <w:tc>
          <w:tcPr>
            <w:tcW w:w="4752" w:type="dxa"/>
            <w:shd w:val="clear" w:color="auto" w:fill="D9EAF7"/>
            <w:vAlign w:val="center"/>
          </w:tcPr>
          <w:p w14:paraId="70FD3A7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Purpose</w:t>
            </w:r>
          </w:p>
        </w:tc>
      </w:tr>
      <w:tr w:rsidR="00FB68FA" w:rsidRPr="001264AD" w14:paraId="2CF9ACD6" w14:textId="77777777">
        <w:trPr>
          <w:jc w:val="center"/>
        </w:trPr>
        <w:tc>
          <w:tcPr>
            <w:tcW w:w="2160" w:type="dxa"/>
          </w:tcPr>
          <w:p w14:paraId="4F61051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Frontend</w:t>
            </w:r>
          </w:p>
        </w:tc>
        <w:tc>
          <w:tcPr>
            <w:tcW w:w="3024" w:type="dxa"/>
          </w:tcPr>
          <w:p w14:paraId="580CA4C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React + TypeScript + Vite</w:t>
            </w:r>
          </w:p>
        </w:tc>
        <w:tc>
          <w:tcPr>
            <w:tcW w:w="4752" w:type="dxa"/>
          </w:tcPr>
          <w:p w14:paraId="781A88A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Responsive dashboard and alert workflows</w:t>
            </w:r>
          </w:p>
        </w:tc>
      </w:tr>
      <w:tr w:rsidR="00FB68FA" w:rsidRPr="001264AD" w14:paraId="5723F5D2" w14:textId="77777777">
        <w:trPr>
          <w:jc w:val="center"/>
        </w:trPr>
        <w:tc>
          <w:tcPr>
            <w:tcW w:w="2160" w:type="dxa"/>
          </w:tcPr>
          <w:p w14:paraId="016867E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UI</w:t>
            </w:r>
          </w:p>
        </w:tc>
        <w:tc>
          <w:tcPr>
            <w:tcW w:w="3024" w:type="dxa"/>
          </w:tcPr>
          <w:p w14:paraId="1D66104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Tailwind CSS + accessible component library</w:t>
            </w:r>
          </w:p>
        </w:tc>
        <w:tc>
          <w:tcPr>
            <w:tcW w:w="4752" w:type="dxa"/>
          </w:tcPr>
          <w:p w14:paraId="6F8B896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Consistent, responsive interface</w:t>
            </w:r>
          </w:p>
        </w:tc>
      </w:tr>
      <w:tr w:rsidR="00FB68FA" w:rsidRPr="001264AD" w14:paraId="3E4DA690" w14:textId="77777777">
        <w:trPr>
          <w:jc w:val="center"/>
        </w:trPr>
        <w:tc>
          <w:tcPr>
            <w:tcW w:w="2160" w:type="dxa"/>
          </w:tcPr>
          <w:p w14:paraId="199A6C0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Backend</w:t>
            </w:r>
          </w:p>
        </w:tc>
        <w:tc>
          <w:tcPr>
            <w:tcW w:w="3024" w:type="dxa"/>
          </w:tcPr>
          <w:p w14:paraId="542E3FB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Python + FastAPI</w:t>
            </w:r>
          </w:p>
        </w:tc>
        <w:tc>
          <w:tcPr>
            <w:tcW w:w="4752" w:type="dxa"/>
          </w:tcPr>
          <w:p w14:paraId="0D4F827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REST API, authentication, orchestration</w:t>
            </w:r>
          </w:p>
        </w:tc>
      </w:tr>
      <w:tr w:rsidR="00FB68FA" w:rsidRPr="001264AD" w14:paraId="45147095" w14:textId="77777777">
        <w:trPr>
          <w:jc w:val="center"/>
        </w:trPr>
        <w:tc>
          <w:tcPr>
            <w:tcW w:w="2160" w:type="dxa"/>
          </w:tcPr>
          <w:p w14:paraId="43FBC22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Application DB</w:t>
            </w:r>
          </w:p>
        </w:tc>
        <w:tc>
          <w:tcPr>
            <w:tcW w:w="3024" w:type="dxa"/>
          </w:tcPr>
          <w:p w14:paraId="2C53EB7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PostgreSQL</w:t>
            </w:r>
          </w:p>
        </w:tc>
        <w:tc>
          <w:tcPr>
            <w:tcW w:w="4752" w:type="dxa"/>
          </w:tcPr>
          <w:p w14:paraId="2A7E29C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Users, organizations, buildings, alert states, audit metadata</w:t>
            </w:r>
          </w:p>
        </w:tc>
      </w:tr>
      <w:tr w:rsidR="00FB68FA" w:rsidRPr="001264AD" w14:paraId="640CAF74" w14:textId="77777777">
        <w:trPr>
          <w:jc w:val="center"/>
        </w:trPr>
        <w:tc>
          <w:tcPr>
            <w:tcW w:w="2160" w:type="dxa"/>
          </w:tcPr>
          <w:p w14:paraId="3C2FE90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Time-series data</w:t>
            </w:r>
          </w:p>
        </w:tc>
        <w:tc>
          <w:tcPr>
            <w:tcW w:w="3024" w:type="dxa"/>
          </w:tcPr>
          <w:p w14:paraId="150CB1A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Amazon Timestream</w:t>
            </w:r>
          </w:p>
        </w:tc>
        <w:tc>
          <w:tcPr>
            <w:tcW w:w="4752" w:type="dxa"/>
          </w:tcPr>
          <w:p w14:paraId="2307246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High-volume timestamped sensor/energy observations</w:t>
            </w:r>
          </w:p>
        </w:tc>
      </w:tr>
      <w:tr w:rsidR="00FB68FA" w:rsidRPr="001264AD" w14:paraId="286CE372" w14:textId="77777777">
        <w:trPr>
          <w:jc w:val="center"/>
        </w:trPr>
        <w:tc>
          <w:tcPr>
            <w:tcW w:w="2160" w:type="dxa"/>
          </w:tcPr>
          <w:p w14:paraId="55B3D0C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Object storage</w:t>
            </w:r>
          </w:p>
        </w:tc>
        <w:tc>
          <w:tcPr>
            <w:tcW w:w="3024" w:type="dxa"/>
          </w:tcPr>
          <w:p w14:paraId="6E5D41C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Amazon S3</w:t>
            </w:r>
          </w:p>
        </w:tc>
        <w:tc>
          <w:tcPr>
            <w:tcW w:w="4752" w:type="dxa"/>
          </w:tcPr>
          <w:p w14:paraId="0AB04C5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Raw files, training datasets, model artifacts</w:t>
            </w:r>
          </w:p>
        </w:tc>
      </w:tr>
      <w:tr w:rsidR="00FB68FA" w:rsidRPr="001264AD" w14:paraId="1F2B8A64" w14:textId="77777777">
        <w:trPr>
          <w:jc w:val="center"/>
        </w:trPr>
        <w:tc>
          <w:tcPr>
            <w:tcW w:w="2160" w:type="dxa"/>
          </w:tcPr>
          <w:p w14:paraId="745E575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IoT ingestion</w:t>
            </w:r>
          </w:p>
        </w:tc>
        <w:tc>
          <w:tcPr>
            <w:tcW w:w="3024" w:type="dxa"/>
          </w:tcPr>
          <w:p w14:paraId="6249970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AWS IoT Core</w:t>
            </w:r>
          </w:p>
        </w:tc>
        <w:tc>
          <w:tcPr>
            <w:tcW w:w="4752" w:type="dxa"/>
          </w:tcPr>
          <w:p w14:paraId="3C3382B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Secure MQTT/device and gateway ingestion</w:t>
            </w:r>
          </w:p>
        </w:tc>
      </w:tr>
      <w:tr w:rsidR="00FB68FA" w:rsidRPr="001264AD" w14:paraId="7FF376F1" w14:textId="77777777">
        <w:trPr>
          <w:jc w:val="center"/>
        </w:trPr>
        <w:tc>
          <w:tcPr>
            <w:tcW w:w="2160" w:type="dxa"/>
          </w:tcPr>
          <w:p w14:paraId="6468F03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ML</w:t>
            </w:r>
          </w:p>
        </w:tc>
        <w:tc>
          <w:tcPr>
            <w:tcW w:w="3024" w:type="dxa"/>
          </w:tcPr>
          <w:p w14:paraId="28D4A90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scikit-learn + XGBoost</w:t>
            </w:r>
          </w:p>
        </w:tc>
        <w:tc>
          <w:tcPr>
            <w:tcW w:w="4752" w:type="dxa"/>
          </w:tcPr>
          <w:p w14:paraId="01644D3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Baseline anomaly detection and classification/ranking</w:t>
            </w:r>
          </w:p>
        </w:tc>
      </w:tr>
      <w:tr w:rsidR="00FB68FA" w:rsidRPr="001264AD" w14:paraId="23C65124" w14:textId="77777777">
        <w:trPr>
          <w:jc w:val="center"/>
        </w:trPr>
        <w:tc>
          <w:tcPr>
            <w:tcW w:w="2160" w:type="dxa"/>
          </w:tcPr>
          <w:p w14:paraId="3A2709B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Data processing</w:t>
            </w:r>
          </w:p>
        </w:tc>
        <w:tc>
          <w:tcPr>
            <w:tcW w:w="3024" w:type="dxa"/>
          </w:tcPr>
          <w:p w14:paraId="06ABA05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Python/Pandas + AWS Lambda/ECS jobs</w:t>
            </w:r>
          </w:p>
        </w:tc>
        <w:tc>
          <w:tcPr>
            <w:tcW w:w="4752" w:type="dxa"/>
          </w:tcPr>
          <w:p w14:paraId="0133300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Cleaning, feature engineering, scheduled processing</w:t>
            </w:r>
          </w:p>
        </w:tc>
      </w:tr>
      <w:tr w:rsidR="00FB68FA" w:rsidRPr="001264AD" w14:paraId="1E7FDD18" w14:textId="77777777">
        <w:trPr>
          <w:jc w:val="center"/>
        </w:trPr>
        <w:tc>
          <w:tcPr>
            <w:tcW w:w="2160" w:type="dxa"/>
          </w:tcPr>
          <w:p w14:paraId="0A23885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Cloud</w:t>
            </w:r>
          </w:p>
        </w:tc>
        <w:tc>
          <w:tcPr>
            <w:tcW w:w="3024" w:type="dxa"/>
          </w:tcPr>
          <w:p w14:paraId="1031D0F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AWS</w:t>
            </w:r>
          </w:p>
        </w:tc>
        <w:tc>
          <w:tcPr>
            <w:tcW w:w="4752" w:type="dxa"/>
          </w:tcPr>
          <w:p w14:paraId="622AC97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Managed infrastructure, scaling, security, monitoring</w:t>
            </w:r>
          </w:p>
        </w:tc>
      </w:tr>
      <w:tr w:rsidR="00FB68FA" w:rsidRPr="001264AD" w14:paraId="11EC5206" w14:textId="77777777">
        <w:trPr>
          <w:jc w:val="center"/>
        </w:trPr>
        <w:tc>
          <w:tcPr>
            <w:tcW w:w="2160" w:type="dxa"/>
          </w:tcPr>
          <w:p w14:paraId="2A51B17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Monitoring</w:t>
            </w:r>
          </w:p>
        </w:tc>
        <w:tc>
          <w:tcPr>
            <w:tcW w:w="3024" w:type="dxa"/>
          </w:tcPr>
          <w:p w14:paraId="1B11201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Amazon CloudWatch</w:t>
            </w:r>
          </w:p>
        </w:tc>
        <w:tc>
          <w:tcPr>
            <w:tcW w:w="4752" w:type="dxa"/>
          </w:tcPr>
          <w:p w14:paraId="7B088BE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Logs, metrics, alarms, dashboards</w:t>
            </w:r>
          </w:p>
        </w:tc>
      </w:tr>
      <w:tr w:rsidR="00FB68FA" w:rsidRPr="001264AD" w14:paraId="280DD0B9" w14:textId="77777777">
        <w:trPr>
          <w:jc w:val="center"/>
        </w:trPr>
        <w:tc>
          <w:tcPr>
            <w:tcW w:w="2160" w:type="dxa"/>
          </w:tcPr>
          <w:p w14:paraId="321364B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CI/CD</w:t>
            </w:r>
          </w:p>
        </w:tc>
        <w:tc>
          <w:tcPr>
            <w:tcW w:w="3024" w:type="dxa"/>
          </w:tcPr>
          <w:p w14:paraId="2D0B33E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GitHub Actions + AWS deployment pipeline</w:t>
            </w:r>
          </w:p>
        </w:tc>
        <w:tc>
          <w:tcPr>
            <w:tcW w:w="4752" w:type="dxa"/>
          </w:tcPr>
          <w:p w14:paraId="21D29E40" w14:textId="647365FA"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Automated test/build/deploy workflow</w:t>
            </w:r>
            <w:r w:rsidR="005025C3">
              <w:rPr>
                <w:rFonts w:ascii="Times New Roman" w:hAnsi="Times New Roman" w:cs="Times New Roman"/>
                <w:sz w:val="24"/>
                <w:szCs w:val="24"/>
              </w:rPr>
              <w:t>(</w:t>
            </w:r>
            <w:r w:rsidR="005025C3" w:rsidRPr="001264AD">
              <w:rPr>
                <w:rFonts w:ascii="Times New Roman" w:hAnsi="Times New Roman" w:cs="Times New Roman"/>
                <w:sz w:val="24"/>
                <w:szCs w:val="24"/>
              </w:rPr>
              <w:t>Ramachandran &amp; Agrawal, 2025</w:t>
            </w:r>
            <w:r w:rsidR="005025C3">
              <w:rPr>
                <w:rFonts w:ascii="Times New Roman" w:hAnsi="Times New Roman" w:cs="Times New Roman"/>
                <w:sz w:val="24"/>
                <w:szCs w:val="24"/>
              </w:rPr>
              <w:t>)</w:t>
            </w:r>
            <w:r w:rsidR="005025C3" w:rsidRPr="001264AD">
              <w:rPr>
                <w:rFonts w:ascii="Times New Roman" w:hAnsi="Times New Roman" w:cs="Times New Roman"/>
                <w:sz w:val="24"/>
                <w:szCs w:val="24"/>
              </w:rPr>
              <w:t>.</w:t>
            </w:r>
          </w:p>
        </w:tc>
      </w:tr>
    </w:tbl>
    <w:p w14:paraId="350D0A05" w14:textId="77777777" w:rsidR="00FB68FA" w:rsidRPr="001264AD" w:rsidRDefault="00FB68FA" w:rsidP="001264AD">
      <w:pPr>
        <w:spacing w:line="480" w:lineRule="auto"/>
        <w:rPr>
          <w:rFonts w:ascii="Times New Roman" w:hAnsi="Times New Roman" w:cs="Times New Roman"/>
          <w:sz w:val="24"/>
          <w:szCs w:val="24"/>
        </w:rPr>
      </w:pPr>
    </w:p>
    <w:p w14:paraId="5046403A"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lastRenderedPageBreak/>
        <w:t>2.2 Architecture Decisions</w:t>
      </w:r>
    </w:p>
    <w:p w14:paraId="5D14D7F3" w14:textId="16FC193C" w:rsidR="001264AD" w:rsidRPr="001264AD" w:rsidRDefault="001264AD" w:rsidP="001264AD">
      <w:pPr>
        <w:spacing w:line="480" w:lineRule="auto"/>
        <w:ind w:firstLine="720"/>
        <w:rPr>
          <w:rFonts w:ascii="Times New Roman" w:hAnsi="Times New Roman" w:cs="Times New Roman"/>
          <w:sz w:val="24"/>
          <w:szCs w:val="24"/>
        </w:rPr>
      </w:pPr>
      <w:r w:rsidRPr="001264AD">
        <w:rPr>
          <w:rFonts w:ascii="Times New Roman" w:hAnsi="Times New Roman" w:cs="Times New Roman"/>
          <w:sz w:val="24"/>
          <w:szCs w:val="24"/>
        </w:rPr>
        <w:t>A modular cloud architecture is better than a monolithic server since ingestion, analytics, and the web application scale differently. AWS IoT Core may transport device communications directly into Amazon Timestream and trigger Lambda operations using IoT rules to control device telemetry to time-series storage. React/TypeScript is chosen over server-rendered templates because the dashboard-heavy offering requires interactive filtering and near-real-time alert updates. FastAPI/Python is preferred over Node-only services because the ML pipeline is Python-native. PostgreSQL stores relational application data while Timestream manages time-series telemetry to avoid overloading the transactional database with analytical queries.</w:t>
      </w:r>
    </w:p>
    <w:p w14:paraId="1ACEC241"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2.3 ML Approach</w:t>
      </w:r>
    </w:p>
    <w:p w14:paraId="08FEEC5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b/>
          <w:bCs/>
          <w:sz w:val="24"/>
          <w:szCs w:val="24"/>
        </w:rPr>
        <w:t>Data validation</w:t>
      </w:r>
      <w:r w:rsidRPr="001264AD">
        <w:rPr>
          <w:rFonts w:ascii="Times New Roman" w:hAnsi="Times New Roman" w:cs="Times New Roman"/>
          <w:sz w:val="24"/>
          <w:szCs w:val="24"/>
        </w:rPr>
        <w:t>: remove duplicates, flag missing intervals, standardize units, and identify sensor dropouts.</w:t>
      </w:r>
    </w:p>
    <w:p w14:paraId="36BE80D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b/>
          <w:bCs/>
          <w:sz w:val="24"/>
          <w:szCs w:val="24"/>
        </w:rPr>
        <w:t>Feature engineering:</w:t>
      </w:r>
      <w:r w:rsidRPr="001264AD">
        <w:rPr>
          <w:rFonts w:ascii="Times New Roman" w:hAnsi="Times New Roman" w:cs="Times New Roman"/>
          <w:sz w:val="24"/>
          <w:szCs w:val="24"/>
        </w:rPr>
        <w:t xml:space="preserve"> rolling mean, rolling standard deviation, hour-of-day, day-of-week, weather-adjusted load, recent trend, and building baseline features.</w:t>
      </w:r>
    </w:p>
    <w:p w14:paraId="4561251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Baseline model: seasonal statistical thresholds provide an interpretable benchmark.</w:t>
      </w:r>
    </w:p>
    <w:p w14:paraId="3AD81E7F" w14:textId="56699515"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b/>
          <w:bCs/>
          <w:sz w:val="24"/>
          <w:szCs w:val="24"/>
        </w:rPr>
        <w:t>Primary model:</w:t>
      </w:r>
      <w:r w:rsidRPr="001264AD">
        <w:rPr>
          <w:rFonts w:ascii="Times New Roman" w:hAnsi="Times New Roman" w:cs="Times New Roman"/>
          <w:sz w:val="24"/>
          <w:szCs w:val="24"/>
        </w:rPr>
        <w:t xml:space="preserve"> Isolation Forest or related unsupervised method identifies unusual patterns when labeled anomalies are scarce</w:t>
      </w:r>
      <w:r w:rsidR="005025C3">
        <w:rPr>
          <w:rFonts w:ascii="Times New Roman" w:hAnsi="Times New Roman" w:cs="Times New Roman"/>
          <w:sz w:val="24"/>
          <w:szCs w:val="24"/>
        </w:rPr>
        <w:t xml:space="preserve"> </w:t>
      </w:r>
      <w:r w:rsidR="005025C3">
        <w:rPr>
          <w:rFonts w:ascii="Times New Roman" w:hAnsi="Times New Roman" w:cs="Times New Roman"/>
          <w:sz w:val="24"/>
          <w:szCs w:val="24"/>
        </w:rPr>
        <w:t>(</w:t>
      </w:r>
      <w:r w:rsidR="005025C3" w:rsidRPr="001264AD">
        <w:rPr>
          <w:rFonts w:ascii="Times New Roman" w:hAnsi="Times New Roman" w:cs="Times New Roman"/>
          <w:sz w:val="24"/>
          <w:szCs w:val="24"/>
        </w:rPr>
        <w:t>Ramachandran &amp; Agrawal, 2025</w:t>
      </w:r>
      <w:r w:rsidR="005025C3">
        <w:rPr>
          <w:rFonts w:ascii="Times New Roman" w:hAnsi="Times New Roman" w:cs="Times New Roman"/>
          <w:sz w:val="24"/>
          <w:szCs w:val="24"/>
        </w:rPr>
        <w:t>)</w:t>
      </w:r>
      <w:r w:rsidRPr="001264AD">
        <w:rPr>
          <w:rFonts w:ascii="Times New Roman" w:hAnsi="Times New Roman" w:cs="Times New Roman"/>
          <w:sz w:val="24"/>
          <w:szCs w:val="24"/>
        </w:rPr>
        <w:t>.</w:t>
      </w:r>
    </w:p>
    <w:p w14:paraId="1016CAC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b/>
          <w:bCs/>
          <w:sz w:val="24"/>
          <w:szCs w:val="24"/>
        </w:rPr>
        <w:t>Supervised enhancement:</w:t>
      </w:r>
      <w:r w:rsidRPr="001264AD">
        <w:rPr>
          <w:rFonts w:ascii="Times New Roman" w:hAnsi="Times New Roman" w:cs="Times New Roman"/>
          <w:sz w:val="24"/>
          <w:szCs w:val="24"/>
        </w:rPr>
        <w:t xml:space="preserve"> XGBoost ranks likely anomaly categories after sufficient technician-labeled examples are collected.</w:t>
      </w:r>
    </w:p>
    <w:p w14:paraId="556CEEB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b/>
          <w:bCs/>
          <w:sz w:val="24"/>
          <w:szCs w:val="24"/>
        </w:rPr>
        <w:t>Explanation layer:</w:t>
      </w:r>
      <w:r w:rsidRPr="001264AD">
        <w:rPr>
          <w:rFonts w:ascii="Times New Roman" w:hAnsi="Times New Roman" w:cs="Times New Roman"/>
          <w:sz w:val="24"/>
          <w:szCs w:val="24"/>
        </w:rPr>
        <w:t xml:space="preserve"> the alert shows the baseline comparison, magnitude of deviation, duration, and top contributing signals rather than presenting an unexplained model score.</w:t>
      </w:r>
    </w:p>
    <w:p w14:paraId="4F0E701E"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lastRenderedPageBreak/>
        <w:t>2.4 Third-Party APIs and Integrations</w:t>
      </w:r>
    </w:p>
    <w:p w14:paraId="77F00AF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Weather API: hourly temperature and weather observations for weather-normalized comparisons.</w:t>
      </w:r>
    </w:p>
    <w:p w14:paraId="4EE24874" w14:textId="6060D16F"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 xml:space="preserve">ENERGY STAR Portfolio Manager Web Services: optional benchmarking integration for customers that authorize data exchange; EPA provides RESTful web services for exchanging Portfolio Manager data. </w:t>
      </w:r>
    </w:p>
    <w:p w14:paraId="5A025AF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Identity provider: managed OAuth 2.0/OpenID Connect service for authentication and enterprise SSO in later versions.</w:t>
      </w:r>
    </w:p>
    <w:p w14:paraId="27697560" w14:textId="5CC051A0"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Optional building-management-system connector: vendor-specific API or gateway integration where supported</w:t>
      </w:r>
      <w:r w:rsidR="005025C3">
        <w:rPr>
          <w:rFonts w:ascii="Times New Roman" w:hAnsi="Times New Roman" w:cs="Times New Roman"/>
          <w:sz w:val="24"/>
          <w:szCs w:val="24"/>
        </w:rPr>
        <w:t xml:space="preserve"> </w:t>
      </w:r>
      <w:r w:rsidR="005025C3">
        <w:rPr>
          <w:rFonts w:ascii="Times New Roman" w:hAnsi="Times New Roman" w:cs="Times New Roman"/>
          <w:sz w:val="24"/>
          <w:szCs w:val="24"/>
        </w:rPr>
        <w:t>(</w:t>
      </w:r>
      <w:r w:rsidR="005025C3" w:rsidRPr="001264AD">
        <w:rPr>
          <w:rFonts w:ascii="Times New Roman" w:hAnsi="Times New Roman" w:cs="Times New Roman"/>
          <w:sz w:val="24"/>
          <w:szCs w:val="24"/>
        </w:rPr>
        <w:t>Ramachandran &amp; Agrawal, 2025</w:t>
      </w:r>
      <w:r w:rsidR="005025C3">
        <w:rPr>
          <w:rFonts w:ascii="Times New Roman" w:hAnsi="Times New Roman" w:cs="Times New Roman"/>
          <w:sz w:val="24"/>
          <w:szCs w:val="24"/>
        </w:rPr>
        <w:t>)</w:t>
      </w:r>
      <w:r w:rsidRPr="001264AD">
        <w:rPr>
          <w:rFonts w:ascii="Times New Roman" w:hAnsi="Times New Roman" w:cs="Times New Roman"/>
          <w:sz w:val="24"/>
          <w:szCs w:val="24"/>
        </w:rPr>
        <w:t>.</w:t>
      </w:r>
    </w:p>
    <w:p w14:paraId="13C8B912"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2.5 Integration Requirements</w:t>
      </w:r>
    </w:p>
    <w:p w14:paraId="1670AF2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Sensor/gateway payloads must contain timestamp, building/site identifier, metric, value, and unit.</w:t>
      </w:r>
    </w:p>
    <w:p w14:paraId="7BFCF75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All device traffic must use TLS; device credentials are unique and revocable.</w:t>
      </w:r>
    </w:p>
    <w:p w14:paraId="32A97B9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The ingestion layer must tolerate duplicate messages and short network interruptions.</w:t>
      </w:r>
    </w:p>
    <w:p w14:paraId="2AF7A96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APIs must support tenant isolation so one customer's building data cannot be accessed by another customer.</w:t>
      </w:r>
    </w:p>
    <w:p w14:paraId="7A2986F6" w14:textId="0CB0356D"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Every alert and model version must be traceable through an audit record</w:t>
      </w:r>
      <w:r w:rsidR="005025C3">
        <w:rPr>
          <w:rFonts w:ascii="Times New Roman" w:hAnsi="Times New Roman" w:cs="Times New Roman"/>
          <w:sz w:val="24"/>
          <w:szCs w:val="24"/>
        </w:rPr>
        <w:t xml:space="preserve"> </w:t>
      </w:r>
      <w:r w:rsidR="005025C3">
        <w:rPr>
          <w:rFonts w:ascii="Times New Roman" w:hAnsi="Times New Roman" w:cs="Times New Roman"/>
          <w:sz w:val="24"/>
          <w:szCs w:val="24"/>
        </w:rPr>
        <w:t>(</w:t>
      </w:r>
      <w:r w:rsidR="005025C3" w:rsidRPr="001264AD">
        <w:rPr>
          <w:rFonts w:ascii="Times New Roman" w:hAnsi="Times New Roman" w:cs="Times New Roman"/>
          <w:sz w:val="24"/>
          <w:szCs w:val="24"/>
        </w:rPr>
        <w:t>Ramachandran &amp; Agrawal, 2025</w:t>
      </w:r>
      <w:r w:rsidR="005025C3">
        <w:rPr>
          <w:rFonts w:ascii="Times New Roman" w:hAnsi="Times New Roman" w:cs="Times New Roman"/>
          <w:sz w:val="24"/>
          <w:szCs w:val="24"/>
        </w:rPr>
        <w:t>)</w:t>
      </w:r>
      <w:r w:rsidRPr="001264AD">
        <w:rPr>
          <w:rFonts w:ascii="Times New Roman" w:hAnsi="Times New Roman" w:cs="Times New Roman"/>
          <w:sz w:val="24"/>
          <w:szCs w:val="24"/>
        </w:rPr>
        <w:t>.</w:t>
      </w:r>
    </w:p>
    <w:p w14:paraId="262B895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br w:type="page"/>
      </w:r>
    </w:p>
    <w:p w14:paraId="6F3FF5AA" w14:textId="77777777" w:rsidR="00FB68FA" w:rsidRPr="001264AD" w:rsidRDefault="00000000" w:rsidP="001264AD">
      <w:pPr>
        <w:spacing w:line="480" w:lineRule="auto"/>
        <w:jc w:val="center"/>
        <w:rPr>
          <w:rFonts w:ascii="Times New Roman" w:hAnsi="Times New Roman" w:cs="Times New Roman"/>
          <w:b/>
          <w:bCs/>
          <w:sz w:val="24"/>
          <w:szCs w:val="24"/>
        </w:rPr>
      </w:pPr>
      <w:r w:rsidRPr="001264AD">
        <w:rPr>
          <w:rFonts w:ascii="Times New Roman" w:hAnsi="Times New Roman" w:cs="Times New Roman"/>
          <w:b/>
          <w:bCs/>
          <w:sz w:val="24"/>
          <w:szCs w:val="24"/>
        </w:rPr>
        <w:lastRenderedPageBreak/>
        <w:t>Phase 3 – Design &amp; Prototype</w:t>
      </w:r>
    </w:p>
    <w:p w14:paraId="03C063A9"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3.1 MVP Feature List</w:t>
      </w:r>
    </w:p>
    <w:p w14:paraId="06BC094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Secure account creation and organization onboarding.</w:t>
      </w:r>
    </w:p>
    <w:p w14:paraId="76BC120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Building registration and data-source configuration.</w:t>
      </w:r>
    </w:p>
    <w:p w14:paraId="280C635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Portfolio dashboard showing energy trend, building health, and active anomalies.</w:t>
      </w:r>
    </w:p>
    <w:p w14:paraId="7E4C07D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Alert center with severity, duration, deviation magnitude, and confidence.</w:t>
      </w:r>
    </w:p>
    <w:p w14:paraId="45D60AB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Alert detail page showing baseline comparison and recommended investigation steps.</w:t>
      </w:r>
    </w:p>
    <w:p w14:paraId="3F65E42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Historical trend charts with hourly/daily/weekly views.</w:t>
      </w:r>
    </w:p>
    <w:p w14:paraId="42ED6AB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Email notifications for high-severity anomalies.</w:t>
      </w:r>
    </w:p>
    <w:p w14:paraId="2923556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Basic role-based access: administrator, manager, technician, read-only.</w:t>
      </w:r>
    </w:p>
    <w:p w14:paraId="4B8F49D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Audit trail for alert acknowledgement and status changes.</w:t>
      </w:r>
    </w:p>
    <w:p w14:paraId="5310DAFB"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3.2 UI/UX Design Approach</w:t>
      </w:r>
    </w:p>
    <w:p w14:paraId="48AD9E28" w14:textId="168A51CA" w:rsidR="00FB68FA" w:rsidRPr="001264AD" w:rsidRDefault="00000000" w:rsidP="001264AD">
      <w:pPr>
        <w:spacing w:line="480" w:lineRule="auto"/>
        <w:ind w:firstLine="720"/>
        <w:rPr>
          <w:rFonts w:ascii="Times New Roman" w:hAnsi="Times New Roman" w:cs="Times New Roman"/>
          <w:sz w:val="24"/>
          <w:szCs w:val="24"/>
        </w:rPr>
      </w:pPr>
      <w:r w:rsidRPr="001264AD">
        <w:rPr>
          <w:rFonts w:ascii="Times New Roman" w:hAnsi="Times New Roman" w:cs="Times New Roman"/>
          <w:sz w:val="24"/>
          <w:szCs w:val="24"/>
        </w:rPr>
        <w:t>The interface follows a 'detect → understand → act' pattern. The home screen answers three questions: Which buildings need attention? How serious is each issue? What should I investigate first? Visual emphasis is placed on trends and exceptions rather than decorative dashboards. Color is not the only status signal; icons, labels, severity text, and accessible contrast are used so users can interpret alerts without relying on color alone</w:t>
      </w:r>
      <w:r w:rsidR="005025C3">
        <w:rPr>
          <w:rFonts w:ascii="Times New Roman" w:hAnsi="Times New Roman" w:cs="Times New Roman"/>
          <w:sz w:val="24"/>
          <w:szCs w:val="24"/>
        </w:rPr>
        <w:t xml:space="preserve"> </w:t>
      </w:r>
      <w:r w:rsidR="005025C3">
        <w:rPr>
          <w:rFonts w:ascii="Times New Roman" w:hAnsi="Times New Roman" w:cs="Times New Roman"/>
          <w:sz w:val="24"/>
          <w:szCs w:val="24"/>
        </w:rPr>
        <w:t>(</w:t>
      </w:r>
      <w:r w:rsidR="005025C3" w:rsidRPr="001264AD">
        <w:rPr>
          <w:rFonts w:ascii="Times New Roman" w:hAnsi="Times New Roman" w:cs="Times New Roman"/>
          <w:sz w:val="24"/>
          <w:szCs w:val="24"/>
        </w:rPr>
        <w:t>Ramachandran &amp; Agrawal, 2025</w:t>
      </w:r>
      <w:r w:rsidR="005025C3">
        <w:rPr>
          <w:rFonts w:ascii="Times New Roman" w:hAnsi="Times New Roman" w:cs="Times New Roman"/>
          <w:sz w:val="24"/>
          <w:szCs w:val="24"/>
        </w:rPr>
        <w:t>)</w:t>
      </w:r>
      <w:r w:rsidRPr="001264AD">
        <w:rPr>
          <w:rFonts w:ascii="Times New Roman" w:hAnsi="Times New Roman" w:cs="Times New Roman"/>
          <w:sz w:val="24"/>
          <w:szCs w:val="24"/>
        </w:rPr>
        <w:t>.</w:t>
      </w:r>
    </w:p>
    <w:p w14:paraId="47994F9B"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3.3 Core Functionality That Must Work</w:t>
      </w:r>
    </w:p>
    <w:tbl>
      <w:tblPr>
        <w:tblStyle w:val="TableGrid"/>
        <w:tblW w:w="0" w:type="auto"/>
        <w:jc w:val="center"/>
        <w:tblLook w:val="04A0" w:firstRow="1" w:lastRow="0" w:firstColumn="1" w:lastColumn="0" w:noHBand="0" w:noVBand="1"/>
      </w:tblPr>
      <w:tblGrid>
        <w:gridCol w:w="3024"/>
        <w:gridCol w:w="6624"/>
      </w:tblGrid>
      <w:tr w:rsidR="00FB68FA" w:rsidRPr="001264AD" w14:paraId="47C2BA17" w14:textId="77777777">
        <w:trPr>
          <w:jc w:val="center"/>
        </w:trPr>
        <w:tc>
          <w:tcPr>
            <w:tcW w:w="3024" w:type="dxa"/>
            <w:shd w:val="clear" w:color="auto" w:fill="D9EAF7"/>
            <w:vAlign w:val="center"/>
          </w:tcPr>
          <w:p w14:paraId="5F8FB67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Workflow</w:t>
            </w:r>
          </w:p>
        </w:tc>
        <w:tc>
          <w:tcPr>
            <w:tcW w:w="6624" w:type="dxa"/>
            <w:shd w:val="clear" w:color="auto" w:fill="D9EAF7"/>
            <w:vAlign w:val="center"/>
          </w:tcPr>
          <w:p w14:paraId="2756CB5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MVP Acceptance Condition</w:t>
            </w:r>
          </w:p>
        </w:tc>
      </w:tr>
      <w:tr w:rsidR="00FB68FA" w:rsidRPr="001264AD" w14:paraId="5C76F30C" w14:textId="77777777">
        <w:trPr>
          <w:jc w:val="center"/>
        </w:trPr>
        <w:tc>
          <w:tcPr>
            <w:tcW w:w="3024" w:type="dxa"/>
          </w:tcPr>
          <w:p w14:paraId="1469F22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lastRenderedPageBreak/>
              <w:t>Connect data source</w:t>
            </w:r>
          </w:p>
        </w:tc>
        <w:tc>
          <w:tcPr>
            <w:tcW w:w="6624" w:type="dxa"/>
          </w:tcPr>
          <w:p w14:paraId="3F7A937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 valid sample feed reaches the platform and appears in the selected building.</w:t>
            </w:r>
          </w:p>
        </w:tc>
      </w:tr>
      <w:tr w:rsidR="00FB68FA" w:rsidRPr="001264AD" w14:paraId="74C8E667" w14:textId="77777777">
        <w:trPr>
          <w:jc w:val="center"/>
        </w:trPr>
        <w:tc>
          <w:tcPr>
            <w:tcW w:w="3024" w:type="dxa"/>
          </w:tcPr>
          <w:p w14:paraId="5A56F88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Detect anomaly</w:t>
            </w:r>
          </w:p>
        </w:tc>
        <w:tc>
          <w:tcPr>
            <w:tcW w:w="6624" w:type="dxa"/>
          </w:tcPr>
          <w:p w14:paraId="55889BA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Known test anomalies are detected within the target processing window.</w:t>
            </w:r>
          </w:p>
        </w:tc>
      </w:tr>
      <w:tr w:rsidR="00FB68FA" w:rsidRPr="001264AD" w14:paraId="360557F7" w14:textId="77777777">
        <w:trPr>
          <w:jc w:val="center"/>
        </w:trPr>
        <w:tc>
          <w:tcPr>
            <w:tcW w:w="3024" w:type="dxa"/>
          </w:tcPr>
          <w:p w14:paraId="5A3C043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Explain anomaly</w:t>
            </w:r>
          </w:p>
        </w:tc>
        <w:tc>
          <w:tcPr>
            <w:tcW w:w="6624" w:type="dxa"/>
          </w:tcPr>
          <w:p w14:paraId="4B7A832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Alert page displays baseline, deviation, time period, and contributing signals.</w:t>
            </w:r>
          </w:p>
        </w:tc>
      </w:tr>
      <w:tr w:rsidR="00FB68FA" w:rsidRPr="001264AD" w14:paraId="20005C58" w14:textId="77777777">
        <w:trPr>
          <w:jc w:val="center"/>
        </w:trPr>
        <w:tc>
          <w:tcPr>
            <w:tcW w:w="3024" w:type="dxa"/>
          </w:tcPr>
          <w:p w14:paraId="060C637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Acknowledge alert</w:t>
            </w:r>
          </w:p>
        </w:tc>
        <w:tc>
          <w:tcPr>
            <w:tcW w:w="6624" w:type="dxa"/>
          </w:tcPr>
          <w:p w14:paraId="244FAF2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User can assign status and record an investigation note.</w:t>
            </w:r>
          </w:p>
        </w:tc>
      </w:tr>
      <w:tr w:rsidR="00FB68FA" w:rsidRPr="001264AD" w14:paraId="6409188D" w14:textId="77777777">
        <w:trPr>
          <w:jc w:val="center"/>
        </w:trPr>
        <w:tc>
          <w:tcPr>
            <w:tcW w:w="3024" w:type="dxa"/>
          </w:tcPr>
          <w:p w14:paraId="48E34D4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Notify user</w:t>
            </w:r>
          </w:p>
        </w:tc>
        <w:tc>
          <w:tcPr>
            <w:tcW w:w="6624" w:type="dxa"/>
          </w:tcPr>
          <w:p w14:paraId="53183DD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High-severity event produces an email notification within five minutes.</w:t>
            </w:r>
          </w:p>
        </w:tc>
      </w:tr>
      <w:tr w:rsidR="00FB68FA" w:rsidRPr="001264AD" w14:paraId="040AA543" w14:textId="77777777">
        <w:trPr>
          <w:jc w:val="center"/>
        </w:trPr>
        <w:tc>
          <w:tcPr>
            <w:tcW w:w="3024" w:type="dxa"/>
          </w:tcPr>
          <w:p w14:paraId="4BFFC2F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Tenant isolation</w:t>
            </w:r>
          </w:p>
        </w:tc>
        <w:tc>
          <w:tcPr>
            <w:tcW w:w="6624" w:type="dxa"/>
          </w:tcPr>
          <w:p w14:paraId="2DE6A31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User cannot retrieve another organization's building data through UI or API.</w:t>
            </w:r>
          </w:p>
        </w:tc>
      </w:tr>
    </w:tbl>
    <w:p w14:paraId="2772A5E7" w14:textId="77777777" w:rsidR="00FB68FA" w:rsidRPr="001264AD" w:rsidRDefault="00FB68FA" w:rsidP="001264AD">
      <w:pPr>
        <w:spacing w:line="480" w:lineRule="auto"/>
        <w:rPr>
          <w:rFonts w:ascii="Times New Roman" w:hAnsi="Times New Roman" w:cs="Times New Roman"/>
          <w:sz w:val="24"/>
          <w:szCs w:val="24"/>
        </w:rPr>
      </w:pPr>
    </w:p>
    <w:p w14:paraId="745348FC"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3.4 Intentionally Excluded From MVP</w:t>
      </w:r>
    </w:p>
    <w:p w14:paraId="3A23E2F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Automatic equipment control or closed-loop HVAC optimization.</w:t>
      </w:r>
    </w:p>
    <w:p w14:paraId="0DC7A5B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Native mobile applications.</w:t>
      </w:r>
    </w:p>
    <w:p w14:paraId="3F2CC12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Complex predictive maintenance for individual machine components.</w:t>
      </w:r>
    </w:p>
    <w:p w14:paraId="32FB026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Carbon-accounting automation across every utility type.</w:t>
      </w:r>
    </w:p>
    <w:p w14:paraId="629838A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Multi-country localization and multilingual support.</w:t>
      </w:r>
    </w:p>
    <w:p w14:paraId="04C3507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Custom deep-learning models requiring large labeled datasets.</w:t>
      </w:r>
    </w:p>
    <w:p w14:paraId="53F1C1BC"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3.5 End-to-End User Flow</w:t>
      </w:r>
    </w:p>
    <w:p w14:paraId="7CA23C7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User signs up and verifies identity.</w:t>
      </w:r>
    </w:p>
    <w:p w14:paraId="76F65BA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lastRenderedPageBreak/>
        <w:t>Organization administrator creates the organization and invites team members.</w:t>
      </w:r>
    </w:p>
    <w:p w14:paraId="6427C96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Administrator creates a building profile and selects the available data source.</w:t>
      </w:r>
    </w:p>
    <w:p w14:paraId="656627E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System validates the incoming data and establishes an initial baseline over approximately 14 days.</w:t>
      </w:r>
    </w:p>
    <w:p w14:paraId="1B154DD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Dashboard begins displaying normal patterns and anomaly scores.</w:t>
      </w:r>
    </w:p>
    <w:p w14:paraId="1B58F0A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 high-priority anomaly is detected and the facility manager receives an email alert.</w:t>
      </w:r>
    </w:p>
    <w:p w14:paraId="3E15EB1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Manager opens the alert, reviews evidence, and assigns it to a technician.</w:t>
      </w:r>
    </w:p>
    <w:p w14:paraId="69E803A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Technician records an investigation outcome.</w:t>
      </w:r>
    </w:p>
    <w:p w14:paraId="04E1100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Outcome is retained as feedback for future model calibration.</w:t>
      </w:r>
    </w:p>
    <w:p w14:paraId="492FFD9C"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3.6 Initial Technical Limitations</w:t>
      </w:r>
    </w:p>
    <w:p w14:paraId="51211E3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The first model may produce false positives during holidays, occupancy changes, or sensor failures.</w:t>
      </w:r>
    </w:p>
    <w:p w14:paraId="7E90137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Buildings without adequate historical data will have weaker baselines.</w:t>
      </w:r>
    </w:p>
    <w:p w14:paraId="7846C77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The MVP depends on data quality and cannot compensate for consistently broken sensors.</w:t>
      </w:r>
    </w:p>
    <w:p w14:paraId="4E6006E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Weather normalization will be imperfect when weather data is coarse or geographically distant.</w:t>
      </w:r>
    </w:p>
    <w:p w14:paraId="54F6064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Model performance will vary by building type until enough labeled outcomes are collected.</w:t>
      </w:r>
    </w:p>
    <w:p w14:paraId="7D5B2E9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br w:type="page"/>
      </w:r>
    </w:p>
    <w:p w14:paraId="2E16AF5F" w14:textId="77777777" w:rsidR="00FB68FA" w:rsidRPr="001264AD" w:rsidRDefault="00000000" w:rsidP="001264AD">
      <w:pPr>
        <w:spacing w:line="480" w:lineRule="auto"/>
        <w:jc w:val="center"/>
        <w:rPr>
          <w:rFonts w:ascii="Times New Roman" w:hAnsi="Times New Roman" w:cs="Times New Roman"/>
          <w:b/>
          <w:bCs/>
          <w:sz w:val="24"/>
          <w:szCs w:val="24"/>
        </w:rPr>
      </w:pPr>
      <w:r w:rsidRPr="001264AD">
        <w:rPr>
          <w:rFonts w:ascii="Times New Roman" w:hAnsi="Times New Roman" w:cs="Times New Roman"/>
          <w:b/>
          <w:bCs/>
          <w:sz w:val="24"/>
          <w:szCs w:val="24"/>
        </w:rPr>
        <w:lastRenderedPageBreak/>
        <w:t>Phase 4 – Testing &amp; Evaluation</w:t>
      </w:r>
    </w:p>
    <w:p w14:paraId="37528DA1"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4.1 KPI and Performance Targets</w:t>
      </w:r>
    </w:p>
    <w:tbl>
      <w:tblPr>
        <w:tblStyle w:val="TableGrid"/>
        <w:tblW w:w="0" w:type="auto"/>
        <w:jc w:val="center"/>
        <w:tblLook w:val="04A0" w:firstRow="1" w:lastRow="0" w:firstColumn="1" w:lastColumn="0" w:noHBand="0" w:noVBand="1"/>
      </w:tblPr>
      <w:tblGrid>
        <w:gridCol w:w="2304"/>
        <w:gridCol w:w="1944"/>
        <w:gridCol w:w="5400"/>
      </w:tblGrid>
      <w:tr w:rsidR="00FB68FA" w:rsidRPr="001264AD" w14:paraId="40BF6084" w14:textId="77777777">
        <w:trPr>
          <w:jc w:val="center"/>
        </w:trPr>
        <w:tc>
          <w:tcPr>
            <w:tcW w:w="2304" w:type="dxa"/>
            <w:shd w:val="clear" w:color="auto" w:fill="D9EAF7"/>
            <w:vAlign w:val="center"/>
          </w:tcPr>
          <w:p w14:paraId="7510233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Metric</w:t>
            </w:r>
          </w:p>
        </w:tc>
        <w:tc>
          <w:tcPr>
            <w:tcW w:w="1944" w:type="dxa"/>
            <w:shd w:val="clear" w:color="auto" w:fill="D9EAF7"/>
            <w:vAlign w:val="center"/>
          </w:tcPr>
          <w:p w14:paraId="0723EAF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Target</w:t>
            </w:r>
          </w:p>
        </w:tc>
        <w:tc>
          <w:tcPr>
            <w:tcW w:w="5400" w:type="dxa"/>
            <w:shd w:val="clear" w:color="auto" w:fill="D9EAF7"/>
            <w:vAlign w:val="center"/>
          </w:tcPr>
          <w:p w14:paraId="07FAEF6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Measurement Method</w:t>
            </w:r>
          </w:p>
        </w:tc>
      </w:tr>
      <w:tr w:rsidR="00FB68FA" w:rsidRPr="001264AD" w14:paraId="505757BC" w14:textId="77777777">
        <w:trPr>
          <w:jc w:val="center"/>
        </w:trPr>
        <w:tc>
          <w:tcPr>
            <w:tcW w:w="2304" w:type="dxa"/>
          </w:tcPr>
          <w:p w14:paraId="08E68BD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Anomaly precision</w:t>
            </w:r>
          </w:p>
        </w:tc>
        <w:tc>
          <w:tcPr>
            <w:tcW w:w="1944" w:type="dxa"/>
          </w:tcPr>
          <w:p w14:paraId="0F8F491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≥90%</w:t>
            </w:r>
          </w:p>
        </w:tc>
        <w:tc>
          <w:tcPr>
            <w:tcW w:w="5400" w:type="dxa"/>
          </w:tcPr>
          <w:p w14:paraId="06F3C19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Technician-reviewed sample of flagged events</w:t>
            </w:r>
          </w:p>
        </w:tc>
      </w:tr>
      <w:tr w:rsidR="00FB68FA" w:rsidRPr="001264AD" w14:paraId="699AFBC0" w14:textId="77777777">
        <w:trPr>
          <w:jc w:val="center"/>
        </w:trPr>
        <w:tc>
          <w:tcPr>
            <w:tcW w:w="2304" w:type="dxa"/>
          </w:tcPr>
          <w:p w14:paraId="41CDADE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False alerts</w:t>
            </w:r>
          </w:p>
        </w:tc>
        <w:tc>
          <w:tcPr>
            <w:tcW w:w="1944" w:type="dxa"/>
          </w:tcPr>
          <w:p w14:paraId="0A94376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≤3/site/month</w:t>
            </w:r>
          </w:p>
        </w:tc>
        <w:tc>
          <w:tcPr>
            <w:tcW w:w="5400" w:type="dxa"/>
          </w:tcPr>
          <w:p w14:paraId="731E39C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Production alert log normalized by active building</w:t>
            </w:r>
          </w:p>
        </w:tc>
      </w:tr>
      <w:tr w:rsidR="00FB68FA" w:rsidRPr="001264AD" w14:paraId="400F675A" w14:textId="77777777">
        <w:trPr>
          <w:jc w:val="center"/>
        </w:trPr>
        <w:tc>
          <w:tcPr>
            <w:tcW w:w="2304" w:type="dxa"/>
          </w:tcPr>
          <w:p w14:paraId="79B8F62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Detection latency</w:t>
            </w:r>
          </w:p>
        </w:tc>
        <w:tc>
          <w:tcPr>
            <w:tcW w:w="1944" w:type="dxa"/>
          </w:tcPr>
          <w:p w14:paraId="47C8043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≤5 minutes</w:t>
            </w:r>
          </w:p>
        </w:tc>
        <w:tc>
          <w:tcPr>
            <w:tcW w:w="5400" w:type="dxa"/>
          </w:tcPr>
          <w:p w14:paraId="5F57A2D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Event timestamp to alert creation</w:t>
            </w:r>
          </w:p>
        </w:tc>
      </w:tr>
      <w:tr w:rsidR="00FB68FA" w:rsidRPr="001264AD" w14:paraId="397AE601" w14:textId="77777777">
        <w:trPr>
          <w:jc w:val="center"/>
        </w:trPr>
        <w:tc>
          <w:tcPr>
            <w:tcW w:w="2304" w:type="dxa"/>
          </w:tcPr>
          <w:p w14:paraId="29FCBF9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Dashboard load</w:t>
            </w:r>
          </w:p>
        </w:tc>
        <w:tc>
          <w:tcPr>
            <w:tcW w:w="1944" w:type="dxa"/>
          </w:tcPr>
          <w:p w14:paraId="604EB9C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&lt;2 seconds p95</w:t>
            </w:r>
          </w:p>
        </w:tc>
        <w:tc>
          <w:tcPr>
            <w:tcW w:w="5400" w:type="dxa"/>
          </w:tcPr>
          <w:p w14:paraId="473AE54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Browser performance monitoring under 100 concurrent users</w:t>
            </w:r>
          </w:p>
        </w:tc>
      </w:tr>
      <w:tr w:rsidR="00FB68FA" w:rsidRPr="001264AD" w14:paraId="614DC4A4" w14:textId="77777777">
        <w:trPr>
          <w:jc w:val="center"/>
        </w:trPr>
        <w:tc>
          <w:tcPr>
            <w:tcW w:w="2304" w:type="dxa"/>
          </w:tcPr>
          <w:p w14:paraId="3AD68EF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API latency</w:t>
            </w:r>
          </w:p>
        </w:tc>
        <w:tc>
          <w:tcPr>
            <w:tcW w:w="1944" w:type="dxa"/>
          </w:tcPr>
          <w:p w14:paraId="5436F14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&lt;500 ms p95</w:t>
            </w:r>
          </w:p>
        </w:tc>
        <w:tc>
          <w:tcPr>
            <w:tcW w:w="5400" w:type="dxa"/>
          </w:tcPr>
          <w:p w14:paraId="5AD2BA9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Synthetic API tests excluding long-running analytics</w:t>
            </w:r>
          </w:p>
        </w:tc>
      </w:tr>
      <w:tr w:rsidR="00FB68FA" w:rsidRPr="001264AD" w14:paraId="4008A4E7" w14:textId="77777777">
        <w:trPr>
          <w:jc w:val="center"/>
        </w:trPr>
        <w:tc>
          <w:tcPr>
            <w:tcW w:w="2304" w:type="dxa"/>
          </w:tcPr>
          <w:p w14:paraId="7F7DBCD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Availability</w:t>
            </w:r>
          </w:p>
        </w:tc>
        <w:tc>
          <w:tcPr>
            <w:tcW w:w="1944" w:type="dxa"/>
          </w:tcPr>
          <w:p w14:paraId="15C2683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≥99.5% monthly</w:t>
            </w:r>
          </w:p>
        </w:tc>
        <w:tc>
          <w:tcPr>
            <w:tcW w:w="5400" w:type="dxa"/>
          </w:tcPr>
          <w:p w14:paraId="5E24ACD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CloudWatch uptime and synthetic health checks</w:t>
            </w:r>
          </w:p>
        </w:tc>
      </w:tr>
      <w:tr w:rsidR="00FB68FA" w:rsidRPr="001264AD" w14:paraId="3CF7AA0A" w14:textId="77777777">
        <w:trPr>
          <w:jc w:val="center"/>
        </w:trPr>
        <w:tc>
          <w:tcPr>
            <w:tcW w:w="2304" w:type="dxa"/>
          </w:tcPr>
          <w:p w14:paraId="26AB0D1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Pilot retention</w:t>
            </w:r>
          </w:p>
        </w:tc>
        <w:tc>
          <w:tcPr>
            <w:tcW w:w="1944" w:type="dxa"/>
          </w:tcPr>
          <w:p w14:paraId="0B22A0D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≥80% at 90 days</w:t>
            </w:r>
          </w:p>
        </w:tc>
        <w:tc>
          <w:tcPr>
            <w:tcW w:w="5400" w:type="dxa"/>
          </w:tcPr>
          <w:p w14:paraId="4A80743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Active organizations/users divided by enrolled cohort</w:t>
            </w:r>
          </w:p>
        </w:tc>
      </w:tr>
    </w:tbl>
    <w:p w14:paraId="04431ABA" w14:textId="77777777" w:rsidR="00FB68FA" w:rsidRPr="001264AD" w:rsidRDefault="00FB68FA" w:rsidP="001264AD">
      <w:pPr>
        <w:spacing w:line="480" w:lineRule="auto"/>
        <w:rPr>
          <w:rFonts w:ascii="Times New Roman" w:hAnsi="Times New Roman" w:cs="Times New Roman"/>
          <w:sz w:val="24"/>
          <w:szCs w:val="24"/>
        </w:rPr>
      </w:pPr>
    </w:p>
    <w:p w14:paraId="1D6503E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noProof/>
          <w:sz w:val="24"/>
          <w:szCs w:val="24"/>
        </w:rPr>
        <w:drawing>
          <wp:inline distT="0" distB="0" distL="0" distR="0" wp14:anchorId="1034A8CF" wp14:editId="4F3CC219">
            <wp:extent cx="5943600" cy="29235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ghtgrid_kpi_targets.png"/>
                    <pic:cNvPicPr/>
                  </pic:nvPicPr>
                  <pic:blipFill>
                    <a:blip r:embed="rId8"/>
                    <a:stretch>
                      <a:fillRect/>
                    </a:stretch>
                  </pic:blipFill>
                  <pic:spPr>
                    <a:xfrm>
                      <a:off x="0" y="0"/>
                      <a:ext cx="5943600" cy="2923508"/>
                    </a:xfrm>
                    <a:prstGeom prst="rect">
                      <a:avLst/>
                    </a:prstGeom>
                  </pic:spPr>
                </pic:pic>
              </a:graphicData>
            </a:graphic>
          </wp:inline>
        </w:drawing>
      </w:r>
    </w:p>
    <w:p w14:paraId="475450F9"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Figure 2. Selected MVP KPI targets.</w:t>
      </w:r>
    </w:p>
    <w:p w14:paraId="08B32AF1"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4.2 Testing Methodology</w:t>
      </w:r>
    </w:p>
    <w:p w14:paraId="5C8301C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lastRenderedPageBreak/>
        <w:t>Unit testing: target at least 80% backend test coverage for business-critical services.</w:t>
      </w:r>
    </w:p>
    <w:p w14:paraId="28E8A2F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Data-quality testing: inject missing, duplicated, delayed, and out-of-range observations and confirm correct handling.</w:t>
      </w:r>
    </w:p>
    <w:p w14:paraId="7FC0858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Model testing: maintain a frozen evaluation dataset containing normal periods and technician-labeled anomalies.</w:t>
      </w:r>
    </w:p>
    <w:p w14:paraId="17CF041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Integration testing: validate ingestion → storage → feature pipeline → model → API → notification.</w:t>
      </w:r>
    </w:p>
    <w:p w14:paraId="7BDD29B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Security testing: authentication, authorization, tenant isolation, dependency scanning, API abuse testing, and secrets-management checks.</w:t>
      </w:r>
    </w:p>
    <w:p w14:paraId="6E9559B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Load testing: simulate 100 active users first, then 1,000 and 10,000-user production profiles before each scaling milestone.</w:t>
      </w:r>
    </w:p>
    <w:p w14:paraId="72A0C455"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4.3 Model Evaluation</w:t>
      </w:r>
    </w:p>
    <w:p w14:paraId="1C98E9E4" w14:textId="6C644E8E" w:rsidR="00FB68FA" w:rsidRPr="001264AD" w:rsidRDefault="00000000" w:rsidP="001264AD">
      <w:pPr>
        <w:spacing w:line="480" w:lineRule="auto"/>
        <w:ind w:firstLine="720"/>
        <w:rPr>
          <w:rFonts w:ascii="Times New Roman" w:hAnsi="Times New Roman" w:cs="Times New Roman"/>
          <w:sz w:val="24"/>
          <w:szCs w:val="24"/>
        </w:rPr>
      </w:pPr>
      <w:r w:rsidRPr="001264AD">
        <w:rPr>
          <w:rFonts w:ascii="Times New Roman" w:hAnsi="Times New Roman" w:cs="Times New Roman"/>
          <w:sz w:val="24"/>
          <w:szCs w:val="24"/>
        </w:rPr>
        <w:t>Accuracy alone is not sufficient because anomalous events are relatively rare. Precision, recall, false-alert rate, detection latency, and business impact will be tracked. A model will not be promoted solely because its offline score improves; the team must verify that users can interpret and act on its alerts</w:t>
      </w:r>
      <w:r w:rsidR="005025C3">
        <w:rPr>
          <w:rFonts w:ascii="Times New Roman" w:hAnsi="Times New Roman" w:cs="Times New Roman"/>
          <w:sz w:val="24"/>
          <w:szCs w:val="24"/>
        </w:rPr>
        <w:t xml:space="preserve"> </w:t>
      </w:r>
      <w:r w:rsidR="005025C3">
        <w:rPr>
          <w:rFonts w:ascii="Times New Roman" w:hAnsi="Times New Roman" w:cs="Times New Roman"/>
          <w:sz w:val="24"/>
          <w:szCs w:val="24"/>
        </w:rPr>
        <w:t>(</w:t>
      </w:r>
      <w:r w:rsidR="005025C3" w:rsidRPr="001264AD">
        <w:rPr>
          <w:rFonts w:ascii="Times New Roman" w:hAnsi="Times New Roman" w:cs="Times New Roman"/>
          <w:sz w:val="24"/>
          <w:szCs w:val="24"/>
        </w:rPr>
        <w:t>Ramachandran &amp; Agrawal, 2025</w:t>
      </w:r>
      <w:r w:rsidR="005025C3">
        <w:rPr>
          <w:rFonts w:ascii="Times New Roman" w:hAnsi="Times New Roman" w:cs="Times New Roman"/>
          <w:sz w:val="24"/>
          <w:szCs w:val="24"/>
        </w:rPr>
        <w:t>)</w:t>
      </w:r>
      <w:r w:rsidRPr="001264AD">
        <w:rPr>
          <w:rFonts w:ascii="Times New Roman" w:hAnsi="Times New Roman" w:cs="Times New Roman"/>
          <w:sz w:val="24"/>
          <w:szCs w:val="24"/>
        </w:rPr>
        <w:t>.</w:t>
      </w:r>
    </w:p>
    <w:p w14:paraId="315190CB"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4.4 A/B Testing Plan</w:t>
      </w:r>
    </w:p>
    <w:p w14:paraId="212C81B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Test A: generic alert text versus evidence-rich alerts containing baseline comparison and top contributing signals.</w:t>
      </w:r>
    </w:p>
    <w:p w14:paraId="4379AF6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Primary outcome: acknowledgement-to-action rate within 24 hours.</w:t>
      </w:r>
    </w:p>
    <w:p w14:paraId="2E4C209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Secondary outcomes: time to first investigation, dismissal rate, and user satisfaction.</w:t>
      </w:r>
    </w:p>
    <w:p w14:paraId="398C51C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lastRenderedPageBreak/>
        <w:t>Run the experiment for at least four weeks with randomized eligible users and a minimum sample size determined before launch.</w:t>
      </w:r>
    </w:p>
    <w:p w14:paraId="572AD76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Do not A/B test safety-critical automatic controls because the MVP does not perform autonomous equipment actions.</w:t>
      </w:r>
    </w:p>
    <w:p w14:paraId="219556AB"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4.5 Validation That the Product Solves the Problem</w:t>
      </w:r>
    </w:p>
    <w:p w14:paraId="792A9AF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The strongest validation is operational rather than cosmetic. For each pilot building, the team will establish a baseline for energy use and time-to-diagnosis. The pilot will compare pre-product and post-product workflows, document confirmed anomalies, and estimate avoided waste only where evidence supports the estimate. Interviews will test whether users trust the alerts enough to change behavior.</w:t>
      </w:r>
    </w:p>
    <w:p w14:paraId="7287BC1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br w:type="page"/>
      </w:r>
    </w:p>
    <w:p w14:paraId="5C478769" w14:textId="77777777" w:rsidR="00FB68FA" w:rsidRPr="001264AD" w:rsidRDefault="00000000" w:rsidP="001264AD">
      <w:pPr>
        <w:spacing w:line="480" w:lineRule="auto"/>
        <w:jc w:val="center"/>
        <w:rPr>
          <w:rFonts w:ascii="Times New Roman" w:hAnsi="Times New Roman" w:cs="Times New Roman"/>
          <w:b/>
          <w:bCs/>
          <w:sz w:val="24"/>
          <w:szCs w:val="24"/>
        </w:rPr>
      </w:pPr>
      <w:r w:rsidRPr="001264AD">
        <w:rPr>
          <w:rFonts w:ascii="Times New Roman" w:hAnsi="Times New Roman" w:cs="Times New Roman"/>
          <w:b/>
          <w:bCs/>
          <w:sz w:val="24"/>
          <w:szCs w:val="24"/>
        </w:rPr>
        <w:lastRenderedPageBreak/>
        <w:t>Phase 5 – Deployment</w:t>
      </w:r>
    </w:p>
    <w:p w14:paraId="3F22A4E1"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5.1 Deployment Strategy</w:t>
      </w:r>
    </w:p>
    <w:p w14:paraId="2F1C2E7F" w14:textId="77777777" w:rsidR="00FB68FA" w:rsidRPr="001264AD" w:rsidRDefault="00000000" w:rsidP="001264AD">
      <w:pPr>
        <w:spacing w:line="480" w:lineRule="auto"/>
        <w:ind w:firstLine="720"/>
        <w:rPr>
          <w:rFonts w:ascii="Times New Roman" w:hAnsi="Times New Roman" w:cs="Times New Roman"/>
          <w:sz w:val="24"/>
          <w:szCs w:val="24"/>
        </w:rPr>
      </w:pPr>
      <w:r w:rsidRPr="001264AD">
        <w:rPr>
          <w:rFonts w:ascii="Times New Roman" w:hAnsi="Times New Roman" w:cs="Times New Roman"/>
          <w:sz w:val="24"/>
          <w:szCs w:val="24"/>
        </w:rPr>
        <w:t>BrightGrid will deploy to AWS using managed services and infrastructure-as-code. The web frontend will be served through a CDN/static hosting layer, the FastAPI service will run in containers, and asynchronous jobs will run through managed compute. Database and time-series services remain managed to reduce operational burden for the small engineering team.</w:t>
      </w:r>
    </w:p>
    <w:p w14:paraId="6730810C"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5.2 Scaling Plan: 100 to 10,000 Users</w:t>
      </w:r>
    </w:p>
    <w:tbl>
      <w:tblPr>
        <w:tblStyle w:val="TableGrid"/>
        <w:tblW w:w="0" w:type="auto"/>
        <w:jc w:val="center"/>
        <w:tblLook w:val="04A0" w:firstRow="1" w:lastRow="0" w:firstColumn="1" w:lastColumn="0" w:noHBand="0" w:noVBand="1"/>
      </w:tblPr>
      <w:tblGrid>
        <w:gridCol w:w="1783"/>
        <w:gridCol w:w="1569"/>
        <w:gridCol w:w="4519"/>
        <w:gridCol w:w="2199"/>
      </w:tblGrid>
      <w:tr w:rsidR="00FB68FA" w:rsidRPr="001264AD" w14:paraId="50A44614" w14:textId="77777777">
        <w:trPr>
          <w:jc w:val="center"/>
        </w:trPr>
        <w:tc>
          <w:tcPr>
            <w:tcW w:w="1800" w:type="dxa"/>
            <w:shd w:val="clear" w:color="auto" w:fill="D9EAF7"/>
            <w:vAlign w:val="center"/>
          </w:tcPr>
          <w:p w14:paraId="4AD38B1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Stage</w:t>
            </w:r>
          </w:p>
        </w:tc>
        <w:tc>
          <w:tcPr>
            <w:tcW w:w="1584" w:type="dxa"/>
            <w:shd w:val="clear" w:color="auto" w:fill="D9EAF7"/>
            <w:vAlign w:val="center"/>
          </w:tcPr>
          <w:p w14:paraId="308ADF9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Expected Users</w:t>
            </w:r>
          </w:p>
        </w:tc>
        <w:tc>
          <w:tcPr>
            <w:tcW w:w="4608" w:type="dxa"/>
            <w:shd w:val="clear" w:color="auto" w:fill="D9EAF7"/>
            <w:vAlign w:val="center"/>
          </w:tcPr>
          <w:p w14:paraId="5AB1A56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Architecture Focus</w:t>
            </w:r>
          </w:p>
        </w:tc>
        <w:tc>
          <w:tcPr>
            <w:tcW w:w="2232" w:type="dxa"/>
            <w:shd w:val="clear" w:color="auto" w:fill="D9EAF7"/>
            <w:vAlign w:val="center"/>
          </w:tcPr>
          <w:p w14:paraId="6C2488E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Exit Condition</w:t>
            </w:r>
          </w:p>
        </w:tc>
      </w:tr>
      <w:tr w:rsidR="00FB68FA" w:rsidRPr="001264AD" w14:paraId="66E38A7F" w14:textId="77777777">
        <w:trPr>
          <w:jc w:val="center"/>
        </w:trPr>
        <w:tc>
          <w:tcPr>
            <w:tcW w:w="1800" w:type="dxa"/>
          </w:tcPr>
          <w:p w14:paraId="4921506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Pilot</w:t>
            </w:r>
          </w:p>
        </w:tc>
        <w:tc>
          <w:tcPr>
            <w:tcW w:w="1584" w:type="dxa"/>
          </w:tcPr>
          <w:p w14:paraId="1E16187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100</w:t>
            </w:r>
          </w:p>
        </w:tc>
        <w:tc>
          <w:tcPr>
            <w:tcW w:w="4608" w:type="dxa"/>
          </w:tcPr>
          <w:p w14:paraId="50B49A8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Single production environment; conservative resource sizing</w:t>
            </w:r>
          </w:p>
        </w:tc>
        <w:tc>
          <w:tcPr>
            <w:tcW w:w="2232" w:type="dxa"/>
          </w:tcPr>
          <w:p w14:paraId="3B98904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Stable pilot with ≥90% precision</w:t>
            </w:r>
          </w:p>
        </w:tc>
      </w:tr>
      <w:tr w:rsidR="00FB68FA" w:rsidRPr="001264AD" w14:paraId="69761FCF" w14:textId="77777777">
        <w:trPr>
          <w:jc w:val="center"/>
        </w:trPr>
        <w:tc>
          <w:tcPr>
            <w:tcW w:w="1800" w:type="dxa"/>
          </w:tcPr>
          <w:p w14:paraId="4245056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Early production</w:t>
            </w:r>
          </w:p>
        </w:tc>
        <w:tc>
          <w:tcPr>
            <w:tcW w:w="1584" w:type="dxa"/>
          </w:tcPr>
          <w:p w14:paraId="6CECFD0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1,000</w:t>
            </w:r>
          </w:p>
        </w:tc>
        <w:tc>
          <w:tcPr>
            <w:tcW w:w="4608" w:type="dxa"/>
          </w:tcPr>
          <w:p w14:paraId="5AB41A1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Horizontal API scaling; queue-based processing; database indexes</w:t>
            </w:r>
          </w:p>
        </w:tc>
        <w:tc>
          <w:tcPr>
            <w:tcW w:w="2232" w:type="dxa"/>
          </w:tcPr>
          <w:p w14:paraId="4A59935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SLOs met for 30 days</w:t>
            </w:r>
          </w:p>
        </w:tc>
      </w:tr>
      <w:tr w:rsidR="00FB68FA" w:rsidRPr="001264AD" w14:paraId="7EBBE2C7" w14:textId="77777777">
        <w:trPr>
          <w:jc w:val="center"/>
        </w:trPr>
        <w:tc>
          <w:tcPr>
            <w:tcW w:w="1800" w:type="dxa"/>
          </w:tcPr>
          <w:p w14:paraId="73AF32A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Growth</w:t>
            </w:r>
          </w:p>
        </w:tc>
        <w:tc>
          <w:tcPr>
            <w:tcW w:w="1584" w:type="dxa"/>
          </w:tcPr>
          <w:p w14:paraId="2337CE9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5,000</w:t>
            </w:r>
          </w:p>
        </w:tc>
        <w:tc>
          <w:tcPr>
            <w:tcW w:w="4608" w:type="dxa"/>
          </w:tcPr>
          <w:p w14:paraId="2EFD7C7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Read replicas/caching where needed; partitioned analytics jobs</w:t>
            </w:r>
          </w:p>
        </w:tc>
        <w:tc>
          <w:tcPr>
            <w:tcW w:w="2232" w:type="dxa"/>
          </w:tcPr>
          <w:p w14:paraId="4D9C42C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Load test passes 2× peak</w:t>
            </w:r>
          </w:p>
        </w:tc>
      </w:tr>
      <w:tr w:rsidR="00FB68FA" w:rsidRPr="001264AD" w14:paraId="77613519" w14:textId="77777777">
        <w:trPr>
          <w:jc w:val="center"/>
        </w:trPr>
        <w:tc>
          <w:tcPr>
            <w:tcW w:w="1800" w:type="dxa"/>
          </w:tcPr>
          <w:p w14:paraId="08F7D57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Scale</w:t>
            </w:r>
          </w:p>
        </w:tc>
        <w:tc>
          <w:tcPr>
            <w:tcW w:w="1584" w:type="dxa"/>
          </w:tcPr>
          <w:p w14:paraId="26C61D8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10,000</w:t>
            </w:r>
          </w:p>
        </w:tc>
        <w:tc>
          <w:tcPr>
            <w:tcW w:w="4608" w:type="dxa"/>
          </w:tcPr>
          <w:p w14:paraId="1967032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Autoscaling, workload isolation, stronger observability, disaster-recovery rehearsal</w:t>
            </w:r>
          </w:p>
        </w:tc>
        <w:tc>
          <w:tcPr>
            <w:tcW w:w="2232" w:type="dxa"/>
          </w:tcPr>
          <w:p w14:paraId="1FF0E3D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SLOs and recovery targets met</w:t>
            </w:r>
          </w:p>
        </w:tc>
      </w:tr>
    </w:tbl>
    <w:p w14:paraId="673EEE4D" w14:textId="77777777" w:rsidR="00FB68FA" w:rsidRPr="001264AD" w:rsidRDefault="00FB68FA" w:rsidP="001264AD">
      <w:pPr>
        <w:spacing w:line="480" w:lineRule="auto"/>
        <w:rPr>
          <w:rFonts w:ascii="Times New Roman" w:hAnsi="Times New Roman" w:cs="Times New Roman"/>
          <w:sz w:val="24"/>
          <w:szCs w:val="24"/>
        </w:rPr>
      </w:pPr>
    </w:p>
    <w:p w14:paraId="7448E14D"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5.3 Security and Compliance</w:t>
      </w:r>
    </w:p>
    <w:p w14:paraId="2AF8454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TLS in transit and encryption at rest using AWS-managed encryption services.</w:t>
      </w:r>
    </w:p>
    <w:p w14:paraId="11877E6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Least-privilege IAM roles and separate development, staging, and production accounts/environments.</w:t>
      </w:r>
    </w:p>
    <w:p w14:paraId="160910A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Tenant isolation enforced at API and database query layers.</w:t>
      </w:r>
    </w:p>
    <w:p w14:paraId="74D1C63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lastRenderedPageBreak/>
        <w:t>Secrets stored in AWS Secrets Manager rather than source code.</w:t>
      </w:r>
    </w:p>
    <w:p w14:paraId="2EAD1D9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Audit logging for administrative actions, data-source changes, alert status changes, and model deployment.</w:t>
      </w:r>
    </w:p>
    <w:p w14:paraId="42560BB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Automated dependency and container vulnerability scanning.</w:t>
      </w:r>
    </w:p>
    <w:p w14:paraId="7A0D4D9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Regular backups with tested restoration procedures.</w:t>
      </w:r>
    </w:p>
    <w:p w14:paraId="6B66845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Privacy policy and data-retention schedule defining what telemetry is retained and for how long.</w:t>
      </w:r>
    </w:p>
    <w:p w14:paraId="56EF68B3" w14:textId="7D4F89D4"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 xml:space="preserve">NIST AI RMF will guide governance of validity/reliability, safety, security/resilience, accountability/transparency, and privacy-enhanced practices. NIST describes the AI RMF as a voluntary framework for managing AI risks across design, development, deployment, and use. </w:t>
      </w:r>
    </w:p>
    <w:p w14:paraId="3990814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The product is not intended to process health records or payment-card data in the MVP; if future integrations introduce regulated data, the compliance scope will be reassessed before implementation.</w:t>
      </w:r>
    </w:p>
    <w:p w14:paraId="77BD64D9"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5.4 Monitoring and Alerting</w:t>
      </w:r>
    </w:p>
    <w:p w14:paraId="37D2DF0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Infrastructure metrics: CPU, memory, container restarts, database connections, queue depth.</w:t>
      </w:r>
    </w:p>
    <w:p w14:paraId="2FC2F5A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Application metrics: API error rate, p95 latency, authentication failures, ingestion failures.</w:t>
      </w:r>
    </w:p>
    <w:p w14:paraId="6557911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ML metrics: anomaly rate by building, alert volume, precision from reviewed events, model drift indicators.</w:t>
      </w:r>
    </w:p>
    <w:p w14:paraId="6B64FAE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Business metrics: active buildings, acknowledged alerts, investigation completion, retention.</w:t>
      </w:r>
    </w:p>
    <w:p w14:paraId="1BF9BBC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Pager/incident alerts triggered for availability below SLO, sustained error rates, ingestion outages, or suspicious authentication patterns.</w:t>
      </w:r>
    </w:p>
    <w:p w14:paraId="56A53E38"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5.5 Phased Rollout</w:t>
      </w:r>
    </w:p>
    <w:p w14:paraId="1C50D96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lastRenderedPageBreak/>
        <w:t>Internal alpha: 2–3 buildings; engineering and product staff validate the complete workflow.</w:t>
      </w:r>
    </w:p>
    <w:p w14:paraId="64B08C25" w14:textId="67CE1222"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Design-partner beta: 10 buildings; weekly review of false positives and usability</w:t>
      </w:r>
      <w:r w:rsidR="001264AD">
        <w:rPr>
          <w:rFonts w:ascii="Times New Roman" w:hAnsi="Times New Roman" w:cs="Times New Roman"/>
          <w:sz w:val="24"/>
          <w:szCs w:val="24"/>
        </w:rPr>
        <w:t xml:space="preserve"> </w:t>
      </w:r>
      <w:r w:rsidR="001264AD">
        <w:rPr>
          <w:rFonts w:ascii="Times New Roman" w:hAnsi="Times New Roman" w:cs="Times New Roman"/>
          <w:sz w:val="24"/>
          <w:szCs w:val="24"/>
        </w:rPr>
        <w:t>(</w:t>
      </w:r>
      <w:r w:rsidR="001264AD" w:rsidRPr="001264AD">
        <w:rPr>
          <w:rFonts w:ascii="Times New Roman" w:hAnsi="Times New Roman" w:cs="Times New Roman"/>
          <w:sz w:val="24"/>
          <w:szCs w:val="24"/>
        </w:rPr>
        <w:t>Feng &amp; Xu, 2025)</w:t>
      </w:r>
      <w:r w:rsidRPr="001264AD">
        <w:rPr>
          <w:rFonts w:ascii="Times New Roman" w:hAnsi="Times New Roman" w:cs="Times New Roman"/>
          <w:sz w:val="24"/>
          <w:szCs w:val="24"/>
        </w:rPr>
        <w:t>.</w:t>
      </w:r>
    </w:p>
    <w:p w14:paraId="63FD57D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Controlled production: 25–50 buildings; monitored expansion with rollback capability.</w:t>
      </w:r>
    </w:p>
    <w:p w14:paraId="091F71E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General availability: broader customer onboarding after KPI and security gates are passed.</w:t>
      </w:r>
    </w:p>
    <w:p w14:paraId="34320F0A" w14:textId="72147954"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Post-GA optimization: scale infrastructure and refine models based on real-world outcomes.</w:t>
      </w:r>
    </w:p>
    <w:p w14:paraId="7F77CC8B" w14:textId="77777777" w:rsidR="00FB68FA" w:rsidRPr="001264AD" w:rsidRDefault="00000000" w:rsidP="001264AD">
      <w:pPr>
        <w:spacing w:line="480" w:lineRule="auto"/>
        <w:jc w:val="center"/>
        <w:rPr>
          <w:rFonts w:ascii="Times New Roman" w:hAnsi="Times New Roman" w:cs="Times New Roman"/>
          <w:b/>
          <w:bCs/>
          <w:sz w:val="24"/>
          <w:szCs w:val="24"/>
        </w:rPr>
      </w:pPr>
      <w:r w:rsidRPr="001264AD">
        <w:rPr>
          <w:rFonts w:ascii="Times New Roman" w:hAnsi="Times New Roman" w:cs="Times New Roman"/>
          <w:b/>
          <w:bCs/>
          <w:sz w:val="24"/>
          <w:szCs w:val="24"/>
        </w:rPr>
        <w:t>Phase 6 – User Feedback &amp; Iteration</w:t>
      </w:r>
    </w:p>
    <w:p w14:paraId="31EEEF80"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6.1 Feedback Collection</w:t>
      </w:r>
    </w:p>
    <w:p w14:paraId="3666D6D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In-product one-click alert feedback: useful / not useful / wrong reason.</w:t>
      </w:r>
    </w:p>
    <w:p w14:paraId="224CF20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Quarterly customer interviews with property managers and technicians.</w:t>
      </w:r>
    </w:p>
    <w:p w14:paraId="7CEE2DB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Support-ticket categorization to identify recurring problems.</w:t>
      </w:r>
    </w:p>
    <w:p w14:paraId="585DB02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Product analytics covering alert views, acknowledgements, dismissals, investigation completion, and retention.</w:t>
      </w:r>
    </w:p>
    <w:p w14:paraId="1D3AE79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Monthly customer advisory sessions with a small group of design partners.</w:t>
      </w:r>
    </w:p>
    <w:p w14:paraId="77D33A2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Model feedback labels created when technicians confirm or reject an alert.</w:t>
      </w:r>
    </w:p>
    <w:p w14:paraId="7D6B1A79"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6.2 Priority Features for Version 2</w:t>
      </w:r>
    </w:p>
    <w:tbl>
      <w:tblPr>
        <w:tblStyle w:val="TableGrid"/>
        <w:tblW w:w="0" w:type="auto"/>
        <w:jc w:val="center"/>
        <w:tblLook w:val="04A0" w:firstRow="1" w:lastRow="0" w:firstColumn="1" w:lastColumn="0" w:noHBand="0" w:noVBand="1"/>
      </w:tblPr>
      <w:tblGrid>
        <w:gridCol w:w="1440"/>
        <w:gridCol w:w="4032"/>
        <w:gridCol w:w="4464"/>
      </w:tblGrid>
      <w:tr w:rsidR="00FB68FA" w:rsidRPr="001264AD" w14:paraId="7D38B43E" w14:textId="77777777">
        <w:trPr>
          <w:jc w:val="center"/>
        </w:trPr>
        <w:tc>
          <w:tcPr>
            <w:tcW w:w="1440" w:type="dxa"/>
            <w:shd w:val="clear" w:color="auto" w:fill="D9EAF7"/>
            <w:vAlign w:val="center"/>
          </w:tcPr>
          <w:p w14:paraId="10E37D3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Priority</w:t>
            </w:r>
          </w:p>
        </w:tc>
        <w:tc>
          <w:tcPr>
            <w:tcW w:w="4032" w:type="dxa"/>
            <w:shd w:val="clear" w:color="auto" w:fill="D9EAF7"/>
            <w:vAlign w:val="center"/>
          </w:tcPr>
          <w:p w14:paraId="0248223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Feature</w:t>
            </w:r>
          </w:p>
        </w:tc>
        <w:tc>
          <w:tcPr>
            <w:tcW w:w="4464" w:type="dxa"/>
            <w:shd w:val="clear" w:color="auto" w:fill="D9EAF7"/>
            <w:vAlign w:val="center"/>
          </w:tcPr>
          <w:p w14:paraId="2455736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Reason</w:t>
            </w:r>
          </w:p>
        </w:tc>
      </w:tr>
      <w:tr w:rsidR="00FB68FA" w:rsidRPr="001264AD" w14:paraId="41F6A198" w14:textId="77777777">
        <w:trPr>
          <w:jc w:val="center"/>
        </w:trPr>
        <w:tc>
          <w:tcPr>
            <w:tcW w:w="1440" w:type="dxa"/>
          </w:tcPr>
          <w:p w14:paraId="0367BB7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P0</w:t>
            </w:r>
          </w:p>
        </w:tc>
        <w:tc>
          <w:tcPr>
            <w:tcW w:w="4032" w:type="dxa"/>
          </w:tcPr>
          <w:p w14:paraId="3D8F915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Better anomaly explanations and alert grouping</w:t>
            </w:r>
          </w:p>
        </w:tc>
        <w:tc>
          <w:tcPr>
            <w:tcW w:w="4464" w:type="dxa"/>
          </w:tcPr>
          <w:p w14:paraId="47C7403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Reduce alert fatigue and improve trust</w:t>
            </w:r>
          </w:p>
        </w:tc>
      </w:tr>
      <w:tr w:rsidR="00FB68FA" w:rsidRPr="001264AD" w14:paraId="1ADA7DC0" w14:textId="77777777">
        <w:trPr>
          <w:jc w:val="center"/>
        </w:trPr>
        <w:tc>
          <w:tcPr>
            <w:tcW w:w="1440" w:type="dxa"/>
          </w:tcPr>
          <w:p w14:paraId="2DA21F7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lastRenderedPageBreak/>
              <w:t>P0</w:t>
            </w:r>
          </w:p>
        </w:tc>
        <w:tc>
          <w:tcPr>
            <w:tcW w:w="4032" w:type="dxa"/>
          </w:tcPr>
          <w:p w14:paraId="3F9E94A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Technician feedback loop for model retraining</w:t>
            </w:r>
          </w:p>
        </w:tc>
        <w:tc>
          <w:tcPr>
            <w:tcW w:w="4464" w:type="dxa"/>
          </w:tcPr>
          <w:p w14:paraId="41BA159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Convert user outcomes into labeled data</w:t>
            </w:r>
          </w:p>
        </w:tc>
      </w:tr>
      <w:tr w:rsidR="00FB68FA" w:rsidRPr="001264AD" w14:paraId="202D1B2D" w14:textId="77777777">
        <w:trPr>
          <w:jc w:val="center"/>
        </w:trPr>
        <w:tc>
          <w:tcPr>
            <w:tcW w:w="1440" w:type="dxa"/>
          </w:tcPr>
          <w:p w14:paraId="4B16DDF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P1</w:t>
            </w:r>
          </w:p>
        </w:tc>
        <w:tc>
          <w:tcPr>
            <w:tcW w:w="4032" w:type="dxa"/>
          </w:tcPr>
          <w:p w14:paraId="474DC41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Utility-bill and Portfolio Manager integration</w:t>
            </w:r>
          </w:p>
        </w:tc>
        <w:tc>
          <w:tcPr>
            <w:tcW w:w="4464" w:type="dxa"/>
          </w:tcPr>
          <w:p w14:paraId="0D696AA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Lower onboarding effort and improve benchmarking</w:t>
            </w:r>
          </w:p>
        </w:tc>
      </w:tr>
      <w:tr w:rsidR="00FB68FA" w:rsidRPr="001264AD" w14:paraId="4326016B" w14:textId="77777777">
        <w:trPr>
          <w:jc w:val="center"/>
        </w:trPr>
        <w:tc>
          <w:tcPr>
            <w:tcW w:w="1440" w:type="dxa"/>
          </w:tcPr>
          <w:p w14:paraId="7D78620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P1</w:t>
            </w:r>
          </w:p>
        </w:tc>
        <w:tc>
          <w:tcPr>
            <w:tcW w:w="4032" w:type="dxa"/>
          </w:tcPr>
          <w:p w14:paraId="0E55170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Building-level savings reports</w:t>
            </w:r>
          </w:p>
        </w:tc>
        <w:tc>
          <w:tcPr>
            <w:tcW w:w="4464" w:type="dxa"/>
          </w:tcPr>
          <w:p w14:paraId="7161772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Demonstrate financial value to decision makers</w:t>
            </w:r>
          </w:p>
        </w:tc>
      </w:tr>
      <w:tr w:rsidR="00FB68FA" w:rsidRPr="001264AD" w14:paraId="21D51B8F" w14:textId="77777777">
        <w:trPr>
          <w:jc w:val="center"/>
        </w:trPr>
        <w:tc>
          <w:tcPr>
            <w:tcW w:w="1440" w:type="dxa"/>
          </w:tcPr>
          <w:p w14:paraId="24113A5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P2</w:t>
            </w:r>
          </w:p>
        </w:tc>
        <w:tc>
          <w:tcPr>
            <w:tcW w:w="4032" w:type="dxa"/>
          </w:tcPr>
          <w:p w14:paraId="43F7041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Mobile-responsive alert actions</w:t>
            </w:r>
          </w:p>
        </w:tc>
        <w:tc>
          <w:tcPr>
            <w:tcW w:w="4464" w:type="dxa"/>
          </w:tcPr>
          <w:p w14:paraId="766528A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Support technicians away from desks</w:t>
            </w:r>
          </w:p>
        </w:tc>
      </w:tr>
      <w:tr w:rsidR="00FB68FA" w:rsidRPr="001264AD" w14:paraId="069AEEE0" w14:textId="77777777">
        <w:trPr>
          <w:jc w:val="center"/>
        </w:trPr>
        <w:tc>
          <w:tcPr>
            <w:tcW w:w="1440" w:type="dxa"/>
          </w:tcPr>
          <w:p w14:paraId="078EF9B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P2</w:t>
            </w:r>
          </w:p>
        </w:tc>
        <w:tc>
          <w:tcPr>
            <w:tcW w:w="4032" w:type="dxa"/>
          </w:tcPr>
          <w:p w14:paraId="130EC73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Additional utilities and carbon metrics</w:t>
            </w:r>
          </w:p>
        </w:tc>
        <w:tc>
          <w:tcPr>
            <w:tcW w:w="4464" w:type="dxa"/>
          </w:tcPr>
          <w:p w14:paraId="38FE15E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Expand value beyond electricity</w:t>
            </w:r>
          </w:p>
        </w:tc>
      </w:tr>
    </w:tbl>
    <w:p w14:paraId="00CAC472" w14:textId="77777777" w:rsidR="00FB68FA" w:rsidRPr="001264AD" w:rsidRDefault="00FB68FA" w:rsidP="001264AD">
      <w:pPr>
        <w:spacing w:line="480" w:lineRule="auto"/>
        <w:rPr>
          <w:rFonts w:ascii="Times New Roman" w:hAnsi="Times New Roman" w:cs="Times New Roman"/>
          <w:sz w:val="24"/>
          <w:szCs w:val="24"/>
        </w:rPr>
      </w:pPr>
    </w:p>
    <w:p w14:paraId="7DDEFE4F"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6.3 Three-Month Iteration Timeline</w:t>
      </w:r>
    </w:p>
    <w:tbl>
      <w:tblPr>
        <w:tblStyle w:val="TableGrid"/>
        <w:tblW w:w="0" w:type="auto"/>
        <w:jc w:val="center"/>
        <w:tblLook w:val="04A0" w:firstRow="1" w:lastRow="0" w:firstColumn="1" w:lastColumn="0" w:noHBand="0" w:noVBand="1"/>
      </w:tblPr>
      <w:tblGrid>
        <w:gridCol w:w="1584"/>
        <w:gridCol w:w="4320"/>
        <w:gridCol w:w="4032"/>
      </w:tblGrid>
      <w:tr w:rsidR="00FB68FA" w:rsidRPr="001264AD" w14:paraId="4C3579C6" w14:textId="77777777">
        <w:trPr>
          <w:jc w:val="center"/>
        </w:trPr>
        <w:tc>
          <w:tcPr>
            <w:tcW w:w="1584" w:type="dxa"/>
            <w:shd w:val="clear" w:color="auto" w:fill="D9EAF7"/>
            <w:vAlign w:val="center"/>
          </w:tcPr>
          <w:p w14:paraId="6ECF260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Month</w:t>
            </w:r>
          </w:p>
        </w:tc>
        <w:tc>
          <w:tcPr>
            <w:tcW w:w="4320" w:type="dxa"/>
            <w:shd w:val="clear" w:color="auto" w:fill="D9EAF7"/>
            <w:vAlign w:val="center"/>
          </w:tcPr>
          <w:p w14:paraId="1BF3576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Activities</w:t>
            </w:r>
          </w:p>
        </w:tc>
        <w:tc>
          <w:tcPr>
            <w:tcW w:w="4032" w:type="dxa"/>
            <w:shd w:val="clear" w:color="auto" w:fill="D9EAF7"/>
            <w:vAlign w:val="center"/>
          </w:tcPr>
          <w:p w14:paraId="616DCBE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Primary Deliverables</w:t>
            </w:r>
          </w:p>
        </w:tc>
      </w:tr>
      <w:tr w:rsidR="00FB68FA" w:rsidRPr="001264AD" w14:paraId="60C7D8D2" w14:textId="77777777">
        <w:trPr>
          <w:jc w:val="center"/>
        </w:trPr>
        <w:tc>
          <w:tcPr>
            <w:tcW w:w="1584" w:type="dxa"/>
          </w:tcPr>
          <w:p w14:paraId="3A8D74A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Month 1</w:t>
            </w:r>
          </w:p>
        </w:tc>
        <w:tc>
          <w:tcPr>
            <w:tcW w:w="4320" w:type="dxa"/>
          </w:tcPr>
          <w:p w14:paraId="5FBFF3D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Collect feedback; tune thresholds; remove top false-positive patterns</w:t>
            </w:r>
          </w:p>
        </w:tc>
        <w:tc>
          <w:tcPr>
            <w:tcW w:w="4032" w:type="dxa"/>
          </w:tcPr>
          <w:p w14:paraId="61FA778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Model v1.1; alert UX improvements</w:t>
            </w:r>
          </w:p>
        </w:tc>
      </w:tr>
      <w:tr w:rsidR="00FB68FA" w:rsidRPr="001264AD" w14:paraId="34E8A6DF" w14:textId="77777777">
        <w:trPr>
          <w:jc w:val="center"/>
        </w:trPr>
        <w:tc>
          <w:tcPr>
            <w:tcW w:w="1584" w:type="dxa"/>
          </w:tcPr>
          <w:p w14:paraId="6DD5D04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Month 2</w:t>
            </w:r>
          </w:p>
        </w:tc>
        <w:tc>
          <w:tcPr>
            <w:tcW w:w="4320" w:type="dxa"/>
          </w:tcPr>
          <w:p w14:paraId="3EA3DB0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Run experiments; improve integrations; refine reporting</w:t>
            </w:r>
          </w:p>
        </w:tc>
        <w:tc>
          <w:tcPr>
            <w:tcW w:w="4032" w:type="dxa"/>
          </w:tcPr>
          <w:p w14:paraId="2F1788D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A/B test results; integration beta</w:t>
            </w:r>
          </w:p>
        </w:tc>
      </w:tr>
      <w:tr w:rsidR="00FB68FA" w:rsidRPr="001264AD" w14:paraId="3A5F54CF" w14:textId="77777777">
        <w:trPr>
          <w:jc w:val="center"/>
        </w:trPr>
        <w:tc>
          <w:tcPr>
            <w:tcW w:w="1584" w:type="dxa"/>
          </w:tcPr>
          <w:p w14:paraId="5C5696E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Month 3</w:t>
            </w:r>
          </w:p>
        </w:tc>
        <w:tc>
          <w:tcPr>
            <w:tcW w:w="4320" w:type="dxa"/>
          </w:tcPr>
          <w:p w14:paraId="00E7BFE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Validate retention and ROI; prioritize roadmap</w:t>
            </w:r>
          </w:p>
        </w:tc>
        <w:tc>
          <w:tcPr>
            <w:tcW w:w="4032" w:type="dxa"/>
          </w:tcPr>
          <w:p w14:paraId="55B9222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v2 backlog; customer value report; release plan</w:t>
            </w:r>
          </w:p>
        </w:tc>
      </w:tr>
    </w:tbl>
    <w:p w14:paraId="76456210" w14:textId="77777777" w:rsidR="00FB68FA" w:rsidRPr="001264AD" w:rsidRDefault="00FB68FA" w:rsidP="001264AD">
      <w:pPr>
        <w:spacing w:line="480" w:lineRule="auto"/>
        <w:rPr>
          <w:rFonts w:ascii="Times New Roman" w:hAnsi="Times New Roman" w:cs="Times New Roman"/>
          <w:sz w:val="24"/>
          <w:szCs w:val="24"/>
        </w:rPr>
      </w:pPr>
    </w:p>
    <w:p w14:paraId="5ECFE9FC"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6.4 Post-Launch Success Metrics</w:t>
      </w:r>
    </w:p>
    <w:p w14:paraId="6950513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≥80% 90-day customer retention.</w:t>
      </w:r>
    </w:p>
    <w:p w14:paraId="4948C80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≥60% of high-priority alerts acknowledged within 24 hours.</w:t>
      </w:r>
    </w:p>
    <w:p w14:paraId="082EA9F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≥50% reduction in time-to-diagnosis for confirmed pilot issues.</w:t>
      </w:r>
    </w:p>
    <w:p w14:paraId="013AE7B0" w14:textId="46E69AE1"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lastRenderedPageBreak/>
        <w:t>≥90% precision for high-priority anomaly alerts</w:t>
      </w:r>
      <w:r w:rsidR="001264AD">
        <w:rPr>
          <w:rFonts w:ascii="Times New Roman" w:hAnsi="Times New Roman" w:cs="Times New Roman"/>
          <w:sz w:val="24"/>
          <w:szCs w:val="24"/>
        </w:rPr>
        <w:t xml:space="preserve"> </w:t>
      </w:r>
      <w:r w:rsidR="001264AD">
        <w:rPr>
          <w:rFonts w:ascii="Times New Roman" w:hAnsi="Times New Roman" w:cs="Times New Roman"/>
          <w:sz w:val="24"/>
          <w:szCs w:val="24"/>
        </w:rPr>
        <w:t>(</w:t>
      </w:r>
      <w:r w:rsidR="001264AD" w:rsidRPr="001264AD">
        <w:rPr>
          <w:rFonts w:ascii="Times New Roman" w:hAnsi="Times New Roman" w:cs="Times New Roman"/>
          <w:sz w:val="24"/>
          <w:szCs w:val="24"/>
        </w:rPr>
        <w:t>Feng &amp; Xu, 2025)</w:t>
      </w:r>
      <w:r w:rsidRPr="001264AD">
        <w:rPr>
          <w:rFonts w:ascii="Times New Roman" w:hAnsi="Times New Roman" w:cs="Times New Roman"/>
          <w:sz w:val="24"/>
          <w:szCs w:val="24"/>
        </w:rPr>
        <w:t>.</w:t>
      </w:r>
    </w:p>
    <w:p w14:paraId="4BD6E99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≥5% measurable energy reduction in a subset of eligible pilot buildings where actionable issues are confirmed.</w:t>
      </w:r>
    </w:p>
    <w:p w14:paraId="0ECBDE2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Net product satisfaction of at least 4.0/5 among active pilot users.</w:t>
      </w:r>
    </w:p>
    <w:p w14:paraId="3E159DF6"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6.5 One-Year Roadmap</w:t>
      </w:r>
    </w:p>
    <w:tbl>
      <w:tblPr>
        <w:tblStyle w:val="TableGrid"/>
        <w:tblW w:w="0" w:type="auto"/>
        <w:jc w:val="center"/>
        <w:tblLook w:val="04A0" w:firstRow="1" w:lastRow="0" w:firstColumn="1" w:lastColumn="0" w:noHBand="0" w:noVBand="1"/>
      </w:tblPr>
      <w:tblGrid>
        <w:gridCol w:w="1440"/>
        <w:gridCol w:w="8496"/>
      </w:tblGrid>
      <w:tr w:rsidR="00FB68FA" w:rsidRPr="001264AD" w14:paraId="25D69C2C" w14:textId="77777777">
        <w:trPr>
          <w:jc w:val="center"/>
        </w:trPr>
        <w:tc>
          <w:tcPr>
            <w:tcW w:w="1440" w:type="dxa"/>
            <w:shd w:val="clear" w:color="auto" w:fill="D9EAF7"/>
            <w:vAlign w:val="center"/>
          </w:tcPr>
          <w:p w14:paraId="5E59B78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Quarter</w:t>
            </w:r>
          </w:p>
        </w:tc>
        <w:tc>
          <w:tcPr>
            <w:tcW w:w="8496" w:type="dxa"/>
            <w:shd w:val="clear" w:color="auto" w:fill="D9EAF7"/>
            <w:vAlign w:val="center"/>
          </w:tcPr>
          <w:p w14:paraId="32E211E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Major Milestones</w:t>
            </w:r>
          </w:p>
        </w:tc>
      </w:tr>
      <w:tr w:rsidR="00FB68FA" w:rsidRPr="001264AD" w14:paraId="6A4980EC" w14:textId="77777777">
        <w:trPr>
          <w:jc w:val="center"/>
        </w:trPr>
        <w:tc>
          <w:tcPr>
            <w:tcW w:w="1440" w:type="dxa"/>
          </w:tcPr>
          <w:p w14:paraId="35320D1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Q1</w:t>
            </w:r>
          </w:p>
        </w:tc>
        <w:tc>
          <w:tcPr>
            <w:tcW w:w="8496" w:type="dxa"/>
          </w:tcPr>
          <w:p w14:paraId="5C2DF62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MVP launch; 25–50 buildings; establish data-quality and model-monitoring baseline</w:t>
            </w:r>
          </w:p>
        </w:tc>
      </w:tr>
      <w:tr w:rsidR="00FB68FA" w:rsidRPr="001264AD" w14:paraId="31FE3D36" w14:textId="77777777">
        <w:trPr>
          <w:jc w:val="center"/>
        </w:trPr>
        <w:tc>
          <w:tcPr>
            <w:tcW w:w="1440" w:type="dxa"/>
          </w:tcPr>
          <w:p w14:paraId="20E3CB8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Q2</w:t>
            </w:r>
          </w:p>
        </w:tc>
        <w:tc>
          <w:tcPr>
            <w:tcW w:w="8496" w:type="dxa"/>
          </w:tcPr>
          <w:p w14:paraId="5E02F1A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v2 alert explanations; feedback-driven retraining; Portfolio Manager integration beta</w:t>
            </w:r>
          </w:p>
        </w:tc>
      </w:tr>
      <w:tr w:rsidR="00FB68FA" w:rsidRPr="001264AD" w14:paraId="5E286135" w14:textId="77777777">
        <w:trPr>
          <w:jc w:val="center"/>
        </w:trPr>
        <w:tc>
          <w:tcPr>
            <w:tcW w:w="1440" w:type="dxa"/>
          </w:tcPr>
          <w:p w14:paraId="017EFF6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Q3</w:t>
            </w:r>
          </w:p>
        </w:tc>
        <w:tc>
          <w:tcPr>
            <w:tcW w:w="8496" w:type="dxa"/>
          </w:tcPr>
          <w:p w14:paraId="00191AD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Multi-utility analytics; savings reports; expanded connector library; 5,000-user scalability validation</w:t>
            </w:r>
          </w:p>
        </w:tc>
      </w:tr>
      <w:tr w:rsidR="00FB68FA" w:rsidRPr="001264AD" w14:paraId="4BDEF854" w14:textId="77777777">
        <w:trPr>
          <w:jc w:val="center"/>
        </w:trPr>
        <w:tc>
          <w:tcPr>
            <w:tcW w:w="1440" w:type="dxa"/>
          </w:tcPr>
          <w:p w14:paraId="4E261A2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Q4</w:t>
            </w:r>
          </w:p>
        </w:tc>
        <w:tc>
          <w:tcPr>
            <w:tcW w:w="8496" w:type="dxa"/>
          </w:tcPr>
          <w:p w14:paraId="26C76E4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Enterprise controls, stronger SSO, regional expansion planning, 10,000-user readiness and annual model-risk review</w:t>
            </w:r>
          </w:p>
        </w:tc>
      </w:tr>
    </w:tbl>
    <w:p w14:paraId="43E99A7D" w14:textId="77777777" w:rsidR="00FB68FA" w:rsidRPr="001264AD" w:rsidRDefault="00FB68FA" w:rsidP="001264AD">
      <w:pPr>
        <w:spacing w:line="480" w:lineRule="auto"/>
        <w:rPr>
          <w:rFonts w:ascii="Times New Roman" w:hAnsi="Times New Roman" w:cs="Times New Roman"/>
          <w:sz w:val="24"/>
          <w:szCs w:val="24"/>
        </w:rPr>
      </w:pPr>
    </w:p>
    <w:p w14:paraId="73D87D6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br w:type="page"/>
      </w:r>
    </w:p>
    <w:p w14:paraId="5350E4DD"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lastRenderedPageBreak/>
        <w:t>Implementation Plan and Governance</w:t>
      </w:r>
    </w:p>
    <w:p w14:paraId="6168CE85"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7.1 16-Week Delivery Schedule</w:t>
      </w:r>
    </w:p>
    <w:tbl>
      <w:tblPr>
        <w:tblStyle w:val="TableGrid"/>
        <w:tblW w:w="0" w:type="auto"/>
        <w:jc w:val="center"/>
        <w:tblLook w:val="04A0" w:firstRow="1" w:lastRow="0" w:firstColumn="1" w:lastColumn="0" w:noHBand="0" w:noVBand="1"/>
      </w:tblPr>
      <w:tblGrid>
        <w:gridCol w:w="1440"/>
        <w:gridCol w:w="2880"/>
        <w:gridCol w:w="5616"/>
      </w:tblGrid>
      <w:tr w:rsidR="00FB68FA" w:rsidRPr="001264AD" w14:paraId="391EC0A2" w14:textId="77777777">
        <w:trPr>
          <w:jc w:val="center"/>
        </w:trPr>
        <w:tc>
          <w:tcPr>
            <w:tcW w:w="1440" w:type="dxa"/>
            <w:shd w:val="clear" w:color="auto" w:fill="D9EAF7"/>
            <w:vAlign w:val="center"/>
          </w:tcPr>
          <w:p w14:paraId="0CC7B52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Weeks</w:t>
            </w:r>
          </w:p>
        </w:tc>
        <w:tc>
          <w:tcPr>
            <w:tcW w:w="2880" w:type="dxa"/>
            <w:shd w:val="clear" w:color="auto" w:fill="D9EAF7"/>
            <w:vAlign w:val="center"/>
          </w:tcPr>
          <w:p w14:paraId="647DAE8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Workstream</w:t>
            </w:r>
          </w:p>
        </w:tc>
        <w:tc>
          <w:tcPr>
            <w:tcW w:w="5616" w:type="dxa"/>
            <w:shd w:val="clear" w:color="auto" w:fill="D9EAF7"/>
            <w:vAlign w:val="center"/>
          </w:tcPr>
          <w:p w14:paraId="449C3EB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Key Outputs</w:t>
            </w:r>
          </w:p>
        </w:tc>
      </w:tr>
      <w:tr w:rsidR="00FB68FA" w:rsidRPr="001264AD" w14:paraId="7FEDBDF2" w14:textId="77777777">
        <w:trPr>
          <w:jc w:val="center"/>
        </w:trPr>
        <w:tc>
          <w:tcPr>
            <w:tcW w:w="1440" w:type="dxa"/>
          </w:tcPr>
          <w:p w14:paraId="6BD0CBA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1–2</w:t>
            </w:r>
          </w:p>
        </w:tc>
        <w:tc>
          <w:tcPr>
            <w:tcW w:w="2880" w:type="dxa"/>
          </w:tcPr>
          <w:p w14:paraId="4420FC5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Discovery &amp; data design</w:t>
            </w:r>
          </w:p>
        </w:tc>
        <w:tc>
          <w:tcPr>
            <w:tcW w:w="5616" w:type="dxa"/>
          </w:tcPr>
          <w:p w14:paraId="407C69A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Requirements, data contracts, UX wireframes, risk register</w:t>
            </w:r>
          </w:p>
        </w:tc>
      </w:tr>
      <w:tr w:rsidR="00FB68FA" w:rsidRPr="001264AD" w14:paraId="2B611855" w14:textId="77777777">
        <w:trPr>
          <w:jc w:val="center"/>
        </w:trPr>
        <w:tc>
          <w:tcPr>
            <w:tcW w:w="1440" w:type="dxa"/>
          </w:tcPr>
          <w:p w14:paraId="5E9CF96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3–5</w:t>
            </w:r>
          </w:p>
        </w:tc>
        <w:tc>
          <w:tcPr>
            <w:tcW w:w="2880" w:type="dxa"/>
          </w:tcPr>
          <w:p w14:paraId="4718D47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Platform foundation</w:t>
            </w:r>
          </w:p>
        </w:tc>
        <w:tc>
          <w:tcPr>
            <w:tcW w:w="5616" w:type="dxa"/>
          </w:tcPr>
          <w:p w14:paraId="1E9A955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AWS environments, auth, PostgreSQL, ingestion prototype</w:t>
            </w:r>
          </w:p>
        </w:tc>
      </w:tr>
      <w:tr w:rsidR="00FB68FA" w:rsidRPr="001264AD" w14:paraId="781B6A68" w14:textId="77777777">
        <w:trPr>
          <w:jc w:val="center"/>
        </w:trPr>
        <w:tc>
          <w:tcPr>
            <w:tcW w:w="1440" w:type="dxa"/>
          </w:tcPr>
          <w:p w14:paraId="46EF3EE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6–8</w:t>
            </w:r>
          </w:p>
        </w:tc>
        <w:tc>
          <w:tcPr>
            <w:tcW w:w="2880" w:type="dxa"/>
          </w:tcPr>
          <w:p w14:paraId="634D35C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ML baseline</w:t>
            </w:r>
          </w:p>
        </w:tc>
        <w:tc>
          <w:tcPr>
            <w:tcW w:w="5616" w:type="dxa"/>
          </w:tcPr>
          <w:p w14:paraId="2415EC6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Data pipeline, baseline model, evaluation dataset</w:t>
            </w:r>
          </w:p>
        </w:tc>
      </w:tr>
      <w:tr w:rsidR="00FB68FA" w:rsidRPr="001264AD" w14:paraId="7AF0E3B9" w14:textId="77777777">
        <w:trPr>
          <w:jc w:val="center"/>
        </w:trPr>
        <w:tc>
          <w:tcPr>
            <w:tcW w:w="1440" w:type="dxa"/>
          </w:tcPr>
          <w:p w14:paraId="4ECE180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9–11</w:t>
            </w:r>
          </w:p>
        </w:tc>
        <w:tc>
          <w:tcPr>
            <w:tcW w:w="2880" w:type="dxa"/>
          </w:tcPr>
          <w:p w14:paraId="537DD01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Product MVP</w:t>
            </w:r>
          </w:p>
        </w:tc>
        <w:tc>
          <w:tcPr>
            <w:tcW w:w="5616" w:type="dxa"/>
          </w:tcPr>
          <w:p w14:paraId="1CA4D7A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Dashboard, alert center, explanations, notifications</w:t>
            </w:r>
          </w:p>
        </w:tc>
      </w:tr>
      <w:tr w:rsidR="00FB68FA" w:rsidRPr="001264AD" w14:paraId="0F4E9601" w14:textId="77777777">
        <w:trPr>
          <w:jc w:val="center"/>
        </w:trPr>
        <w:tc>
          <w:tcPr>
            <w:tcW w:w="1440" w:type="dxa"/>
          </w:tcPr>
          <w:p w14:paraId="065D1EC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12–13</w:t>
            </w:r>
          </w:p>
        </w:tc>
        <w:tc>
          <w:tcPr>
            <w:tcW w:w="2880" w:type="dxa"/>
          </w:tcPr>
          <w:p w14:paraId="3D737C3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Integration &amp; security</w:t>
            </w:r>
          </w:p>
        </w:tc>
        <w:tc>
          <w:tcPr>
            <w:tcW w:w="5616" w:type="dxa"/>
          </w:tcPr>
          <w:p w14:paraId="1270E00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End-to-end tests, security tests, monitoring</w:t>
            </w:r>
          </w:p>
        </w:tc>
      </w:tr>
      <w:tr w:rsidR="00FB68FA" w:rsidRPr="001264AD" w14:paraId="3FA1D017" w14:textId="77777777">
        <w:trPr>
          <w:jc w:val="center"/>
        </w:trPr>
        <w:tc>
          <w:tcPr>
            <w:tcW w:w="1440" w:type="dxa"/>
          </w:tcPr>
          <w:p w14:paraId="54DD5FB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14–15</w:t>
            </w:r>
          </w:p>
        </w:tc>
        <w:tc>
          <w:tcPr>
            <w:tcW w:w="2880" w:type="dxa"/>
          </w:tcPr>
          <w:p w14:paraId="4BAD773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Pilot</w:t>
            </w:r>
          </w:p>
        </w:tc>
        <w:tc>
          <w:tcPr>
            <w:tcW w:w="5616" w:type="dxa"/>
          </w:tcPr>
          <w:p w14:paraId="58C2AE3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2–3 internal buildings, tuning, defect resolution</w:t>
            </w:r>
          </w:p>
        </w:tc>
      </w:tr>
      <w:tr w:rsidR="00FB68FA" w:rsidRPr="001264AD" w14:paraId="4221A81E" w14:textId="77777777">
        <w:trPr>
          <w:jc w:val="center"/>
        </w:trPr>
        <w:tc>
          <w:tcPr>
            <w:tcW w:w="1440" w:type="dxa"/>
          </w:tcPr>
          <w:p w14:paraId="3DB8DBF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16</w:t>
            </w:r>
          </w:p>
        </w:tc>
        <w:tc>
          <w:tcPr>
            <w:tcW w:w="2880" w:type="dxa"/>
          </w:tcPr>
          <w:p w14:paraId="77DB9C3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Go/no-go</w:t>
            </w:r>
          </w:p>
        </w:tc>
        <w:tc>
          <w:tcPr>
            <w:tcW w:w="5616" w:type="dxa"/>
          </w:tcPr>
          <w:p w14:paraId="3F051C7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KPI review, stakeholder sign-off, controlled beta plan</w:t>
            </w:r>
          </w:p>
        </w:tc>
      </w:tr>
    </w:tbl>
    <w:p w14:paraId="203B6B28" w14:textId="77777777" w:rsidR="00FB68FA" w:rsidRPr="001264AD" w:rsidRDefault="00FB68FA" w:rsidP="001264AD">
      <w:pPr>
        <w:spacing w:line="480" w:lineRule="auto"/>
        <w:rPr>
          <w:rFonts w:ascii="Times New Roman" w:hAnsi="Times New Roman" w:cs="Times New Roman"/>
          <w:sz w:val="24"/>
          <w:szCs w:val="24"/>
        </w:rPr>
      </w:pPr>
    </w:p>
    <w:p w14:paraId="228A925C"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7.2 Team Roles</w:t>
      </w:r>
    </w:p>
    <w:tbl>
      <w:tblPr>
        <w:tblStyle w:val="TableGrid"/>
        <w:tblW w:w="0" w:type="auto"/>
        <w:jc w:val="center"/>
        <w:tblLook w:val="04A0" w:firstRow="1" w:lastRow="0" w:firstColumn="1" w:lastColumn="0" w:noHBand="0" w:noVBand="1"/>
      </w:tblPr>
      <w:tblGrid>
        <w:gridCol w:w="2880"/>
        <w:gridCol w:w="2016"/>
        <w:gridCol w:w="5040"/>
      </w:tblGrid>
      <w:tr w:rsidR="00FB68FA" w:rsidRPr="001264AD" w14:paraId="5C5BA3F9" w14:textId="77777777">
        <w:trPr>
          <w:jc w:val="center"/>
        </w:trPr>
        <w:tc>
          <w:tcPr>
            <w:tcW w:w="2880" w:type="dxa"/>
            <w:shd w:val="clear" w:color="auto" w:fill="D9EAF7"/>
            <w:vAlign w:val="center"/>
          </w:tcPr>
          <w:p w14:paraId="391D891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Role</w:t>
            </w:r>
          </w:p>
        </w:tc>
        <w:tc>
          <w:tcPr>
            <w:tcW w:w="2016" w:type="dxa"/>
            <w:shd w:val="clear" w:color="auto" w:fill="D9EAF7"/>
            <w:vAlign w:val="center"/>
          </w:tcPr>
          <w:p w14:paraId="3D20537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Estimated Allocation</w:t>
            </w:r>
          </w:p>
        </w:tc>
        <w:tc>
          <w:tcPr>
            <w:tcW w:w="5040" w:type="dxa"/>
            <w:shd w:val="clear" w:color="auto" w:fill="D9EAF7"/>
            <w:vAlign w:val="center"/>
          </w:tcPr>
          <w:p w14:paraId="1C2F444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Responsibilities</w:t>
            </w:r>
          </w:p>
        </w:tc>
      </w:tr>
      <w:tr w:rsidR="00FB68FA" w:rsidRPr="001264AD" w14:paraId="6FC3CF0A" w14:textId="77777777">
        <w:trPr>
          <w:jc w:val="center"/>
        </w:trPr>
        <w:tc>
          <w:tcPr>
            <w:tcW w:w="2880" w:type="dxa"/>
          </w:tcPr>
          <w:p w14:paraId="42AE602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Product manager / business analyst</w:t>
            </w:r>
          </w:p>
        </w:tc>
        <w:tc>
          <w:tcPr>
            <w:tcW w:w="2016" w:type="dxa"/>
          </w:tcPr>
          <w:p w14:paraId="36AC543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0.75 FTE</w:t>
            </w:r>
          </w:p>
        </w:tc>
        <w:tc>
          <w:tcPr>
            <w:tcW w:w="5040" w:type="dxa"/>
          </w:tcPr>
          <w:p w14:paraId="0C27D93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Scope, personas, requirements, stakeholder decisions</w:t>
            </w:r>
          </w:p>
        </w:tc>
      </w:tr>
      <w:tr w:rsidR="00FB68FA" w:rsidRPr="001264AD" w14:paraId="0E597ACC" w14:textId="77777777">
        <w:trPr>
          <w:jc w:val="center"/>
        </w:trPr>
        <w:tc>
          <w:tcPr>
            <w:tcW w:w="2880" w:type="dxa"/>
          </w:tcPr>
          <w:p w14:paraId="45EAB33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Full-stack engineer</w:t>
            </w:r>
          </w:p>
        </w:tc>
        <w:tc>
          <w:tcPr>
            <w:tcW w:w="2016" w:type="dxa"/>
          </w:tcPr>
          <w:p w14:paraId="57E9ECC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1.0 FTE</w:t>
            </w:r>
          </w:p>
        </w:tc>
        <w:tc>
          <w:tcPr>
            <w:tcW w:w="5040" w:type="dxa"/>
          </w:tcPr>
          <w:p w14:paraId="442D065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React frontend, FastAPI backend, integrations</w:t>
            </w:r>
          </w:p>
        </w:tc>
      </w:tr>
      <w:tr w:rsidR="00FB68FA" w:rsidRPr="001264AD" w14:paraId="2BAF4394" w14:textId="77777777">
        <w:trPr>
          <w:jc w:val="center"/>
        </w:trPr>
        <w:tc>
          <w:tcPr>
            <w:tcW w:w="2880" w:type="dxa"/>
          </w:tcPr>
          <w:p w14:paraId="19C89E4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ML/data engineer</w:t>
            </w:r>
          </w:p>
        </w:tc>
        <w:tc>
          <w:tcPr>
            <w:tcW w:w="2016" w:type="dxa"/>
          </w:tcPr>
          <w:p w14:paraId="406BFBA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1.0 FTE</w:t>
            </w:r>
          </w:p>
        </w:tc>
        <w:tc>
          <w:tcPr>
            <w:tcW w:w="5040" w:type="dxa"/>
          </w:tcPr>
          <w:p w14:paraId="09A21FE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Data pipeline, features, models, evaluation</w:t>
            </w:r>
          </w:p>
        </w:tc>
      </w:tr>
      <w:tr w:rsidR="00FB68FA" w:rsidRPr="001264AD" w14:paraId="47A1E4BD" w14:textId="77777777">
        <w:trPr>
          <w:jc w:val="center"/>
        </w:trPr>
        <w:tc>
          <w:tcPr>
            <w:tcW w:w="2880" w:type="dxa"/>
          </w:tcPr>
          <w:p w14:paraId="7DC049F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Cloud/security engineer</w:t>
            </w:r>
          </w:p>
        </w:tc>
        <w:tc>
          <w:tcPr>
            <w:tcW w:w="2016" w:type="dxa"/>
          </w:tcPr>
          <w:p w14:paraId="54E3B58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0.5 FTE</w:t>
            </w:r>
          </w:p>
        </w:tc>
        <w:tc>
          <w:tcPr>
            <w:tcW w:w="5040" w:type="dxa"/>
          </w:tcPr>
          <w:p w14:paraId="3EB883B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AWS, IAM, CI/CD, monitoring, security</w:t>
            </w:r>
          </w:p>
        </w:tc>
      </w:tr>
      <w:tr w:rsidR="00FB68FA" w:rsidRPr="001264AD" w14:paraId="4EF9463F" w14:textId="77777777">
        <w:trPr>
          <w:jc w:val="center"/>
        </w:trPr>
        <w:tc>
          <w:tcPr>
            <w:tcW w:w="2880" w:type="dxa"/>
          </w:tcPr>
          <w:p w14:paraId="28D0F7A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UX designer / QA</w:t>
            </w:r>
          </w:p>
        </w:tc>
        <w:tc>
          <w:tcPr>
            <w:tcW w:w="2016" w:type="dxa"/>
          </w:tcPr>
          <w:p w14:paraId="73B9CF6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0.5 FTE</w:t>
            </w:r>
          </w:p>
        </w:tc>
        <w:tc>
          <w:tcPr>
            <w:tcW w:w="5040" w:type="dxa"/>
          </w:tcPr>
          <w:p w14:paraId="3A57A24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Prototype, usability testing, test planning</w:t>
            </w:r>
          </w:p>
        </w:tc>
      </w:tr>
    </w:tbl>
    <w:p w14:paraId="4C08D187" w14:textId="77777777" w:rsidR="00FB68FA" w:rsidRPr="001264AD" w:rsidRDefault="00FB68FA" w:rsidP="001264AD">
      <w:pPr>
        <w:spacing w:line="480" w:lineRule="auto"/>
        <w:rPr>
          <w:rFonts w:ascii="Times New Roman" w:hAnsi="Times New Roman" w:cs="Times New Roman"/>
          <w:sz w:val="24"/>
          <w:szCs w:val="24"/>
        </w:rPr>
      </w:pPr>
    </w:p>
    <w:p w14:paraId="095AFE70"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lastRenderedPageBreak/>
        <w:t>7.3 Key Project Risks</w:t>
      </w:r>
    </w:p>
    <w:tbl>
      <w:tblPr>
        <w:tblStyle w:val="TableGrid"/>
        <w:tblW w:w="0" w:type="auto"/>
        <w:jc w:val="center"/>
        <w:tblLook w:val="04A0" w:firstRow="1" w:lastRow="0" w:firstColumn="1" w:lastColumn="0" w:noHBand="0" w:noVBand="1"/>
      </w:tblPr>
      <w:tblGrid>
        <w:gridCol w:w="3024"/>
        <w:gridCol w:w="1270"/>
        <w:gridCol w:w="1152"/>
        <w:gridCol w:w="4464"/>
      </w:tblGrid>
      <w:tr w:rsidR="00FB68FA" w:rsidRPr="001264AD" w14:paraId="06AD1DD6" w14:textId="77777777">
        <w:trPr>
          <w:jc w:val="center"/>
        </w:trPr>
        <w:tc>
          <w:tcPr>
            <w:tcW w:w="3024" w:type="dxa"/>
            <w:shd w:val="clear" w:color="auto" w:fill="D9EAF7"/>
            <w:vAlign w:val="center"/>
          </w:tcPr>
          <w:p w14:paraId="02DFD2B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Risk</w:t>
            </w:r>
          </w:p>
        </w:tc>
        <w:tc>
          <w:tcPr>
            <w:tcW w:w="1152" w:type="dxa"/>
            <w:shd w:val="clear" w:color="auto" w:fill="D9EAF7"/>
            <w:vAlign w:val="center"/>
          </w:tcPr>
          <w:p w14:paraId="5FA3DA5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Likelihood</w:t>
            </w:r>
          </w:p>
        </w:tc>
        <w:tc>
          <w:tcPr>
            <w:tcW w:w="1152" w:type="dxa"/>
            <w:shd w:val="clear" w:color="auto" w:fill="D9EAF7"/>
            <w:vAlign w:val="center"/>
          </w:tcPr>
          <w:p w14:paraId="2BFC6BB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Impact</w:t>
            </w:r>
          </w:p>
        </w:tc>
        <w:tc>
          <w:tcPr>
            <w:tcW w:w="4464" w:type="dxa"/>
            <w:shd w:val="clear" w:color="auto" w:fill="D9EAF7"/>
            <w:vAlign w:val="center"/>
          </w:tcPr>
          <w:p w14:paraId="0DBC2A3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Mitigation</w:t>
            </w:r>
          </w:p>
        </w:tc>
      </w:tr>
      <w:tr w:rsidR="00FB68FA" w:rsidRPr="001264AD" w14:paraId="509907AB" w14:textId="77777777">
        <w:trPr>
          <w:jc w:val="center"/>
        </w:trPr>
        <w:tc>
          <w:tcPr>
            <w:tcW w:w="3024" w:type="dxa"/>
          </w:tcPr>
          <w:p w14:paraId="3A5E4CA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Poor sensor/data quality</w:t>
            </w:r>
          </w:p>
        </w:tc>
        <w:tc>
          <w:tcPr>
            <w:tcW w:w="1152" w:type="dxa"/>
          </w:tcPr>
          <w:p w14:paraId="4EAF2EB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High</w:t>
            </w:r>
          </w:p>
        </w:tc>
        <w:tc>
          <w:tcPr>
            <w:tcW w:w="1152" w:type="dxa"/>
          </w:tcPr>
          <w:p w14:paraId="31A09F2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High</w:t>
            </w:r>
          </w:p>
        </w:tc>
        <w:tc>
          <w:tcPr>
            <w:tcW w:w="4464" w:type="dxa"/>
          </w:tcPr>
          <w:p w14:paraId="7A05EE6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Validation rules, data-quality score, onboarding checks</w:t>
            </w:r>
          </w:p>
        </w:tc>
      </w:tr>
      <w:tr w:rsidR="00FB68FA" w:rsidRPr="001264AD" w14:paraId="473DAEC6" w14:textId="77777777">
        <w:trPr>
          <w:jc w:val="center"/>
        </w:trPr>
        <w:tc>
          <w:tcPr>
            <w:tcW w:w="3024" w:type="dxa"/>
          </w:tcPr>
          <w:p w14:paraId="19C801F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False-positive alert fatigue</w:t>
            </w:r>
          </w:p>
        </w:tc>
        <w:tc>
          <w:tcPr>
            <w:tcW w:w="1152" w:type="dxa"/>
          </w:tcPr>
          <w:p w14:paraId="29002837"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Medium</w:t>
            </w:r>
          </w:p>
        </w:tc>
        <w:tc>
          <w:tcPr>
            <w:tcW w:w="1152" w:type="dxa"/>
          </w:tcPr>
          <w:p w14:paraId="0613846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High</w:t>
            </w:r>
          </w:p>
        </w:tc>
        <w:tc>
          <w:tcPr>
            <w:tcW w:w="4464" w:type="dxa"/>
          </w:tcPr>
          <w:p w14:paraId="35CAFC4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Threshold tuning, alert grouping, user feedback</w:t>
            </w:r>
          </w:p>
        </w:tc>
      </w:tr>
      <w:tr w:rsidR="00FB68FA" w:rsidRPr="001264AD" w14:paraId="2274DDC7" w14:textId="77777777">
        <w:trPr>
          <w:jc w:val="center"/>
        </w:trPr>
        <w:tc>
          <w:tcPr>
            <w:tcW w:w="3024" w:type="dxa"/>
          </w:tcPr>
          <w:p w14:paraId="2466C07E"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Insufficient labeled anomalies</w:t>
            </w:r>
          </w:p>
        </w:tc>
        <w:tc>
          <w:tcPr>
            <w:tcW w:w="1152" w:type="dxa"/>
          </w:tcPr>
          <w:p w14:paraId="14F35E1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High</w:t>
            </w:r>
          </w:p>
        </w:tc>
        <w:tc>
          <w:tcPr>
            <w:tcW w:w="1152" w:type="dxa"/>
          </w:tcPr>
          <w:p w14:paraId="576D7AA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Medium</w:t>
            </w:r>
          </w:p>
        </w:tc>
        <w:tc>
          <w:tcPr>
            <w:tcW w:w="4464" w:type="dxa"/>
          </w:tcPr>
          <w:p w14:paraId="1E078B3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Unsupervised baseline plus technician labeling</w:t>
            </w:r>
          </w:p>
        </w:tc>
      </w:tr>
      <w:tr w:rsidR="00FB68FA" w:rsidRPr="001264AD" w14:paraId="09134DF9" w14:textId="77777777">
        <w:trPr>
          <w:jc w:val="center"/>
        </w:trPr>
        <w:tc>
          <w:tcPr>
            <w:tcW w:w="3024" w:type="dxa"/>
          </w:tcPr>
          <w:p w14:paraId="786CED7C"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Cloud cost growth</w:t>
            </w:r>
          </w:p>
        </w:tc>
        <w:tc>
          <w:tcPr>
            <w:tcW w:w="1152" w:type="dxa"/>
          </w:tcPr>
          <w:p w14:paraId="05DFB83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Medium</w:t>
            </w:r>
          </w:p>
        </w:tc>
        <w:tc>
          <w:tcPr>
            <w:tcW w:w="1152" w:type="dxa"/>
          </w:tcPr>
          <w:p w14:paraId="72AAEDB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Medium</w:t>
            </w:r>
          </w:p>
        </w:tc>
        <w:tc>
          <w:tcPr>
            <w:tcW w:w="4464" w:type="dxa"/>
          </w:tcPr>
          <w:p w14:paraId="226EA09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Budgets, usage alarms, right-sizing, lifecycle policies</w:t>
            </w:r>
          </w:p>
        </w:tc>
      </w:tr>
      <w:tr w:rsidR="00FB68FA" w:rsidRPr="001264AD" w14:paraId="680D43AC" w14:textId="77777777">
        <w:trPr>
          <w:jc w:val="center"/>
        </w:trPr>
        <w:tc>
          <w:tcPr>
            <w:tcW w:w="3024" w:type="dxa"/>
          </w:tcPr>
          <w:p w14:paraId="44A2F4C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Unauthorized tenant access</w:t>
            </w:r>
          </w:p>
        </w:tc>
        <w:tc>
          <w:tcPr>
            <w:tcW w:w="1152" w:type="dxa"/>
          </w:tcPr>
          <w:p w14:paraId="3A94DC98"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Low</w:t>
            </w:r>
          </w:p>
        </w:tc>
        <w:tc>
          <w:tcPr>
            <w:tcW w:w="1152" w:type="dxa"/>
          </w:tcPr>
          <w:p w14:paraId="7BDF817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Critical</w:t>
            </w:r>
          </w:p>
        </w:tc>
        <w:tc>
          <w:tcPr>
            <w:tcW w:w="4464" w:type="dxa"/>
          </w:tcPr>
          <w:p w14:paraId="4875BE2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Defense-in-depth authorization and security testing</w:t>
            </w:r>
          </w:p>
        </w:tc>
      </w:tr>
      <w:tr w:rsidR="00FB68FA" w:rsidRPr="001264AD" w14:paraId="4436F076" w14:textId="77777777">
        <w:trPr>
          <w:jc w:val="center"/>
        </w:trPr>
        <w:tc>
          <w:tcPr>
            <w:tcW w:w="3024" w:type="dxa"/>
          </w:tcPr>
          <w:p w14:paraId="5FEA0555"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Customer does not act on alerts</w:t>
            </w:r>
          </w:p>
        </w:tc>
        <w:tc>
          <w:tcPr>
            <w:tcW w:w="1152" w:type="dxa"/>
          </w:tcPr>
          <w:p w14:paraId="2FDB84A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Medium</w:t>
            </w:r>
          </w:p>
        </w:tc>
        <w:tc>
          <w:tcPr>
            <w:tcW w:w="1152" w:type="dxa"/>
          </w:tcPr>
          <w:p w14:paraId="137C5D99"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High</w:t>
            </w:r>
          </w:p>
        </w:tc>
        <w:tc>
          <w:tcPr>
            <w:tcW w:w="4464" w:type="dxa"/>
          </w:tcPr>
          <w:p w14:paraId="251F7E2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Evidence-rich alerts, workflow tracking, interviews</w:t>
            </w:r>
          </w:p>
        </w:tc>
      </w:tr>
    </w:tbl>
    <w:p w14:paraId="0AB3C05A" w14:textId="77777777" w:rsidR="00FB68FA" w:rsidRPr="001264AD" w:rsidRDefault="00FB68FA" w:rsidP="001264AD">
      <w:pPr>
        <w:spacing w:line="480" w:lineRule="auto"/>
        <w:rPr>
          <w:rFonts w:ascii="Times New Roman" w:hAnsi="Times New Roman" w:cs="Times New Roman"/>
          <w:sz w:val="24"/>
          <w:szCs w:val="24"/>
        </w:rPr>
      </w:pPr>
    </w:p>
    <w:p w14:paraId="2CE6FC3C"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7.4 Stakeholder Decision Gates</w:t>
      </w:r>
    </w:p>
    <w:p w14:paraId="346764D6"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Gate 1 – Problem/market approval: sponsor confirms target customer and measurable problem.</w:t>
      </w:r>
    </w:p>
    <w:p w14:paraId="7D9433D0"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Gate 2 – Architecture approval: engineering and security approve stack and data flows.</w:t>
      </w:r>
    </w:p>
    <w:p w14:paraId="3994BD1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Gate 3 – MVP readiness: product owner approves core workflows and acceptance tests.</w:t>
      </w:r>
    </w:p>
    <w:p w14:paraId="1A27891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Gate 4 – Pilot readiness: security, QA, and model-evaluation thresholds are met.</w:t>
      </w:r>
    </w:p>
    <w:p w14:paraId="79C3918B"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Gate 5 – General availability: product meets KPI, reliability, support, and governance requirements.</w:t>
      </w:r>
    </w:p>
    <w:p w14:paraId="5EB37F4D"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br w:type="page"/>
      </w:r>
    </w:p>
    <w:p w14:paraId="272785EA"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lastRenderedPageBreak/>
        <w:t>Appendix A – AI Prompts Used</w:t>
      </w:r>
    </w:p>
    <w:p w14:paraId="32492CCA"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The following prompts were used as part of the AI-assisted documentation workflow. AI-generated content was reviewed and refined for feasibility, consistency, and academic requirements.</w:t>
      </w:r>
    </w:p>
    <w:p w14:paraId="3C47FF80" w14:textId="7C8D0BD1"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1. Generate 3 different AI/ML web application use cases for me to choose from. Make them diverse and interesting. For each option provide company name, industry/sector, problem, AI/ML solution, and why it would be valuable. Include at least one RAG-based application and make the ideas realistic for a small team</w:t>
      </w:r>
      <w:r w:rsidR="001264AD">
        <w:rPr>
          <w:rFonts w:ascii="Times New Roman" w:hAnsi="Times New Roman" w:cs="Times New Roman"/>
          <w:sz w:val="24"/>
          <w:szCs w:val="24"/>
        </w:rPr>
        <w:t xml:space="preserve"> </w:t>
      </w:r>
      <w:r w:rsidR="001264AD">
        <w:rPr>
          <w:rFonts w:ascii="Times New Roman" w:hAnsi="Times New Roman" w:cs="Times New Roman"/>
          <w:sz w:val="24"/>
          <w:szCs w:val="24"/>
        </w:rPr>
        <w:t>(</w:t>
      </w:r>
      <w:r w:rsidR="001264AD" w:rsidRPr="001264AD">
        <w:rPr>
          <w:rFonts w:ascii="Times New Roman" w:hAnsi="Times New Roman" w:cs="Times New Roman"/>
          <w:sz w:val="24"/>
          <w:szCs w:val="24"/>
        </w:rPr>
        <w:t>Feng &amp; Xu, 2025)</w:t>
      </w:r>
      <w:r w:rsidRPr="001264AD">
        <w:rPr>
          <w:rFonts w:ascii="Times New Roman" w:hAnsi="Times New Roman" w:cs="Times New Roman"/>
          <w:sz w:val="24"/>
          <w:szCs w:val="24"/>
        </w:rPr>
        <w:t>.</w:t>
      </w:r>
    </w:p>
    <w:p w14:paraId="31219B3B" w14:textId="0C82D1A8"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2. I'm building BrightGrid Facilities, a fictional facilities-technology company, and BrightGrid Energy Insights, an AI-powered web application that detects unusual energy consumption in small commercial buildings and explains likely causes. Generate comprehensive documentation for all 6 phases of the AI/Tech Project Lifecycle, including specific technical technologies, metrics, timelines, and deployment details</w:t>
      </w:r>
      <w:r w:rsidR="001264AD">
        <w:rPr>
          <w:rFonts w:ascii="Times New Roman" w:hAnsi="Times New Roman" w:cs="Times New Roman"/>
          <w:sz w:val="24"/>
          <w:szCs w:val="24"/>
        </w:rPr>
        <w:t xml:space="preserve"> </w:t>
      </w:r>
      <w:r w:rsidR="001264AD">
        <w:rPr>
          <w:rFonts w:ascii="Times New Roman" w:hAnsi="Times New Roman" w:cs="Times New Roman"/>
          <w:sz w:val="24"/>
          <w:szCs w:val="24"/>
        </w:rPr>
        <w:t>(</w:t>
      </w:r>
      <w:r w:rsidR="001264AD" w:rsidRPr="001264AD">
        <w:rPr>
          <w:rFonts w:ascii="Times New Roman" w:hAnsi="Times New Roman" w:cs="Times New Roman"/>
          <w:sz w:val="24"/>
          <w:szCs w:val="24"/>
        </w:rPr>
        <w:t>Feng &amp; Xu, 2025)</w:t>
      </w:r>
      <w:r w:rsidRPr="001264AD">
        <w:rPr>
          <w:rFonts w:ascii="Times New Roman" w:hAnsi="Times New Roman" w:cs="Times New Roman"/>
          <w:sz w:val="24"/>
          <w:szCs w:val="24"/>
        </w:rPr>
        <w:t>.</w:t>
      </w:r>
    </w:p>
    <w:p w14:paraId="714CF614"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3. Refine Phase 1 so the business problem, personas, market assumptions, competitive landscape, and measurable success criteria are realistic for a small B2B SaaS company.</w:t>
      </w:r>
    </w:p>
    <w:p w14:paraId="308960B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4. Refine Phase 2 into a technically credible architecture using AWS, Python, React, PostgreSQL, time-series storage, and practical machine-learning libraries. Explain technology choices and alternatives.</w:t>
      </w:r>
    </w:p>
    <w:p w14:paraId="214F30DB" w14:textId="76A0F61C"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5. Refine Phase 3 into an MVP specification with user flow, acceptance criteria, exclusions, and known technical limitations</w:t>
      </w:r>
      <w:r w:rsidR="001264AD">
        <w:rPr>
          <w:rFonts w:ascii="Times New Roman" w:hAnsi="Times New Roman" w:cs="Times New Roman"/>
          <w:sz w:val="24"/>
          <w:szCs w:val="24"/>
        </w:rPr>
        <w:t xml:space="preserve"> (</w:t>
      </w:r>
      <w:r w:rsidR="001264AD" w:rsidRPr="001264AD">
        <w:rPr>
          <w:rFonts w:ascii="Times New Roman" w:hAnsi="Times New Roman" w:cs="Times New Roman"/>
          <w:sz w:val="24"/>
          <w:szCs w:val="24"/>
        </w:rPr>
        <w:t>Feng &amp; Xu, 2025)</w:t>
      </w:r>
      <w:r w:rsidRPr="001264AD">
        <w:rPr>
          <w:rFonts w:ascii="Times New Roman" w:hAnsi="Times New Roman" w:cs="Times New Roman"/>
          <w:sz w:val="24"/>
          <w:szCs w:val="24"/>
        </w:rPr>
        <w:t>.</w:t>
      </w:r>
    </w:p>
    <w:p w14:paraId="76121121"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6. Refine Phase 4 with 5–7 measurable KPIs, realistic performance targets, model evaluation methods, load testing, and A/B testing.</w:t>
      </w:r>
    </w:p>
    <w:p w14:paraId="2E281B72"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7. Refine Phase 5 with a deployment strategy from 100 to 10,000 users, AWS services, security controls, monitoring, compliance considerations, and phased rollout.</w:t>
      </w:r>
    </w:p>
    <w:p w14:paraId="53B1B303"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lastRenderedPageBreak/>
        <w:t>8. Refine Phase 6 with feedback collection, a three-month iteration plan, v2 priorities, post-launch metrics, and a one-year roadmap.</w:t>
      </w:r>
    </w:p>
    <w:p w14:paraId="632D68AF" w14:textId="77777777" w:rsidR="00FB68FA" w:rsidRPr="001264AD" w:rsidRDefault="00000000"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9. Review the complete lifecycle for internal consistency. Identify unrealistic assumptions, duplicated requirements, missing risks, or metrics that cannot be measured, and propose corrections.</w:t>
      </w:r>
    </w:p>
    <w:p w14:paraId="6015DF4F" w14:textId="77777777" w:rsidR="00FB68FA" w:rsidRPr="001264AD" w:rsidRDefault="00000000" w:rsidP="001264AD">
      <w:pPr>
        <w:spacing w:line="480" w:lineRule="auto"/>
        <w:rPr>
          <w:rFonts w:ascii="Times New Roman" w:hAnsi="Times New Roman" w:cs="Times New Roman"/>
          <w:b/>
          <w:bCs/>
          <w:sz w:val="24"/>
          <w:szCs w:val="24"/>
        </w:rPr>
      </w:pPr>
      <w:r w:rsidRPr="001264AD">
        <w:rPr>
          <w:rFonts w:ascii="Times New Roman" w:hAnsi="Times New Roman" w:cs="Times New Roman"/>
          <w:b/>
          <w:bCs/>
          <w:sz w:val="24"/>
          <w:szCs w:val="24"/>
        </w:rPr>
        <w:t>Appendix B – AI Acceleration Reflection</w:t>
      </w:r>
    </w:p>
    <w:p w14:paraId="3CE7FCF5" w14:textId="77777777" w:rsidR="001264AD" w:rsidRDefault="001264AD" w:rsidP="001264AD">
      <w:pPr>
        <w:spacing w:line="480" w:lineRule="auto"/>
        <w:rPr>
          <w:rFonts w:ascii="Times New Roman" w:hAnsi="Times New Roman" w:cs="Times New Roman"/>
          <w:sz w:val="24"/>
          <w:szCs w:val="24"/>
        </w:rPr>
      </w:pPr>
      <w:r w:rsidRPr="001264AD">
        <w:rPr>
          <w:rFonts w:ascii="Times New Roman" w:hAnsi="Times New Roman" w:cs="Times New Roman"/>
          <w:sz w:val="24"/>
          <w:szCs w:val="24"/>
        </w:rPr>
        <w:t xml:space="preserve">AI turned a wide project concept into a structured lifecycle plan using similar vocabulary across business, technical, testing, deployment, and iteration parts, speeding up documentation. AI generated candidate use cases, personas, design options, quantifiable KPIs, test scenarios, deployment phases, and roadmap suggestions instead of beginning from scratch. The fastest way to explore options and find information like model-drift monitoring, tenant isolation, alert fatigue, and explicit MVP exclusions was the most important advantage. </w:t>
      </w:r>
      <w:r w:rsidRPr="001264AD">
        <w:rPr>
          <w:rFonts w:ascii="Times New Roman" w:hAnsi="Times New Roman" w:cs="Times New Roman"/>
          <w:sz w:val="24"/>
          <w:szCs w:val="24"/>
        </w:rPr>
        <w:br/>
        <w:t>AI was used for planning, not authority. Technical claims were verified against reliable sources, assumptions like the original market size were labeled as estimations, and the final design was adjusted to fit a small crew. Because AI-generated requirements may be internally reasonable but operationally incorrect, the lifecycle utilizes human decision gates. This shows how AI may speed up documentation while needing human judgment, validation, and responsibility.</w:t>
      </w:r>
    </w:p>
    <w:p w14:paraId="7E7D4878" w14:textId="77777777" w:rsidR="001264AD" w:rsidRDefault="001264AD" w:rsidP="001264AD">
      <w:pPr>
        <w:spacing w:line="480" w:lineRule="auto"/>
        <w:rPr>
          <w:rFonts w:ascii="Times New Roman" w:hAnsi="Times New Roman" w:cs="Times New Roman"/>
          <w:sz w:val="24"/>
          <w:szCs w:val="24"/>
        </w:rPr>
      </w:pPr>
    </w:p>
    <w:p w14:paraId="12EC950A" w14:textId="77777777" w:rsidR="001264AD" w:rsidRDefault="001264AD" w:rsidP="001264AD">
      <w:pPr>
        <w:spacing w:line="480" w:lineRule="auto"/>
        <w:rPr>
          <w:rFonts w:ascii="Times New Roman" w:hAnsi="Times New Roman" w:cs="Times New Roman"/>
          <w:sz w:val="24"/>
          <w:szCs w:val="24"/>
        </w:rPr>
      </w:pPr>
    </w:p>
    <w:p w14:paraId="3A5FB56C" w14:textId="77777777" w:rsidR="001264AD" w:rsidRDefault="001264AD" w:rsidP="001264AD">
      <w:pPr>
        <w:spacing w:line="480" w:lineRule="auto"/>
        <w:rPr>
          <w:rFonts w:ascii="Times New Roman" w:hAnsi="Times New Roman" w:cs="Times New Roman"/>
          <w:sz w:val="24"/>
          <w:szCs w:val="24"/>
        </w:rPr>
      </w:pPr>
    </w:p>
    <w:p w14:paraId="4E41DADB" w14:textId="77777777" w:rsidR="001264AD" w:rsidRDefault="001264AD" w:rsidP="001264AD">
      <w:pPr>
        <w:spacing w:line="480" w:lineRule="auto"/>
        <w:rPr>
          <w:rFonts w:ascii="Times New Roman" w:hAnsi="Times New Roman" w:cs="Times New Roman"/>
          <w:sz w:val="24"/>
          <w:szCs w:val="24"/>
        </w:rPr>
      </w:pPr>
    </w:p>
    <w:p w14:paraId="794AF1BF" w14:textId="77777777" w:rsidR="001264AD" w:rsidRPr="001264AD" w:rsidRDefault="001264AD" w:rsidP="001264AD">
      <w:pPr>
        <w:spacing w:line="480" w:lineRule="auto"/>
        <w:rPr>
          <w:rFonts w:ascii="Times New Roman" w:hAnsi="Times New Roman" w:cs="Times New Roman"/>
          <w:sz w:val="24"/>
          <w:szCs w:val="24"/>
        </w:rPr>
      </w:pPr>
    </w:p>
    <w:p w14:paraId="45E39F37" w14:textId="77777777" w:rsidR="00FB68FA" w:rsidRPr="001264AD" w:rsidRDefault="00000000" w:rsidP="001264AD">
      <w:pPr>
        <w:spacing w:line="480" w:lineRule="auto"/>
        <w:jc w:val="center"/>
        <w:rPr>
          <w:rFonts w:ascii="Times New Roman" w:hAnsi="Times New Roman" w:cs="Times New Roman"/>
          <w:b/>
          <w:bCs/>
          <w:sz w:val="24"/>
          <w:szCs w:val="24"/>
        </w:rPr>
      </w:pPr>
      <w:r w:rsidRPr="001264AD">
        <w:rPr>
          <w:rFonts w:ascii="Times New Roman" w:hAnsi="Times New Roman" w:cs="Times New Roman"/>
          <w:b/>
          <w:bCs/>
          <w:sz w:val="24"/>
          <w:szCs w:val="24"/>
        </w:rPr>
        <w:lastRenderedPageBreak/>
        <w:t>Appendix C – References</w:t>
      </w:r>
    </w:p>
    <w:p w14:paraId="0AEC72B6" w14:textId="77777777" w:rsidR="00707838" w:rsidRDefault="00707838" w:rsidP="00707838">
      <w:pPr>
        <w:spacing w:line="480" w:lineRule="auto"/>
        <w:ind w:left="720" w:hanging="720"/>
        <w:rPr>
          <w:rFonts w:ascii="Times New Roman" w:hAnsi="Times New Roman" w:cs="Times New Roman"/>
          <w:sz w:val="24"/>
          <w:szCs w:val="24"/>
        </w:rPr>
      </w:pPr>
      <w:r w:rsidRPr="001264AD">
        <w:rPr>
          <w:rFonts w:ascii="Times New Roman" w:hAnsi="Times New Roman" w:cs="Times New Roman"/>
          <w:sz w:val="24"/>
          <w:szCs w:val="24"/>
        </w:rPr>
        <w:t>Feng, Y., &amp; Xu, R. (2025). Advancing global sustainability: The role of the sharing economy, environmental patents, and energy efficiency in the Group of Seven’s path to sustainable development. </w:t>
      </w:r>
      <w:r w:rsidRPr="001264AD">
        <w:rPr>
          <w:rFonts w:ascii="Times New Roman" w:hAnsi="Times New Roman" w:cs="Times New Roman"/>
          <w:i/>
          <w:iCs/>
          <w:sz w:val="24"/>
          <w:szCs w:val="24"/>
        </w:rPr>
        <w:t>Sustainability</w:t>
      </w:r>
      <w:r w:rsidRPr="001264AD">
        <w:rPr>
          <w:rFonts w:ascii="Times New Roman" w:hAnsi="Times New Roman" w:cs="Times New Roman"/>
          <w:sz w:val="24"/>
          <w:szCs w:val="24"/>
        </w:rPr>
        <w:t>, </w:t>
      </w:r>
      <w:r w:rsidRPr="001264AD">
        <w:rPr>
          <w:rFonts w:ascii="Times New Roman" w:hAnsi="Times New Roman" w:cs="Times New Roman"/>
          <w:i/>
          <w:iCs/>
          <w:sz w:val="24"/>
          <w:szCs w:val="24"/>
        </w:rPr>
        <w:t>17</w:t>
      </w:r>
      <w:r w:rsidRPr="001264AD">
        <w:rPr>
          <w:rFonts w:ascii="Times New Roman" w:hAnsi="Times New Roman" w:cs="Times New Roman"/>
          <w:sz w:val="24"/>
          <w:szCs w:val="24"/>
        </w:rPr>
        <w:t>(1), 322.</w:t>
      </w:r>
      <w:r w:rsidRPr="001264AD">
        <w:t xml:space="preserve"> </w:t>
      </w:r>
      <w:hyperlink r:id="rId9" w:history="1">
        <w:r w:rsidRPr="00432403">
          <w:rPr>
            <w:rStyle w:val="Hyperlink"/>
            <w:rFonts w:ascii="Times New Roman" w:hAnsi="Times New Roman" w:cs="Times New Roman"/>
            <w:sz w:val="24"/>
            <w:szCs w:val="24"/>
          </w:rPr>
          <w:t>https://www.mdpi.com/2071-1050/17/1/322</w:t>
        </w:r>
      </w:hyperlink>
    </w:p>
    <w:p w14:paraId="2BF96C96" w14:textId="77777777" w:rsidR="00707838" w:rsidRDefault="00707838" w:rsidP="00707838">
      <w:pPr>
        <w:spacing w:line="480" w:lineRule="auto"/>
        <w:ind w:left="720" w:hanging="720"/>
        <w:rPr>
          <w:rFonts w:ascii="Times New Roman" w:hAnsi="Times New Roman" w:cs="Times New Roman"/>
          <w:sz w:val="24"/>
          <w:szCs w:val="24"/>
        </w:rPr>
      </w:pPr>
      <w:r w:rsidRPr="001264AD">
        <w:rPr>
          <w:rFonts w:ascii="Times New Roman" w:hAnsi="Times New Roman" w:cs="Times New Roman"/>
          <w:sz w:val="24"/>
          <w:szCs w:val="24"/>
        </w:rPr>
        <w:t>Malinovec Puček, M., Khoja, A., Bazzan, E., &amp; Gyuris, P. (2023). A data structure for digital building logbooks: Achieving energy efficiency, sustainability, and smartness in buildings across the EU. </w:t>
      </w:r>
      <w:r w:rsidRPr="001264AD">
        <w:rPr>
          <w:rFonts w:ascii="Times New Roman" w:hAnsi="Times New Roman" w:cs="Times New Roman"/>
          <w:i/>
          <w:iCs/>
          <w:sz w:val="24"/>
          <w:szCs w:val="24"/>
        </w:rPr>
        <w:t>Buildings</w:t>
      </w:r>
      <w:r w:rsidRPr="001264AD">
        <w:rPr>
          <w:rFonts w:ascii="Times New Roman" w:hAnsi="Times New Roman" w:cs="Times New Roman"/>
          <w:sz w:val="24"/>
          <w:szCs w:val="24"/>
        </w:rPr>
        <w:t>, </w:t>
      </w:r>
      <w:r w:rsidRPr="001264AD">
        <w:rPr>
          <w:rFonts w:ascii="Times New Roman" w:hAnsi="Times New Roman" w:cs="Times New Roman"/>
          <w:i/>
          <w:iCs/>
          <w:sz w:val="24"/>
          <w:szCs w:val="24"/>
        </w:rPr>
        <w:t>13</w:t>
      </w:r>
      <w:r w:rsidRPr="001264AD">
        <w:rPr>
          <w:rFonts w:ascii="Times New Roman" w:hAnsi="Times New Roman" w:cs="Times New Roman"/>
          <w:sz w:val="24"/>
          <w:szCs w:val="24"/>
        </w:rPr>
        <w:t>(4), 1082.</w:t>
      </w:r>
      <w:r w:rsidRPr="001264AD">
        <w:t xml:space="preserve"> </w:t>
      </w:r>
      <w:hyperlink r:id="rId10" w:history="1">
        <w:r w:rsidRPr="00432403">
          <w:rPr>
            <w:rStyle w:val="Hyperlink"/>
            <w:rFonts w:ascii="Times New Roman" w:hAnsi="Times New Roman" w:cs="Times New Roman"/>
            <w:sz w:val="24"/>
            <w:szCs w:val="24"/>
          </w:rPr>
          <w:t>https://www.mdpi.com/2075-5309/13/4/1082</w:t>
        </w:r>
      </w:hyperlink>
    </w:p>
    <w:p w14:paraId="1AC78060" w14:textId="77777777" w:rsidR="00707838" w:rsidRPr="001264AD" w:rsidRDefault="00707838" w:rsidP="00707838">
      <w:pPr>
        <w:spacing w:line="480" w:lineRule="auto"/>
        <w:ind w:left="720" w:hanging="720"/>
        <w:rPr>
          <w:rFonts w:ascii="Times New Roman" w:hAnsi="Times New Roman" w:cs="Times New Roman"/>
          <w:sz w:val="24"/>
          <w:szCs w:val="24"/>
        </w:rPr>
      </w:pPr>
      <w:r w:rsidRPr="001264AD">
        <w:rPr>
          <w:rFonts w:ascii="Times New Roman" w:hAnsi="Times New Roman" w:cs="Times New Roman"/>
          <w:sz w:val="24"/>
          <w:szCs w:val="24"/>
        </w:rPr>
        <w:t>National Institute of Standards and Technology. (2023). Artificial Intelligence Risk Management Framework (AI RMF 1.0).</w:t>
      </w:r>
    </w:p>
    <w:p w14:paraId="72949A18" w14:textId="77777777" w:rsidR="00707838" w:rsidRPr="001264AD" w:rsidRDefault="00707838" w:rsidP="00707838">
      <w:pPr>
        <w:spacing w:line="480" w:lineRule="auto"/>
        <w:ind w:left="720" w:hanging="720"/>
        <w:rPr>
          <w:rFonts w:ascii="Times New Roman" w:hAnsi="Times New Roman" w:cs="Times New Roman"/>
          <w:sz w:val="24"/>
          <w:szCs w:val="24"/>
        </w:rPr>
      </w:pPr>
      <w:r w:rsidRPr="001264AD">
        <w:rPr>
          <w:rFonts w:ascii="Times New Roman" w:hAnsi="Times New Roman" w:cs="Times New Roman"/>
          <w:sz w:val="24"/>
          <w:szCs w:val="24"/>
        </w:rPr>
        <w:t>National Institute of Standards and Technology. (2024). Artificial Intelligence Risk Management Framework: Generative Artificial Intelligence Profile.</w:t>
      </w:r>
    </w:p>
    <w:p w14:paraId="49E885E7" w14:textId="77777777" w:rsidR="00707838" w:rsidRDefault="00707838" w:rsidP="00707838">
      <w:pPr>
        <w:spacing w:line="480" w:lineRule="auto"/>
        <w:ind w:left="720" w:hanging="720"/>
        <w:rPr>
          <w:rFonts w:ascii="Times New Roman" w:hAnsi="Times New Roman" w:cs="Times New Roman"/>
          <w:sz w:val="24"/>
          <w:szCs w:val="24"/>
        </w:rPr>
      </w:pPr>
      <w:r w:rsidRPr="001264AD">
        <w:rPr>
          <w:rFonts w:ascii="Times New Roman" w:hAnsi="Times New Roman" w:cs="Times New Roman"/>
          <w:sz w:val="24"/>
          <w:szCs w:val="24"/>
        </w:rPr>
        <w:t>Ramachandran, S., OV, G. S., &amp; Agrawal, T. (2025, November). A Review of AWS IoT: Architecture, Applications, and Research Directions. In </w:t>
      </w:r>
      <w:r w:rsidRPr="001264AD">
        <w:rPr>
          <w:rFonts w:ascii="Times New Roman" w:hAnsi="Times New Roman" w:cs="Times New Roman"/>
          <w:i/>
          <w:iCs/>
          <w:sz w:val="24"/>
          <w:szCs w:val="24"/>
        </w:rPr>
        <w:t>2025 IEEE First International Conference on Innovations in Engineering and Next-Generation Technologies for Sustainability (ICINVENTS)</w:t>
      </w:r>
      <w:r w:rsidRPr="001264AD">
        <w:rPr>
          <w:rFonts w:ascii="Times New Roman" w:hAnsi="Times New Roman" w:cs="Times New Roman"/>
          <w:sz w:val="24"/>
          <w:szCs w:val="24"/>
        </w:rPr>
        <w:t> (Vol. 1, pp. 1-6). IEEE.</w:t>
      </w:r>
      <w:r w:rsidRPr="001264AD">
        <w:t xml:space="preserve"> </w:t>
      </w:r>
      <w:hyperlink r:id="rId11" w:history="1">
        <w:r w:rsidRPr="00432403">
          <w:rPr>
            <w:rStyle w:val="Hyperlink"/>
            <w:rFonts w:ascii="Times New Roman" w:hAnsi="Times New Roman" w:cs="Times New Roman"/>
            <w:sz w:val="24"/>
            <w:szCs w:val="24"/>
          </w:rPr>
          <w:t>https://ieeexplore.ieee.org/abstract/document/11402221/</w:t>
        </w:r>
      </w:hyperlink>
    </w:p>
    <w:p w14:paraId="7865BA11" w14:textId="77777777" w:rsidR="00707838" w:rsidRDefault="00707838" w:rsidP="00707838">
      <w:pPr>
        <w:spacing w:line="480" w:lineRule="auto"/>
        <w:ind w:left="720" w:hanging="720"/>
        <w:rPr>
          <w:rFonts w:ascii="Times New Roman" w:hAnsi="Times New Roman" w:cs="Times New Roman"/>
          <w:sz w:val="24"/>
          <w:szCs w:val="24"/>
        </w:rPr>
      </w:pPr>
      <w:r w:rsidRPr="001264AD">
        <w:rPr>
          <w:rFonts w:ascii="Times New Roman" w:hAnsi="Times New Roman" w:cs="Times New Roman"/>
          <w:sz w:val="24"/>
          <w:szCs w:val="24"/>
        </w:rPr>
        <w:t>Soongpol, B., Netinant, P., &amp; Rukhiran, M. (2024). Practical sustainable software development in architectural flexibility for energy efficiency using the extended agile framework. </w:t>
      </w:r>
      <w:r w:rsidRPr="001264AD">
        <w:rPr>
          <w:rFonts w:ascii="Times New Roman" w:hAnsi="Times New Roman" w:cs="Times New Roman"/>
          <w:i/>
          <w:iCs/>
          <w:sz w:val="24"/>
          <w:szCs w:val="24"/>
        </w:rPr>
        <w:t>Sustainability</w:t>
      </w:r>
      <w:r w:rsidRPr="001264AD">
        <w:rPr>
          <w:rFonts w:ascii="Times New Roman" w:hAnsi="Times New Roman" w:cs="Times New Roman"/>
          <w:sz w:val="24"/>
          <w:szCs w:val="24"/>
        </w:rPr>
        <w:t>, </w:t>
      </w:r>
      <w:r w:rsidRPr="001264AD">
        <w:rPr>
          <w:rFonts w:ascii="Times New Roman" w:hAnsi="Times New Roman" w:cs="Times New Roman"/>
          <w:i/>
          <w:iCs/>
          <w:sz w:val="24"/>
          <w:szCs w:val="24"/>
        </w:rPr>
        <w:t>16</w:t>
      </w:r>
      <w:r w:rsidRPr="001264AD">
        <w:rPr>
          <w:rFonts w:ascii="Times New Roman" w:hAnsi="Times New Roman" w:cs="Times New Roman"/>
          <w:sz w:val="24"/>
          <w:szCs w:val="24"/>
        </w:rPr>
        <w:t>(13), 5738.</w:t>
      </w:r>
      <w:r w:rsidRPr="001264AD">
        <w:t xml:space="preserve"> </w:t>
      </w:r>
      <w:hyperlink r:id="rId12" w:history="1">
        <w:r w:rsidRPr="00432403">
          <w:rPr>
            <w:rStyle w:val="Hyperlink"/>
            <w:rFonts w:ascii="Times New Roman" w:hAnsi="Times New Roman" w:cs="Times New Roman"/>
            <w:sz w:val="24"/>
            <w:szCs w:val="24"/>
          </w:rPr>
          <w:t>https://www.mdpi.com/2071-1050/16/13/5738</w:t>
        </w:r>
      </w:hyperlink>
    </w:p>
    <w:p w14:paraId="1BFF2D18" w14:textId="77777777" w:rsidR="001264AD" w:rsidRPr="001264AD" w:rsidRDefault="001264AD" w:rsidP="001264AD">
      <w:pPr>
        <w:spacing w:line="480" w:lineRule="auto"/>
        <w:rPr>
          <w:rFonts w:ascii="Times New Roman" w:hAnsi="Times New Roman" w:cs="Times New Roman"/>
          <w:sz w:val="24"/>
          <w:szCs w:val="24"/>
        </w:rPr>
      </w:pPr>
    </w:p>
    <w:p w14:paraId="4CEB4C3E" w14:textId="5F7FC095" w:rsidR="00FB68FA" w:rsidRPr="001264AD" w:rsidRDefault="00FB68FA" w:rsidP="001264AD">
      <w:pPr>
        <w:spacing w:line="480" w:lineRule="auto"/>
        <w:rPr>
          <w:rFonts w:ascii="Times New Roman" w:hAnsi="Times New Roman" w:cs="Times New Roman"/>
          <w:sz w:val="24"/>
          <w:szCs w:val="24"/>
        </w:rPr>
      </w:pPr>
    </w:p>
    <w:sectPr w:rsidR="00FB68FA" w:rsidRPr="001264AD" w:rsidSect="00034616">
      <w:headerReference w:type="default" r:id="rId13"/>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CB47E" w14:textId="77777777" w:rsidR="00AC6A6F" w:rsidRDefault="00AC6A6F">
      <w:pPr>
        <w:spacing w:after="0" w:line="240" w:lineRule="auto"/>
      </w:pPr>
      <w:r>
        <w:separator/>
      </w:r>
    </w:p>
  </w:endnote>
  <w:endnote w:type="continuationSeparator" w:id="0">
    <w:p w14:paraId="45C1B787" w14:textId="77777777" w:rsidR="00AC6A6F" w:rsidRDefault="00AC6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C6A31" w14:textId="5A6A1D07" w:rsidR="00FB68FA" w:rsidRDefault="00FB68F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442A3" w14:textId="77777777" w:rsidR="00AC6A6F" w:rsidRDefault="00AC6A6F">
      <w:pPr>
        <w:spacing w:after="0" w:line="240" w:lineRule="auto"/>
      </w:pPr>
      <w:r>
        <w:separator/>
      </w:r>
    </w:p>
  </w:footnote>
  <w:footnote w:type="continuationSeparator" w:id="0">
    <w:p w14:paraId="31B8B259" w14:textId="77777777" w:rsidR="00AC6A6F" w:rsidRDefault="00AC6A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183715"/>
      <w:docPartObj>
        <w:docPartGallery w:val="Page Numbers (Top of Page)"/>
        <w:docPartUnique/>
      </w:docPartObj>
    </w:sdtPr>
    <w:sdtEndPr>
      <w:rPr>
        <w:noProof/>
      </w:rPr>
    </w:sdtEndPr>
    <w:sdtContent>
      <w:p w14:paraId="78F041FA" w14:textId="73D7776E" w:rsidR="00427C1A" w:rsidRDefault="00427C1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D6557AB" w14:textId="77777777" w:rsidR="00427C1A" w:rsidRDefault="00427C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5030115">
    <w:abstractNumId w:val="8"/>
  </w:num>
  <w:num w:numId="2" w16cid:durableId="35813417">
    <w:abstractNumId w:val="6"/>
  </w:num>
  <w:num w:numId="3" w16cid:durableId="2068648670">
    <w:abstractNumId w:val="5"/>
  </w:num>
  <w:num w:numId="4" w16cid:durableId="1802653865">
    <w:abstractNumId w:val="4"/>
  </w:num>
  <w:num w:numId="5" w16cid:durableId="1876577022">
    <w:abstractNumId w:val="7"/>
  </w:num>
  <w:num w:numId="6" w16cid:durableId="1653215009">
    <w:abstractNumId w:val="3"/>
  </w:num>
  <w:num w:numId="7" w16cid:durableId="1362970663">
    <w:abstractNumId w:val="2"/>
  </w:num>
  <w:num w:numId="8" w16cid:durableId="1556044682">
    <w:abstractNumId w:val="1"/>
  </w:num>
  <w:num w:numId="9" w16cid:durableId="114106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B58"/>
    <w:rsid w:val="001264AD"/>
    <w:rsid w:val="0015074B"/>
    <w:rsid w:val="002861B4"/>
    <w:rsid w:val="0029639D"/>
    <w:rsid w:val="00326F90"/>
    <w:rsid w:val="00427C1A"/>
    <w:rsid w:val="00464B4E"/>
    <w:rsid w:val="005025C3"/>
    <w:rsid w:val="005A4C74"/>
    <w:rsid w:val="00707838"/>
    <w:rsid w:val="00967C34"/>
    <w:rsid w:val="00AA1D8D"/>
    <w:rsid w:val="00AC6A6F"/>
    <w:rsid w:val="00B47730"/>
    <w:rsid w:val="00CB0664"/>
    <w:rsid w:val="00D909BF"/>
    <w:rsid w:val="00EE39C1"/>
    <w:rsid w:val="00FB68FA"/>
    <w:rsid w:val="00FC693F"/>
    <w:rsid w:val="00FE03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A74A37"/>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264AD"/>
    <w:rPr>
      <w:color w:val="0000FF" w:themeColor="hyperlink"/>
      <w:u w:val="single"/>
    </w:rPr>
  </w:style>
  <w:style w:type="character" w:styleId="UnresolvedMention">
    <w:name w:val="Unresolved Mention"/>
    <w:basedOn w:val="DefaultParagraphFont"/>
    <w:uiPriority w:val="99"/>
    <w:semiHidden/>
    <w:unhideWhenUsed/>
    <w:rsid w:val="00126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mdpi.com/2071-1050/16/13/5738"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eexplore.ieee.org/abstract/document/1140222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mdpi.com/2075-5309/13/4/1082" TargetMode="External"/><Relationship Id="rId4" Type="http://schemas.openxmlformats.org/officeDocument/2006/relationships/webSettings" Target="webSettings.xml"/><Relationship Id="rId9" Type="http://schemas.openxmlformats.org/officeDocument/2006/relationships/hyperlink" Target="https://www.mdpi.com/2071-1050/17/1/322"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4124</Words>
  <Characters>23510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2026-09-05T16:54:00Z</dcterms:created>
  <dcterms:modified xsi:type="dcterms:W3CDTF">2026-09-05T16:55:00Z</dcterms:modified>
  <cp:category/>
</cp:coreProperties>
</file>