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모집질서 준수 내규 (v2.0, 시행일 2026-01-01)</w:t>
      </w:r>
    </w:p>
    <w:p>
      <w:r>
        <w:t>제1조(목적) 이 내규는 보험 모집 과정의 질서 유지에 필요한 사항을 정함을 목적으로 한다.</w:t>
      </w:r>
    </w:p>
    <w:p>
      <w:r>
        <w:t>제2조(적용대상) 이 내규는 전속 설계사와 법인보험대리점 모집인에게 적용한다.</w:t>
      </w:r>
    </w:p>
    <w:p>
      <w:r>
        <w:t>제3조(금지 행위) ① 모집인은 보험료 대납을 하여서는 안 된다.</w:t>
      </w:r>
    </w:p>
    <w:p>
      <w:r>
        <w:t>② 모집인은 특별이익을 제공하여서는 안 된다.</w:t>
      </w:r>
    </w:p>
    <w:p>
      <w:r>
        <w:t>제4조(설명 의무) 모집인은 상품의 중요 사항을 고객에게 설명하고 확인서를 받는다.</w:t>
      </w:r>
    </w:p>
    <w:p>
      <w:r>
        <w:t>제5조(위반 등급) 위반 행위는 경중에 따라 경미, 중대, 중대 반복으로 구분하며 등급별 조치는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963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제6조(조치 기준) 위반 등급별 조치 기준은 다음 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등급</w:t>
            </w:r>
          </w:p>
        </w:tc>
        <w:tc>
          <w:tcPr>
            <w:tcW w:type="dxa" w:w="2635"/>
          </w:tcPr>
          <w:p>
            <w:r>
              <w:t>1차</w:t>
            </w:r>
          </w:p>
        </w:tc>
        <w:tc>
          <w:tcPr>
            <w:tcW w:type="dxa" w:w="2635"/>
          </w:tcPr>
          <w:p>
            <w:r>
              <w:t>2차</w:t>
            </w:r>
          </w:p>
        </w:tc>
        <w:tc>
          <w:tcPr>
            <w:tcW w:type="dxa" w:w="2635"/>
          </w:tcPr>
          <w:p>
            <w:r>
              <w:t>3차</w:t>
            </w:r>
          </w:p>
        </w:tc>
      </w:tr>
      <w:tr>
        <w:tc>
          <w:tcPr>
            <w:tcW w:type="dxa" w:w="2635"/>
          </w:tcPr>
          <w:p>
            <w:r>
              <w:t>경미</w:t>
            </w:r>
          </w:p>
        </w:tc>
        <w:tc>
          <w:tcPr>
            <w:tcW w:type="dxa" w:w="2635"/>
          </w:tcPr>
          <w:p>
            <w:r>
              <w:t>주의</w:t>
            </w:r>
          </w:p>
        </w:tc>
        <w:tc>
          <w:tcPr>
            <w:tcW w:type="dxa" w:w="2635"/>
          </w:tcPr>
          <w:p>
            <w:r>
              <w:t>경고</w:t>
            </w:r>
          </w:p>
        </w:tc>
        <w:tc>
          <w:tcPr>
            <w:tcW w:type="dxa" w:w="2635"/>
          </w:tcPr>
          <w:p>
            <w:r>
              <w:t>교육</w:t>
            </w:r>
          </w:p>
        </w:tc>
      </w:tr>
      <w:tr>
        <w:tc>
          <w:tcPr>
            <w:tcW w:type="dxa" w:w="2635"/>
          </w:tcPr>
          <w:p>
            <w:r>
              <w:t>중대</w:t>
            </w:r>
          </w:p>
        </w:tc>
        <w:tc>
          <w:tcPr>
            <w:tcW w:type="dxa" w:w="2635"/>
          </w:tcPr>
          <w:p>
            <w:r>
              <w:t>경고</w:t>
            </w:r>
          </w:p>
        </w:tc>
        <w:tc>
          <w:tcPr>
            <w:tcW w:type="dxa" w:w="2635"/>
          </w:tcPr>
          <w:p>
            <w:r>
              <w:t>업무정지 1개월</w:t>
            </w:r>
          </w:p>
        </w:tc>
        <w:tc>
          <w:tcPr>
            <w:tcW w:type="dxa" w:w="2635"/>
          </w:tcPr>
          <w:p>
            <w:r>
              <w:t>해촉</w:t>
            </w:r>
          </w:p>
        </w:tc>
      </w:tr>
    </w:tbl>
    <w:p>
      <w:r>
        <w:t>제7조(완전판매 모니터링) 신계약의 10%를 표본 추출하여 완전판매 여부를 확인한다.</w:t>
      </w:r>
    </w:p>
    <w:p>
      <w:r>
        <w:t>제8조(해피콜) 청약일부터 7일 이내에 해피콜을 실시한다.</w:t>
      </w:r>
    </w:p>
    <w:p>
      <w:r>
        <w:t>제9조(불완전판매 환수) 불완전판매로 계약이 취소되면 지급한 수수료를 전액 환수한다.</w:t>
      </w:r>
    </w:p>
    <w:p>
      <w:r>
        <w:t>제10조(자율 점검) 모집 조직은 반기 1회 자율 점검을 실시한다.</w:t>
      </w:r>
    </w:p>
    <w:p>
      <w:r>
        <w:t>제11조(신고 채널) 모집질서 위반은 준법감시팀 전화로 신고할 수 있다.</w:t>
      </w:r>
    </w:p>
    <w:p>
      <w:r>
        <w:t>제12조(신고자 보호) 신고자의 신원은 비밀로 한다.</w:t>
      </w:r>
    </w:p>
    <w:p>
      <w:r>
        <w:t>제13조(교육) 모집인은 연 2시간 이상 모집질서 교육을 이수한다.</w:t>
      </w:r>
    </w:p>
    <w:p>
      <w:r>
        <w:t>제14조(서면 서약) 신규 모집인은 위촉 시 모집질서 준수 서약서를 제출한다.</w:t>
      </w:r>
    </w:p>
    <w:p>
      <w:r>
        <w:t>제15조(외부 감사) 외부 감사 결과는 이사회에 보고한다.</w:t>
      </w:r>
    </w:p>
    <w:p>
      <w:r>
        <w:t>제16조(자료 보관) 점검 자료는 3년간 보관한다.</w:t>
      </w:r>
    </w:p>
    <w:p>
      <w:r>
        <w:t>제17조(포상) 우수 조직은 연 1회 포상한다.</w:t>
      </w:r>
    </w:p>
    <w:p>
      <w:r>
        <w:t>제18조(위임) 세부 운영 기준은 준법감시인이 정한다.</w:t>
      </w:r>
    </w:p>
    <w:p>
      <w:r>
        <w:t>제19조(해석) 이 내규의 해석은 준법감시인이 한다.</w:t>
      </w:r>
    </w:p>
    <w:p>
      <w:r>
        <w:t>제20조(시행) 이 내규는 대표이사 승인일부터 시행한다.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