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40000" cy="41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[Hana Life 계약심사부] 언더라이팅 업무매뉴얼 (v3.0, 시행일 2026-01-01)</w:t>
      </w:r>
    </w:p>
    <w:p>
      <w:r>
        <w:t>제1조(목적) 이 매뉴얼은 Hana Life 계약심사부의 언더라이팅 업무 절차와 판단 기준을 정함을 목적으로 한다.</w:t>
      </w:r>
    </w:p>
    <w:p>
      <w:r>
        <w:t>제2조(적용범위) 이 매뉴얼은 개인보험 신계약 및 부활 계약의 언더라이팅에 적용한다.</w:t>
      </w:r>
    </w:p>
    <w:p>
      <w:r>
        <w:t>제3조(용어의 정의) ① 언더라이팅이란 피보험자의 위험을 평가하여 인수 여부와 조건을 결정하는 업무를 말한다.</w:t>
      </w:r>
    </w:p>
    <w:p>
      <w:r>
        <w:t>② 표준체란 보험료 할증 없이 인수할 수 있는 피보험자를 말한다.</w:t>
      </w:r>
    </w:p>
    <w:p>
      <w:r>
        <w:t>제4조(심사 흐름) 언더라이팅은 접수, 서류 확인, 위험 평가, 인수 결정, 결과 통보 순으로 처리하며 세부 흐름은 아래 그림과 같다.</w:t>
      </w:r>
    </w:p>
    <w:p>
      <w:r>
        <w:drawing>
          <wp:inline xmlns:a="http://schemas.openxmlformats.org/drawingml/2006/main" xmlns:pic="http://schemas.openxmlformats.org/drawingml/2006/picture">
            <wp:extent cx="5400000" cy="115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제5조(심사자 자격) 언더라이팅 심사자는 사내 심사 자격 2급 이상을 보유하여야 한다.</w:t>
      </w:r>
    </w:p>
    <w:p>
      <w:r>
        <w:t>제6조(청약서 확인) ① 심사자는 청약서의 필수 기재 항목 누락 여부를 확인한다.</w:t>
      </w:r>
    </w:p>
    <w:p>
      <w:r>
        <w:t>② 누락 항목이 있는 경우 영업 채널에 3영업일 이내 보완을 요청한다.</w:t>
      </w:r>
    </w:p>
    <w:p>
      <w:r>
        <w:t>제7조(고지사항 검토) 심사자는 계약 전 알릴 의무 사항을 최근 5년간의 병력 기준으로 검토한다.</w:t>
      </w:r>
    </w:p>
    <w:p>
      <w:r>
        <w:t>제8조(무진단 한도) 무진단으로 인수할 수 있는 1인당 사망보험금 한도는 1억원으로 한다.</w:t>
      </w:r>
    </w:p>
    <w:p>
      <w:r>
        <w:t>제9조(건강진단 대상) 사망보험금 합계가 2억원을 초과하거나 피보험자가 만 55세 이상인 경우 건강진단을 실시한다.</w:t>
      </w:r>
    </w:p>
    <w:p>
      <w:r>
        <w:t>제10조(진단 항목) 건강진단은 혈압, 혈액, 소변 검사를 기본으로 하며 필요 시 심전도를 추가한다.</w:t>
      </w:r>
    </w:p>
    <w:p>
      <w:r>
        <w:t>제11조(위험등급 분류) 피보험자의 위험등급은 직업, 병력, 생활습관을 종합하여 아래 매트릭스에 따라 분류한다.</w:t>
      </w:r>
    </w:p>
    <w:p>
      <w:r>
        <w:drawing>
          <wp:inline xmlns:a="http://schemas.openxmlformats.org/drawingml/2006/main" xmlns:pic="http://schemas.openxmlformats.org/drawingml/2006/picture">
            <wp:extent cx="5400000" cy="196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제12조(직업 위험) 직업 위험등급은 1급부터 4급까지로 구분하며 4급은 인수를 보류한다.</w:t>
      </w:r>
    </w:p>
    <w:p>
      <w:r>
        <w:t>제13조(할증 인수) ① 표준체 기준을 초과하는 위험이 있는 경우 보험료를 할증하여 인수할 수 있다.</w:t>
      </w:r>
    </w:p>
    <w:p>
      <w:r>
        <w:t>② 할증률은 최대 100%로 한다.</w:t>
      </w:r>
    </w:p>
    <w:p>
      <w:r>
        <w:t>제14조(부담보 인수) 특정 신체 부위에 위험이 있는 경우 해당 부위를 1년간 부담보로 하여 인수할 수 있다.</w:t>
      </w:r>
    </w:p>
    <w:p>
      <w:r>
        <w:t>제15조(인수 거절) 위험이 인수 기준을 크게 초과하는 경우 인수를 거절하고 사유를 기록한다.</w:t>
      </w:r>
    </w:p>
    <w:p>
      <w:r>
        <w:t>제16조(처리기한) 심사자는 서류 완비일부터 5영업일 이내에 인수 여부를 결정한다.</w:t>
      </w:r>
    </w:p>
    <w:p>
      <w:r>
        <w:t>제17조(상위 심사) 가입금액 5억원 이상 계약은 수석 심사자의 2차 심사를 받아야 한다.</w:t>
      </w:r>
    </w:p>
    <w:p>
      <w:r>
        <w:t>제18조(재심사) 인수 거절 건에 대해 고객이 재심사를 요청하는 경우 1회에 한하여 재심사할 수 있다.</w:t>
      </w:r>
    </w:p>
    <w:p>
      <w:r>
        <w:t>제19조(결과 통보) 인수 결과는 영업 채널을 통해 서면으로 고객에게 통보한다.</w:t>
      </w:r>
    </w:p>
    <w:p>
      <w:r>
        <w:t>제20조(고위험 직종 확인) 고위험 직종 종사자는 재직증명서를 추가로 제출받는다.</w:t>
      </w:r>
    </w:p>
    <w:p>
      <w:r>
        <w:t>제21조(해외 체류자) 해외 체류 예정 기간이 6개월 이상인 경우 인수를 보류한다.</w:t>
      </w:r>
    </w:p>
    <w:p>
      <w:r>
        <w:t>제22조(부활 심사) 실효 후 부활 청약 건은 신계약 기준을 동일하게 적용하여 심사한다.</w:t>
      </w:r>
    </w:p>
    <w:p>
      <w:r>
        <w:t>제23조(팩스 서류) 팩스로 접수된 서류는 원본 도착 전까지 가심사로 처리한다.</w:t>
      </w:r>
    </w:p>
    <w:p>
      <w:r>
        <w:t>제24조(심사 의견서) 조건부 인수 또는 거절 시 심사 의견서를 작성하여 전산에 등록한다.</w:t>
      </w:r>
    </w:p>
    <w:p>
      <w:r>
        <w:t>제25조(통계 관리) 심사부는 월별 인수 결과 통계를 작성하여 부서장에게 보고한다.</w:t>
      </w:r>
    </w:p>
    <w:p>
      <w:r>
        <w:t>제26조(교육) 심사자는 연 1회 이상 언더라이팅 실무 교육을 이수하여야 한다.</w:t>
      </w:r>
    </w:p>
    <w:p>
      <w:r>
        <w:t>제27조(기록 보관) 심사 관련 서류는 계약 소멸 후 5년간 보관한다.</w:t>
      </w:r>
    </w:p>
    <w:p>
      <w:r>
        <w:t>제28조(매뉴얼 개정) 이 매뉴얼은 연 1회 정기 검토하고 필요 시 개정한다.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