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40000" cy="41142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4114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[Hana Life 계약심사부] 계약심사 전결 내규 (v1.5, 시행일 2025-07-01)</w:t>
      </w:r>
    </w:p>
    <w:p>
      <w:r>
        <w:t>제1조(목적) 이 내규는 Hana Life 계약심사부의 업무 전결 권한과 결재 절차를 정함을 목적으로 한다.</w:t>
      </w:r>
    </w:p>
    <w:p>
      <w:r>
        <w:t>제2조(정의) 전결이란 위임받은 범위에서 최종 결정권자를 대신하여 결재하는 것을 말한다.</w:t>
      </w:r>
    </w:p>
    <w:p>
      <w:r>
        <w:t>제3조(결재 라인) 결재는 담당자, 파트장, 팀장, 부장 순으로 진행하며 결재 라인은 아래 그림과 같다.</w:t>
      </w:r>
    </w:p>
    <w:p>
      <w:r>
        <w:drawing>
          <wp:inline xmlns:a="http://schemas.openxmlformats.org/drawingml/2006/main" xmlns:pic="http://schemas.openxmlformats.org/drawingml/2006/picture">
            <wp:extent cx="5400000" cy="11571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157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제4조(전결권자) 전결권자는 팀장 이상으로 한다.</w:t>
      </w:r>
    </w:p>
    <w:p>
      <w:r>
        <w:t>제5조(인수 전결 한도) 인수심사 전결 한도는 다음 표와 같다.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35"/>
        <w:gridCol w:w="2635"/>
        <w:gridCol w:w="2635"/>
        <w:gridCol w:w="2635"/>
      </w:tblGrid>
      <w:tr>
        <w:tc>
          <w:tcPr>
            <w:tcW w:type="dxa" w:w="2635"/>
          </w:tcPr>
          <w:p>
            <w:r>
              <w:t>구분</w:t>
            </w:r>
          </w:p>
        </w:tc>
        <w:tc>
          <w:tcPr>
            <w:tcW w:type="dxa" w:w="2635"/>
          </w:tcPr>
          <w:p>
            <w:r>
              <w:t>파트장</w:t>
            </w:r>
          </w:p>
        </w:tc>
        <w:tc>
          <w:tcPr>
            <w:tcW w:type="dxa" w:w="2635"/>
          </w:tcPr>
          <w:p>
            <w:r>
              <w:t>팀장</w:t>
            </w:r>
          </w:p>
        </w:tc>
        <w:tc>
          <w:tcPr>
            <w:tcW w:type="dxa" w:w="2635"/>
          </w:tcPr>
          <w:p>
            <w:r>
              <w:t>부장</w:t>
            </w:r>
          </w:p>
        </w:tc>
      </w:tr>
      <w:tr>
        <w:tc>
          <w:tcPr>
            <w:tcW w:type="dxa" w:w="2635"/>
          </w:tcPr>
          <w:p>
            <w:r>
              <w:t>무진단</w:t>
            </w:r>
          </w:p>
        </w:tc>
        <w:tc>
          <w:tcPr>
            <w:tcW w:type="dxa" w:w="2635"/>
          </w:tcPr>
          <w:p>
            <w:r>
              <w:t>5천만원</w:t>
            </w:r>
          </w:p>
        </w:tc>
        <w:tc>
          <w:tcPr>
            <w:tcW w:type="dxa" w:w="2635"/>
          </w:tcPr>
          <w:p>
            <w:r>
              <w:t>1억원</w:t>
            </w:r>
          </w:p>
        </w:tc>
        <w:tc>
          <w:tcPr>
            <w:tcW w:type="dxa" w:w="2635"/>
          </w:tcPr>
          <w:p>
            <w:r>
              <w:t>3억원</w:t>
            </w:r>
          </w:p>
        </w:tc>
      </w:tr>
      <w:tr>
        <w:tc>
          <w:tcPr>
            <w:tcW w:type="dxa" w:w="2635"/>
          </w:tcPr>
          <w:p>
            <w:r>
              <w:t>진단</w:t>
            </w:r>
          </w:p>
        </w:tc>
        <w:tc>
          <w:tcPr>
            <w:tcW w:type="dxa" w:w="2635"/>
          </w:tcPr>
          <w:p>
            <w:r>
              <w:t>1억원</w:t>
            </w:r>
          </w:p>
        </w:tc>
        <w:tc>
          <w:tcPr>
            <w:tcW w:type="dxa" w:w="2635"/>
          </w:tcPr>
          <w:p>
            <w:r>
              <w:t>2억원</w:t>
            </w:r>
          </w:p>
        </w:tc>
        <w:tc>
          <w:tcPr>
            <w:tcW w:type="dxa" w:w="2635"/>
          </w:tcPr>
          <w:p>
            <w:r>
              <w:t>5억원</w:t>
            </w:r>
          </w:p>
        </w:tc>
      </w:tr>
    </w:tbl>
    <w:p>
      <w:r>
        <w:t>제6조(지급 전결 한도) 보험금 지급 전결 한도는 팀장 5천만원, 부장 2억원으로 한다.</w:t>
      </w:r>
    </w:p>
    <w:p>
      <w:r>
        <w:t>제7조(예외 결재) 전결 한도를 넘는 건은 담당 임원의 결재를 받는다.</w:t>
      </w:r>
    </w:p>
    <w:p>
      <w:r>
        <w:t>제8조(대결) 전결권자가 부재 중인 경우 차하위 직위자가 대결하고 사후 보고한다.</w:t>
      </w:r>
    </w:p>
    <w:p>
      <w:r>
        <w:t>제9조(사후 보고) 대결한 건은 3영업일 이내에 전결권자에게 보고한다.</w:t>
      </w:r>
    </w:p>
    <w:p>
      <w:r>
        <w:t>제10조(전자 결재) 결재는 전자결재 시스템으로 처리한다.</w:t>
      </w:r>
    </w:p>
    <w:p>
      <w:r>
        <w:t>제11조(긴급 결재) 긴급한 경우 구두 승인 후 1영업일 이내에 전자결재를 상신한다.</w:t>
      </w:r>
    </w:p>
    <w:p>
      <w:r>
        <w:t>제12조(결재 기한) 결재권자는 상신일부터 2영업일 이내에 결재한다.</w:t>
      </w:r>
    </w:p>
    <w:p>
      <w:r>
        <w:t>제13조(반려) 결재권자가 반려하는 경우 사유를 기재한다.</w:t>
      </w:r>
    </w:p>
    <w:p>
      <w:r>
        <w:t>제14조(기록 관리) 결재 문서는 10년간 보관한다.</w:t>
      </w:r>
    </w:p>
    <w:p>
      <w:r>
        <w:t>제15조(위임 제한) 전결 권한은 재위임할 수 없다.</w:t>
      </w:r>
    </w:p>
    <w:p>
      <w:r>
        <w:t>제16조(이해 상충) 결재권자는 본인 또는 친족 관련 건을 결재할 수 없다.</w:t>
      </w:r>
    </w:p>
    <w:p>
      <w:r>
        <w:t>제17조(감사) 내부감사부서는 연 1회 전결 운영 실태를 점검한다.</w:t>
      </w:r>
    </w:p>
    <w:p>
      <w:r>
        <w:t>제18조(위반 시 조치) 이 내규를 위반한 경우 인사 규정에 따라 조치한다.</w:t>
      </w:r>
    </w:p>
    <w:p>
      <w:r>
        <w:t>제19조(서면 결재) 전산 장애 시에는 서면으로 결재하고 복구 후 전산에 등록한다.</w:t>
      </w:r>
    </w:p>
    <w:p>
      <w:r>
        <w:t>제20조(통계 보고) 팀장은 분기별 전결 처리 현황을 부장에게 보고한다.</w:t>
      </w:r>
    </w:p>
    <w:p>
      <w:r>
        <w:t>제21조(교육) 신규 전결권자는 임명 후 1개월 이내에 전결 교육을 이수한다.</w:t>
      </w:r>
    </w:p>
    <w:p>
      <w:r>
        <w:t>제22조(해석) 이 내규의 해석에 이견이 있는 경우 부장이 결정한다.</w:t>
      </w:r>
    </w:p>
    <w:p>
      <w:r>
        <w:t>제23조(개정 절차) 이 내규는 부서 회의를 거쳐 부장이 개정한다.</w:t>
      </w:r>
    </w:p>
    <w:p>
      <w:r>
        <w:t>제24조(시행) 이 내규는 부장 승인일부터 시행한다.</w:t>
      </w:r>
    </w:p>
    <w:sectPr w:rsidR="00FC693F" w:rsidRPr="0006063C" w:rsidSect="00034616">
      <w:pgSz w:w="12240" w:h="15840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