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A5F"/>
          <w:sz w:val="48"/>
        </w:rPr>
        <w:t>KOSH Inventory &amp; Manufacturing System</w:t>
      </w:r>
    </w:p>
    <w:p>
      <w:pPr>
        <w:spacing w:after="40"/>
      </w:pPr>
      <w:r>
        <w:rPr>
          <w:color w:val="2E5A88"/>
          <w:sz w:val="30"/>
        </w:rPr>
        <w:t>Functional Logic Overview</w:t>
      </w:r>
    </w:p>
    <w:p>
      <w:pPr>
        <w:spacing w:after="200"/>
      </w:pPr>
      <w:r>
        <w:rPr>
          <w:i/>
          <w:color w:val="555555"/>
          <w:sz w:val="22"/>
        </w:rPr>
        <w:t>How the System Matches Bills of Materials to Warehouse Inventory, and the Function of Each Module</w:t>
      </w:r>
    </w:p>
    <w:p>
      <w:r>
        <w:rPr>
          <w:b/>
          <w:color w:val="1F3A5F"/>
          <w:sz w:val="20"/>
        </w:rPr>
        <w:t>Document type:</w:t>
      </w:r>
      <w:r>
        <w:rPr>
          <w:color w:val="555555"/>
          <w:sz w:val="20"/>
        </w:rPr>
        <w:t xml:space="preserve"> Functional / Logic Description</w:t>
        <w:br/>
      </w:r>
      <w:r>
        <w:rPr>
          <w:b/>
          <w:color w:val="1F3A5F"/>
          <w:sz w:val="20"/>
        </w:rPr>
        <w:t>Prepared for:</w:t>
      </w:r>
      <w:r>
        <w:rPr>
          <w:color w:val="555555"/>
          <w:sz w:val="20"/>
        </w:rPr>
        <w:t xml:space="preserve"> KOSH Stakeholders</w:t>
        <w:br/>
      </w:r>
      <w:r>
        <w:rPr>
          <w:b/>
          <w:color w:val="1F3A5F"/>
          <w:sz w:val="20"/>
        </w:rPr>
        <w:t>Date:</w:t>
      </w:r>
      <w:r>
        <w:rPr>
          <w:color w:val="555555"/>
          <w:sz w:val="20"/>
        </w:rPr>
        <w:t xml:space="preserve"> 13 July 2026</w:t>
        <w:br/>
      </w:r>
    </w:p>
    <w:p>
      <w:pPr>
        <w:spacing w:before="360" w:after="80"/>
        <w:pBdr>
          <w:bottom w:val="single" w:sz="6" w:space="4" w:color="1F3A5F"/>
        </w:pBdr>
      </w:pPr>
      <w:r>
        <w:rPr>
          <w:rFonts w:ascii="Calibri" w:hAnsi="Calibri"/>
          <w:b/>
          <w:color w:val="1F3A5F"/>
          <w:sz w:val="30"/>
        </w:rPr>
        <w:t>1.  Purpose and Scope</w:t>
      </w:r>
    </w:p>
    <w:p>
      <w:r>
        <w:t>This document describes, in plain functional terms, how the KOSH system operates. It is written as a logic overview rather than a technical reference: it explains what the system does, how a manufacturing Bill of Materials (BOM) is reconciled against warehouse inventory, the exact fields used to identify a match, and the role performed by each functional module. No source code or file references are included.</w:t>
      </w:r>
    </w:p>
    <w:p>
      <w:pPr>
        <w:spacing w:before="360" w:after="80"/>
        <w:pBdr>
          <w:bottom w:val="single" w:sz="6" w:space="4" w:color="1F3A5F"/>
        </w:pBdr>
      </w:pPr>
      <w:r>
        <w:rPr>
          <w:rFonts w:ascii="Calibri" w:hAnsi="Calibri"/>
          <w:b/>
          <w:color w:val="1F3A5F"/>
          <w:sz w:val="30"/>
        </w:rPr>
        <w:t>2.  Core Operating Concept</w:t>
      </w:r>
    </w:p>
    <w:p>
      <w:r>
        <w:t>KOSH tracks physical electronic components held in a warehouse, associates those components with manufacturing jobs, and determines whether sufficient stock is on hand to complete each job. Every part is identified by three key attributes:</w:t>
      </w:r>
    </w:p>
    <w:p>
      <w:pPr>
        <w:pStyle w:val="ListBullet"/>
      </w:pPr>
      <w:r/>
      <w:r>
        <w:rPr>
          <w:b/>
        </w:rPr>
        <w:t>Internal Part Number (ACI PN)</w:t>
      </w:r>
      <w:r>
        <w:t xml:space="preserve"> — the part number assigned internally by the organization.</w:t>
      </w:r>
    </w:p>
    <w:p>
      <w:pPr>
        <w:pStyle w:val="ListBullet"/>
      </w:pPr>
      <w:r/>
      <w:r>
        <w:rPr>
          <w:b/>
        </w:rPr>
        <w:t>Manufacturer Part Number (MPN)</w:t>
      </w:r>
      <w:r>
        <w:t xml:space="preserve"> — the part number assigned by the component manufacturer.</w:t>
      </w:r>
    </w:p>
    <w:p>
      <w:pPr>
        <w:pStyle w:val="ListBullet"/>
      </w:pPr>
      <w:r/>
      <w:r>
        <w:rPr>
          <w:b/>
        </w:rPr>
        <w:t>Part Control Number (PCN)</w:t>
      </w:r>
      <w:r>
        <w:t xml:space="preserve"> — a per-lot identifier that represents one specific physical unit of receipt (for example, a single reel, bag, or box).</w:t>
      </w:r>
    </w:p>
    <w:p>
      <w:r>
        <w:t>Quantity on hand and storage location (bin) are tracked against these identifiers.</w:t>
      </w:r>
    </w:p>
    <w:p>
      <w:pPr>
        <w:spacing w:before="360" w:after="80"/>
        <w:pBdr>
          <w:bottom w:val="single" w:sz="6" w:space="4" w:color="1F3A5F"/>
        </w:pBdr>
      </w:pPr>
      <w:r>
        <w:rPr>
          <w:rFonts w:ascii="Calibri" w:hAnsi="Calibri"/>
          <w:b/>
          <w:color w:val="1F3A5F"/>
          <w:sz w:val="30"/>
        </w:rPr>
        <w:t>3.  Importing a Manufacturing BOM</w:t>
      </w:r>
    </w:p>
    <w:p>
      <w:pPr>
        <w:spacing w:after="120"/>
      </w:pPr>
      <w:r>
        <w:t xml:space="preserve">The import of a BOM is a </w:t>
      </w:r>
      <w:r>
        <w:rPr>
          <w:b/>
        </w:rPr>
        <w:t>two-stage process</w:t>
      </w:r>
      <w:r>
        <w:t xml:space="preserve">. It is important to understand that importing a BOM does </w:t>
      </w:r>
      <w:r>
        <w:rPr>
          <w:b/>
        </w:rPr>
        <w:t>not</w:t>
      </w:r>
      <w:r>
        <w:t xml:space="preserve"> search inventory. Matching against inventory occurs later, when a shortage report is generated.</w:t>
      </w:r>
    </w:p>
    <w:p>
      <w:pPr>
        <w:spacing w:before="240" w:after="60"/>
      </w:pPr>
      <w:r>
        <w:rPr>
          <w:rFonts w:ascii="Calibri" w:hAnsi="Calibri"/>
          <w:b/>
          <w:color w:val="2E5A88"/>
          <w:sz w:val="25"/>
        </w:rPr>
        <w:t>Stage 1 — Upload and Load</w:t>
      </w:r>
    </w:p>
    <w:p>
      <w:pPr>
        <w:pStyle w:val="ListBullet"/>
      </w:pPr>
      <w:r>
        <w:t>An Excel workbook is uploaded, and the system reads the worksheet designated for loading.</w:t>
      </w:r>
    </w:p>
    <w:p>
      <w:pPr>
        <w:pStyle w:val="ListBullet"/>
      </w:pPr>
      <w:r>
        <w:t>Column headers are recognised flexibly, capturing for each line: line number, description, manufacturer, MPN, internal ACI part number, quantity per board, unit of use, location, and cost, together with job information such as job number, revision, and customer.</w:t>
      </w:r>
    </w:p>
    <w:p>
      <w:pPr>
        <w:pStyle w:val="ListBullet"/>
      </w:pPr>
      <w:r>
        <w:t>These BOM lines are simply stored against the job. No inventory lookup is performed at this stage, and lines with a blank MPN are still recorded.</w:t>
      </w:r>
    </w:p>
    <w:p>
      <w:pPr>
        <w:spacing w:before="240" w:after="60"/>
      </w:pPr>
      <w:r>
        <w:rPr>
          <w:rFonts w:ascii="Calibri" w:hAnsi="Calibri"/>
          <w:b/>
          <w:color w:val="2E5A88"/>
          <w:sz w:val="25"/>
        </w:rPr>
        <w:t>Stage 2 — Shortage Report Generation (where matching occurs)</w:t>
      </w:r>
    </w:p>
    <w:p>
      <w:r>
        <w:t>When a shortage report is generated for a job, each BOM line is compared against the warehouse inventory records.</w:t>
      </w:r>
    </w:p>
    <w:p>
      <w:pPr>
        <w:spacing w:before="360" w:after="80"/>
        <w:pBdr>
          <w:bottom w:val="single" w:sz="6" w:space="4" w:color="1F3A5F"/>
        </w:pBdr>
      </w:pPr>
      <w:r>
        <w:rPr>
          <w:rFonts w:ascii="Calibri" w:hAnsi="Calibri"/>
          <w:b/>
          <w:color w:val="1F3A5F"/>
          <w:sz w:val="30"/>
        </w:rPr>
        <w:t>4.  How Components Are Matched to Inventory</w:t>
      </w:r>
    </w:p>
    <w:p>
      <w:pPr>
        <w:spacing w:after="120"/>
      </w:pPr>
      <w:r>
        <w:t xml:space="preserve">This section answers the central question directly: </w:t>
      </w:r>
      <w:r>
        <w:rPr>
          <w:b/>
        </w:rPr>
        <w:t>which fields are used to find a component in inventory?</w:t>
      </w:r>
      <w:r/>
    </w:p>
    <w:tbl>
      <w:tblPr>
        <w:tblW w:type="auto" w:w="0"/>
        <w:jc w:val="center"/>
        <w:tblLook w:firstColumn="1" w:firstRow="1" w:lastColumn="0" w:lastRow="0" w:noHBand="0" w:noVBand="1" w:val="04A0"/>
      </w:tblPr>
      <w:tblGrid>
        <w:gridCol w:w="8640"/>
      </w:tblGrid>
      <w:tr>
        <w:tc>
          <w:tcPr>
            <w:tcW w:type="dxa" w:w="8640"/>
            <w:shd w:val="clear" w:color="auto" w:fill="FBEEE2"/>
            <w:tcBorders>
              <w:left w:val="single" w:sz="24" w:space="0" w:color="B45309"/>
            </w:tcBorders>
          </w:tcPr>
          <w:p>
            <w:r/>
            <w:r>
              <w:rPr>
                <w:b/>
                <w:color w:val="B45309"/>
                <w:sz w:val="22"/>
              </w:rPr>
              <w:t>Matching Rule</w:t>
            </w:r>
          </w:p>
          <w:p>
            <w:pPr>
              <w:spacing w:after="40"/>
            </w:pPr>
            <w:r>
              <w:t xml:space="preserve">A BOM line is considered a match to an inventory record when the </w:t>
            </w:r>
            <w:r>
              <w:rPr>
                <w:b/>
              </w:rPr>
              <w:t>Internal ACI Part Number</w:t>
            </w:r>
            <w:r>
              <w:t xml:space="preserve"> equals the inventory item’s internal part number, </w:t>
            </w:r>
            <w:r>
              <w:rPr>
                <w:b/>
              </w:rPr>
              <w:t>OR</w:t>
            </w:r>
            <w:r>
              <w:t xml:space="preserve"> the </w:t>
            </w:r>
            <w:r>
              <w:rPr>
                <w:b/>
              </w:rPr>
              <w:t>Manufacturer Part Number (MPN)</w:t>
            </w:r>
            <w:r>
              <w:t xml:space="preserve"> equals the inventory record’s MPN.</w:t>
            </w:r>
          </w:p>
        </w:tc>
      </w:tr>
    </w:tbl>
    <w:p>
      <w:pPr>
        <w:spacing w:after="80"/>
      </w:pPr>
    </w:p>
    <w:p>
      <w:pPr>
        <w:spacing w:after="120"/>
      </w:pPr>
      <w:r>
        <w:t xml:space="preserve">Matching is therefore performed on </w:t>
      </w:r>
      <w:r>
        <w:rPr>
          <w:b/>
        </w:rPr>
        <w:t>internal part number OR manufacturer part number</w:t>
      </w:r>
      <w:r>
        <w:t xml:space="preserve">. It is </w:t>
      </w:r>
      <w:r>
        <w:rPr>
          <w:b/>
        </w:rPr>
        <w:t>not</w:t>
      </w:r>
      <w:r>
        <w:t xml:space="preserve"> performed on part name, and </w:t>
      </w:r>
      <w:r>
        <w:rPr>
          <w:b/>
        </w:rPr>
        <w:t>not</w:t>
      </w:r>
      <w:r>
        <w:t xml:space="preserve"> on description. The description is carried through for display purposes only and is never used to establish a match.</w:t>
      </w:r>
    </w:p>
    <w:p>
      <w:pPr>
        <w:spacing w:before="240" w:after="60"/>
      </w:pPr>
      <w:r>
        <w:rPr>
          <w:rFonts w:ascii="Calibri" w:hAnsi="Calibri"/>
          <w:b/>
          <w:color w:val="2E5A88"/>
          <w:sz w:val="25"/>
        </w:rPr>
        <w:t>Strictness of the Match</w:t>
      </w:r>
    </w:p>
    <w:p>
      <w:pPr>
        <w:spacing w:after="120"/>
      </w:pPr>
      <w:r>
        <w:t xml:space="preserve">The comparison is an </w:t>
      </w:r>
      <w:r>
        <w:rPr>
          <w:b/>
        </w:rPr>
        <w:t>exact match</w:t>
      </w:r>
      <w:r>
        <w:t xml:space="preserve"> — it is case-sensitive and does not tolerate differences in spacing or hyphenation. The only normalisation applied is that leading and trailing spaces are removed from the MPN when the file is first read.</w:t>
      </w:r>
    </w:p>
    <w:p>
      <w:pPr>
        <w:spacing w:before="240" w:after="60"/>
      </w:pPr>
      <w:r>
        <w:rPr>
          <w:rFonts w:ascii="Calibri" w:hAnsi="Calibri"/>
          <w:b/>
          <w:color w:val="2E5A88"/>
          <w:sz w:val="25"/>
        </w:rPr>
        <w:t>Match Priority</w:t>
      </w:r>
    </w:p>
    <w:p>
      <w:pPr>
        <w:pStyle w:val="ListBullet"/>
      </w:pPr>
      <w:r>
        <w:t>A match on the internal part number takes precedence (highest priority).</w:t>
      </w:r>
    </w:p>
    <w:p>
      <w:pPr>
        <w:pStyle w:val="ListBullet"/>
      </w:pPr>
      <w:r>
        <w:t>A match on MPN alone is accepted at a lower priority.</w:t>
      </w:r>
    </w:p>
    <w:p>
      <w:pPr>
        <w:pStyle w:val="ListBullet"/>
      </w:pPr>
      <w:r>
        <w:t>Inventory held at the "MFG Floor" location is excluded from matching, as it is already staged for production rather than available as free warehouse stock.</w:t>
      </w:r>
    </w:p>
    <w:tbl>
      <w:tblPr>
        <w:tblW w:type="auto" w:w="0"/>
        <w:jc w:val="center"/>
        <w:tblLook w:firstColumn="1" w:firstRow="1" w:lastColumn="0" w:lastRow="0" w:noHBand="0" w:noVBand="1" w:val="04A0"/>
      </w:tblPr>
      <w:tblGrid>
        <w:gridCol w:w="8640"/>
      </w:tblGrid>
      <w:tr>
        <w:tc>
          <w:tcPr>
            <w:tcW w:type="dxa" w:w="8640"/>
            <w:shd w:val="clear" w:color="auto" w:fill="FBEEE2"/>
            <w:tcBorders>
              <w:left w:val="single" w:sz="24" w:space="0" w:color="B45309"/>
            </w:tcBorders>
          </w:tcPr>
          <w:p>
            <w:r/>
            <w:r>
              <w:rPr>
                <w:b/>
                <w:color w:val="B45309"/>
                <w:sz w:val="22"/>
              </w:rPr>
              <w:t>Important Caveat</w:t>
            </w:r>
          </w:p>
          <w:p>
            <w:pPr>
              <w:spacing w:after="40"/>
            </w:pPr>
            <w:r>
              <w:t xml:space="preserve">Because the match is exact, a part whose MPN or internal number differs only by </w:t>
            </w:r>
            <w:r>
              <w:rPr>
                <w:b/>
              </w:rPr>
              <w:t>letter case, a trailing space, or a hyphen</w:t>
            </w:r>
            <w:r>
              <w:t xml:space="preserve"> (for example, "CAP-1234" versus "CAP1234") will </w:t>
            </w:r>
            <w:r>
              <w:rPr>
                <w:b/>
              </w:rPr>
              <w:t>fail to match and be reported as a false shortage</w:t>
            </w:r>
            <w:r>
              <w:t>, even when the part is physically in stock. Notably, the manual search function elsewhere in the system is more tolerant (case-insensitive, partial, and hyphen-tolerant), but the BOM shortage match is not. This is the most significant limitation to be aware of in the matching logic.</w:t>
            </w:r>
          </w:p>
        </w:tc>
      </w:tr>
    </w:tbl>
    <w:p>
      <w:pPr>
        <w:spacing w:after="80"/>
      </w:pPr>
    </w:p>
    <w:p>
      <w:pPr>
        <w:spacing w:before="360" w:after="80"/>
        <w:pBdr>
          <w:bottom w:val="single" w:sz="6" w:space="4" w:color="1F3A5F"/>
        </w:pBdr>
      </w:pPr>
      <w:r>
        <w:rPr>
          <w:rFonts w:ascii="Calibri" w:hAnsi="Calibri"/>
          <w:b/>
          <w:color w:val="1F3A5F"/>
          <w:sz w:val="30"/>
        </w:rPr>
        <w:t>5.  Determining "In Stock" versus "Shortage"</w:t>
      </w:r>
    </w:p>
    <w:p>
      <w:r>
        <w:t>The system does not use a hard found / not-found flag. Every BOM line is retained; if no inventory record matches, the on-hand quantity for that line simply defaults to zero. The shortage decision is then calculated as follows:</w:t>
      </w:r>
    </w:p>
    <w:p>
      <w:pPr>
        <w:pStyle w:val="ListBullet"/>
      </w:pPr>
      <w:r/>
      <w:r>
        <w:rPr>
          <w:b/>
        </w:rPr>
        <w:t>Required quantity</w:t>
      </w:r>
      <w:r>
        <w:t xml:space="preserve"> = (quantity per board on the BOM line) × (number of boards ordered for the job).</w:t>
      </w:r>
    </w:p>
    <w:p>
      <w:pPr>
        <w:pStyle w:val="ListBullet"/>
      </w:pPr>
      <w:r/>
      <w:r>
        <w:rPr>
          <w:b/>
        </w:rPr>
        <w:t>On-hand quantity</w:t>
      </w:r>
      <w:r>
        <w:t xml:space="preserve"> = the sum of on-hand quantities across all inventory lots (PCNs) that matched the part.</w:t>
      </w:r>
    </w:p>
    <w:p>
      <w:pPr>
        <w:pStyle w:val="ListBullet"/>
      </w:pPr>
      <w:r/>
      <w:r>
        <w:rPr>
          <w:b/>
        </w:rPr>
        <w:t>Shortage</w:t>
      </w:r>
      <w:r>
        <w:t xml:space="preserve"> = declared whenever on-hand quantity is less than the required quantity.</w:t>
      </w:r>
    </w:p>
    <w:p>
      <w:r>
        <w:t>The practical consequences of this logic are:</w:t>
      </w:r>
    </w:p>
    <w:p>
      <w:pPr>
        <w:pStyle w:val="ListBullet"/>
      </w:pPr>
      <w:r>
        <w:t>A part that matched nothing has an on-hand quantity of zero and is therefore always reported as a shortage (provided it is required).</w:t>
      </w:r>
    </w:p>
    <w:p>
      <w:pPr>
        <w:pStyle w:val="ListBullet"/>
      </w:pPr>
      <w:r>
        <w:t>When several lots (PCNs) match a single part, their quantities are added together before comparison.</w:t>
      </w:r>
    </w:p>
    <w:p>
      <w:pPr>
        <w:pStyle w:val="ListBullet"/>
      </w:pPr>
      <w:r>
        <w:t>A partial match — where only one of the two identifiers matches — is still treated as found.</w:t>
      </w:r>
    </w:p>
    <w:p>
      <w:pPr>
        <w:spacing w:before="360" w:after="80"/>
        <w:pBdr>
          <w:bottom w:val="single" w:sz="6" w:space="4" w:color="1F3A5F"/>
        </w:pBdr>
      </w:pPr>
      <w:r>
        <w:rPr>
          <w:rFonts w:ascii="Calibri" w:hAnsi="Calibri"/>
          <w:b/>
          <w:color w:val="1F3A5F"/>
          <w:sz w:val="30"/>
        </w:rPr>
        <w:t>6.  Function of Each Module</w:t>
      </w:r>
    </w:p>
    <w:p>
      <w:pPr>
        <w:spacing w:before="240" w:after="60"/>
      </w:pPr>
      <w:r>
        <w:rPr>
          <w:rFonts w:ascii="Calibri" w:hAnsi="Calibri"/>
          <w:b/>
          <w:color w:val="2E5A88"/>
          <w:sz w:val="25"/>
        </w:rPr>
        <w:t>Receiving and Consumption</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3A5F"/>
          </w:tcPr>
          <w:p>
            <w:r>
              <w:rPr>
                <w:b/>
                <w:color w:val="FFFFFF"/>
                <w:sz w:val="21"/>
              </w:rPr>
              <w:t>Module</w:t>
            </w:r>
          </w:p>
        </w:tc>
        <w:tc>
          <w:tcPr>
            <w:tcW w:type="dxa" w:w="6624"/>
            <w:shd w:val="clear" w:color="auto" w:fill="1F3A5F"/>
          </w:tcPr>
          <w:p>
            <w:r>
              <w:rPr>
                <w:b/>
                <w:color w:val="FFFFFF"/>
                <w:sz w:val="21"/>
              </w:rPr>
              <w:t>Function</w:t>
            </w:r>
          </w:p>
        </w:tc>
      </w:tr>
      <w:tr>
        <w:tc>
          <w:tcPr>
            <w:tcW w:type="dxa" w:w="2736"/>
            <w:shd w:val="clear" w:color="auto" w:fill="EDF1F6"/>
          </w:tcPr>
          <w:p>
            <w:r>
              <w:rPr>
                <w:b/>
                <w:color w:val="1F3A5F"/>
                <w:sz w:val="20"/>
              </w:rPr>
              <w:t>Stock</w:t>
            </w:r>
          </w:p>
        </w:tc>
        <w:tc>
          <w:tcPr>
            <w:tcW w:type="dxa" w:w="6624"/>
          </w:tcPr>
          <w:p>
            <w:r>
              <w:rPr>
                <w:sz w:val="20"/>
              </w:rPr>
              <w:t>Receives parts into the warehouse. Records quantity, moves it between locations, and captures PCN, MPN, date code, moisture data, and purchase order.</w:t>
            </w:r>
          </w:p>
        </w:tc>
      </w:tr>
      <w:tr>
        <w:tc>
          <w:tcPr>
            <w:tcW w:type="dxa" w:w="2736"/>
            <w:shd w:val="clear" w:color="auto" w:fill="EDF1F6"/>
          </w:tcPr>
          <w:p>
            <w:r>
              <w:rPr>
                <w:b/>
                <w:color w:val="1F3A5F"/>
                <w:sz w:val="20"/>
              </w:rPr>
              <w:t>Pick</w:t>
            </w:r>
          </w:p>
        </w:tc>
        <w:tc>
          <w:tcPr>
            <w:tcW w:type="dxa" w:w="6624"/>
          </w:tcPr>
          <w:p>
            <w:r>
              <w:rPr>
                <w:sz w:val="20"/>
              </w:rPr>
              <w:t>Consumes parts for a job. Decreases the on-hand quantity for a part (optionally a specific lot) and prevents picking more than is available.</w:t>
            </w:r>
          </w:p>
        </w:tc>
      </w:tr>
      <w:tr>
        <w:tc>
          <w:tcPr>
            <w:tcW w:type="dxa" w:w="2736"/>
            <w:shd w:val="clear" w:color="auto" w:fill="EDF1F6"/>
          </w:tcPr>
          <w:p>
            <w:r>
              <w:rPr>
                <w:b/>
                <w:color w:val="1F3A5F"/>
                <w:sz w:val="20"/>
              </w:rPr>
              <w:t>Reverse Pick</w:t>
            </w:r>
          </w:p>
        </w:tc>
        <w:tc>
          <w:tcPr>
            <w:tcW w:type="dxa" w:w="6624"/>
          </w:tcPr>
          <w:p>
            <w:r>
              <w:rPr>
                <w:sz w:val="20"/>
              </w:rPr>
              <w:t>Reverses a specific pick transaction, restoring the quantity and location.</w:t>
            </w:r>
          </w:p>
        </w:tc>
      </w:tr>
      <w:tr>
        <w:tc>
          <w:tcPr>
            <w:tcW w:type="dxa" w:w="2736"/>
            <w:shd w:val="clear" w:color="auto" w:fill="EDF1F6"/>
          </w:tcPr>
          <w:p>
            <w:r>
              <w:rPr>
                <w:b/>
                <w:color w:val="1F3A5F"/>
                <w:sz w:val="20"/>
              </w:rPr>
              <w:t>Restock</w:t>
            </w:r>
          </w:p>
        </w:tc>
        <w:tc>
          <w:tcPr>
            <w:tcW w:type="dxa" w:w="6624"/>
          </w:tcPr>
          <w:p>
            <w:r>
              <w:rPr>
                <w:sz w:val="20"/>
              </w:rPr>
              <w:t>Moves parts from the Count Area into a designated storage location and updates on-hand and staged quantities.</w:t>
            </w:r>
          </w:p>
        </w:tc>
      </w:tr>
    </w:tbl>
    <w:p>
      <w:pPr>
        <w:spacing w:after="80"/>
      </w:pPr>
    </w:p>
    <w:p>
      <w:pPr>
        <w:spacing w:before="240" w:after="60"/>
      </w:pPr>
      <w:r>
        <w:rPr>
          <w:rFonts w:ascii="Calibri" w:hAnsi="Calibri"/>
          <w:b/>
          <w:color w:val="2E5A88"/>
          <w:sz w:val="25"/>
        </w:rPr>
        <w:t>Inventory Enquiry</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3A5F"/>
          </w:tcPr>
          <w:p>
            <w:r>
              <w:rPr>
                <w:b/>
                <w:color w:val="FFFFFF"/>
                <w:sz w:val="21"/>
              </w:rPr>
              <w:t>Module</w:t>
            </w:r>
          </w:p>
        </w:tc>
        <w:tc>
          <w:tcPr>
            <w:tcW w:type="dxa" w:w="6624"/>
            <w:shd w:val="clear" w:color="auto" w:fill="1F3A5F"/>
          </w:tcPr>
          <w:p>
            <w:r>
              <w:rPr>
                <w:b/>
                <w:color w:val="FFFFFF"/>
                <w:sz w:val="21"/>
              </w:rPr>
              <w:t>Function</w:t>
            </w:r>
          </w:p>
        </w:tc>
      </w:tr>
      <w:tr>
        <w:tc>
          <w:tcPr>
            <w:tcW w:type="dxa" w:w="2736"/>
            <w:shd w:val="clear" w:color="auto" w:fill="EDF1F6"/>
          </w:tcPr>
          <w:p>
            <w:r>
              <w:rPr>
                <w:b/>
                <w:color w:val="1F3A5F"/>
                <w:sz w:val="20"/>
              </w:rPr>
              <w:t>Warehouse Inventory</w:t>
            </w:r>
          </w:p>
        </w:tc>
        <w:tc>
          <w:tcPr>
            <w:tcW w:type="dxa" w:w="6624"/>
          </w:tcPr>
          <w:p>
            <w:r>
              <w:rPr>
                <w:sz w:val="20"/>
              </w:rPr>
              <w:t>The browsable, filterable master list of all stock on hand, searchable by item, PCN, MPN, location, or description, including the combined "Total On Hand" (bin plus MFG floor) view.</w:t>
            </w:r>
          </w:p>
        </w:tc>
      </w:tr>
      <w:tr>
        <w:tc>
          <w:tcPr>
            <w:tcW w:type="dxa" w:w="2736"/>
            <w:shd w:val="clear" w:color="auto" w:fill="EDF1F6"/>
          </w:tcPr>
          <w:p>
            <w:r>
              <w:rPr>
                <w:b/>
                <w:color w:val="1F3A5F"/>
                <w:sz w:val="20"/>
              </w:rPr>
              <w:t>PCB Inventory</w:t>
            </w:r>
          </w:p>
        </w:tc>
        <w:tc>
          <w:tcPr>
            <w:tcW w:type="dxa" w:w="6624"/>
          </w:tcPr>
          <w:p>
            <w:r>
              <w:rPr>
                <w:sz w:val="20"/>
              </w:rPr>
              <w:t>The board-level (assembled PCB) inventory view.</w:t>
            </w:r>
          </w:p>
        </w:tc>
      </w:tr>
      <w:tr>
        <w:tc>
          <w:tcPr>
            <w:tcW w:type="dxa" w:w="2736"/>
            <w:shd w:val="clear" w:color="auto" w:fill="EDF1F6"/>
          </w:tcPr>
          <w:p>
            <w:r>
              <w:rPr>
                <w:b/>
                <w:color w:val="1F3A5F"/>
                <w:sz w:val="20"/>
              </w:rPr>
              <w:t>Search / Part Details</w:t>
            </w:r>
          </w:p>
        </w:tc>
        <w:tc>
          <w:tcPr>
            <w:tcW w:type="dxa" w:w="6624"/>
          </w:tcPr>
          <w:p>
            <w:r>
              <w:rPr>
                <w:sz w:val="20"/>
              </w:rPr>
              <w:t>The tolerant search used to populate forms automatically.</w:t>
            </w:r>
          </w:p>
        </w:tc>
      </w:tr>
    </w:tbl>
    <w:p>
      <w:pPr>
        <w:spacing w:after="80"/>
      </w:pPr>
    </w:p>
    <w:p>
      <w:pPr>
        <w:spacing w:before="240" w:after="60"/>
      </w:pPr>
      <w:r>
        <w:rPr>
          <w:rFonts w:ascii="Calibri" w:hAnsi="Calibri"/>
          <w:b/>
          <w:color w:val="2E5A88"/>
          <w:sz w:val="25"/>
        </w:rPr>
        <w:t>BOM and Jobs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3A5F"/>
          </w:tcPr>
          <w:p>
            <w:r>
              <w:rPr>
                <w:b/>
                <w:color w:val="FFFFFF"/>
                <w:sz w:val="21"/>
              </w:rPr>
              <w:t>Module</w:t>
            </w:r>
          </w:p>
        </w:tc>
        <w:tc>
          <w:tcPr>
            <w:tcW w:type="dxa" w:w="6624"/>
            <w:shd w:val="clear" w:color="auto" w:fill="1F3A5F"/>
          </w:tcPr>
          <w:p>
            <w:r>
              <w:rPr>
                <w:b/>
                <w:color w:val="FFFFFF"/>
                <w:sz w:val="21"/>
              </w:rPr>
              <w:t>Function</w:t>
            </w:r>
          </w:p>
        </w:tc>
      </w:tr>
      <w:tr>
        <w:tc>
          <w:tcPr>
            <w:tcW w:type="dxa" w:w="2736"/>
            <w:shd w:val="clear" w:color="auto" w:fill="EDF1F6"/>
          </w:tcPr>
          <w:p>
            <w:r>
              <w:rPr>
                <w:b/>
                <w:color w:val="1F3A5F"/>
                <w:sz w:val="20"/>
              </w:rPr>
              <w:t>BOM Loader</w:t>
            </w:r>
          </w:p>
        </w:tc>
        <w:tc>
          <w:tcPr>
            <w:tcW w:type="dxa" w:w="6624"/>
          </w:tcPr>
          <w:p>
            <w:r>
              <w:rPr>
                <w:sz w:val="20"/>
              </w:rPr>
              <w:t>The upload interface for the two-stage BOM import described above.</w:t>
            </w:r>
          </w:p>
        </w:tc>
      </w:tr>
      <w:tr>
        <w:tc>
          <w:tcPr>
            <w:tcW w:type="dxa" w:w="2736"/>
            <w:shd w:val="clear" w:color="auto" w:fill="EDF1F6"/>
          </w:tcPr>
          <w:p>
            <w:r>
              <w:rPr>
                <w:b/>
                <w:color w:val="1F3A5F"/>
                <w:sz w:val="20"/>
              </w:rPr>
              <w:t>Jobs</w:t>
            </w:r>
          </w:p>
        </w:tc>
        <w:tc>
          <w:tcPr>
            <w:tcW w:type="dxa" w:w="6624"/>
          </w:tcPr>
          <w:p>
            <w:r>
              <w:rPr>
                <w:sz w:val="20"/>
              </w:rPr>
              <w:t>Lists jobs and shows per-job detail: BOM lines, build quantity, order quantity, and revisions. Build and order quantities can be set, shortage reports generated, data exported, and new revisions created.</w:t>
            </w:r>
          </w:p>
        </w:tc>
      </w:tr>
      <w:tr>
        <w:tc>
          <w:tcPr>
            <w:tcW w:type="dxa" w:w="2736"/>
            <w:shd w:val="clear" w:color="auto" w:fill="EDF1F6"/>
          </w:tcPr>
          <w:p>
            <w:r>
              <w:rPr>
                <w:b/>
                <w:color w:val="1F3A5F"/>
                <w:sz w:val="20"/>
              </w:rPr>
              <w:t>Shortage Report</w:t>
            </w:r>
          </w:p>
        </w:tc>
        <w:tc>
          <w:tcPr>
            <w:tcW w:type="dxa" w:w="6624"/>
          </w:tcPr>
          <w:p>
            <w:r>
              <w:rPr>
                <w:sz w:val="20"/>
              </w:rPr>
              <w:t>Generates and stores the BOM-versus-inventory comparison that identifies shortages.</w:t>
            </w:r>
          </w:p>
        </w:tc>
      </w:tr>
    </w:tbl>
    <w:p>
      <w:pPr>
        <w:spacing w:after="80"/>
      </w:pPr>
    </w:p>
    <w:p>
      <w:pPr>
        <w:spacing w:before="240" w:after="60"/>
      </w:pPr>
      <w:r>
        <w:rPr>
          <w:rFonts w:ascii="Calibri" w:hAnsi="Calibri"/>
          <w:b/>
          <w:color w:val="2E5A88"/>
          <w:sz w:val="25"/>
        </w:rPr>
        <w:t>Part Numbers, Labels and Control Numbers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3A5F"/>
          </w:tcPr>
          <w:p>
            <w:r>
              <w:rPr>
                <w:b/>
                <w:color w:val="FFFFFF"/>
                <w:sz w:val="21"/>
              </w:rPr>
              <w:t>Module</w:t>
            </w:r>
          </w:p>
        </w:tc>
        <w:tc>
          <w:tcPr>
            <w:tcW w:type="dxa" w:w="6624"/>
            <w:shd w:val="clear" w:color="auto" w:fill="1F3A5F"/>
          </w:tcPr>
          <w:p>
            <w:r>
              <w:rPr>
                <w:b/>
                <w:color w:val="FFFFFF"/>
                <w:sz w:val="21"/>
              </w:rPr>
              <w:t>Function</w:t>
            </w:r>
          </w:p>
        </w:tc>
      </w:tr>
      <w:tr>
        <w:tc>
          <w:tcPr>
            <w:tcW w:type="dxa" w:w="2736"/>
            <w:shd w:val="clear" w:color="auto" w:fill="EDF1F6"/>
          </w:tcPr>
          <w:p>
            <w:r>
              <w:rPr>
                <w:b/>
                <w:color w:val="1F3A5F"/>
                <w:sz w:val="20"/>
              </w:rPr>
              <w:t>Generate PCN / PCN History</w:t>
            </w:r>
          </w:p>
        </w:tc>
        <w:tc>
          <w:tcPr>
            <w:tcW w:type="dxa" w:w="6624"/>
          </w:tcPr>
          <w:p>
            <w:r>
              <w:rPr>
                <w:sz w:val="20"/>
              </w:rPr>
              <w:t>Creates and tracks per-lot control numbers and their history.</w:t>
            </w:r>
          </w:p>
        </w:tc>
      </w:tr>
      <w:tr>
        <w:tc>
          <w:tcPr>
            <w:tcW w:type="dxa" w:w="2736"/>
            <w:shd w:val="clear" w:color="auto" w:fill="EDF1F6"/>
          </w:tcPr>
          <w:p>
            <w:r>
              <w:rPr>
                <w:b/>
                <w:color w:val="1F3A5F"/>
                <w:sz w:val="20"/>
              </w:rPr>
              <w:t>Print Label</w:t>
            </w:r>
          </w:p>
        </w:tc>
        <w:tc>
          <w:tcPr>
            <w:tcW w:type="dxa" w:w="6624"/>
          </w:tcPr>
          <w:p>
            <w:r>
              <w:rPr>
                <w:sz w:val="20"/>
              </w:rPr>
              <w:t>Prints part labels to a label printer.</w:t>
            </w:r>
          </w:p>
        </w:tc>
      </w:tr>
      <w:tr>
        <w:tc>
          <w:tcPr>
            <w:tcW w:type="dxa" w:w="2736"/>
            <w:shd w:val="clear" w:color="auto" w:fill="EDF1F6"/>
          </w:tcPr>
          <w:p>
            <w:r>
              <w:rPr>
                <w:b/>
                <w:color w:val="1F3A5F"/>
                <w:sz w:val="20"/>
              </w:rPr>
              <w:t>ACI Numbers</w:t>
            </w:r>
          </w:p>
        </w:tc>
        <w:tc>
          <w:tcPr>
            <w:tcW w:type="dxa" w:w="6624"/>
          </w:tcPr>
          <w:p>
            <w:r>
              <w:rPr>
                <w:sz w:val="20"/>
              </w:rPr>
              <w:t>Assigns internal part numbers.</w:t>
            </w:r>
          </w:p>
        </w:tc>
      </w:tr>
      <w:tr>
        <w:tc>
          <w:tcPr>
            <w:tcW w:type="dxa" w:w="2736"/>
            <w:shd w:val="clear" w:color="auto" w:fill="EDF1F6"/>
          </w:tcPr>
          <w:p>
            <w:r>
              <w:rPr>
                <w:b/>
                <w:color w:val="1F3A5F"/>
                <w:sz w:val="20"/>
              </w:rPr>
              <w:t>PO / PCN History, Stock Alerts</w:t>
            </w:r>
          </w:p>
        </w:tc>
        <w:tc>
          <w:tcPr>
            <w:tcW w:type="dxa" w:w="6624"/>
          </w:tcPr>
          <w:p>
            <w:r>
              <w:rPr>
                <w:sz w:val="20"/>
              </w:rPr>
              <w:t>Purchase-order history, label history, and low-stock alerting.</w:t>
            </w:r>
          </w:p>
        </w:tc>
      </w:tr>
    </w:tbl>
    <w:p>
      <w:pPr>
        <w:spacing w:after="80"/>
      </w:pPr>
    </w:p>
    <w:p>
      <w:pPr>
        <w:spacing w:before="240" w:after="60"/>
      </w:pPr>
      <w:r>
        <w:rPr>
          <w:rFonts w:ascii="Calibri" w:hAnsi="Calibri"/>
          <w:b/>
          <w:color w:val="2E5A88"/>
          <w:sz w:val="25"/>
        </w:rPr>
        <w:t>Data, Reporting and Administration</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3A5F"/>
          </w:tcPr>
          <w:p>
            <w:r>
              <w:rPr>
                <w:b/>
                <w:color w:val="FFFFFF"/>
                <w:sz w:val="21"/>
              </w:rPr>
              <w:t>Module</w:t>
            </w:r>
          </w:p>
        </w:tc>
        <w:tc>
          <w:tcPr>
            <w:tcW w:type="dxa" w:w="6624"/>
            <w:shd w:val="clear" w:color="auto" w:fill="1F3A5F"/>
          </w:tcPr>
          <w:p>
            <w:r>
              <w:rPr>
                <w:b/>
                <w:color w:val="FFFFFF"/>
                <w:sz w:val="21"/>
              </w:rPr>
              <w:t>Function</w:t>
            </w:r>
          </w:p>
        </w:tc>
      </w:tr>
      <w:tr>
        <w:tc>
          <w:tcPr>
            <w:tcW w:type="dxa" w:w="2736"/>
            <w:shd w:val="clear" w:color="auto" w:fill="EDF1F6"/>
          </w:tcPr>
          <w:p>
            <w:r>
              <w:rPr>
                <w:b/>
                <w:color w:val="1F3A5F"/>
                <w:sz w:val="20"/>
              </w:rPr>
              <w:t>Sources</w:t>
            </w:r>
          </w:p>
        </w:tc>
        <w:tc>
          <w:tcPr>
            <w:tcW w:type="dxa" w:w="6624"/>
          </w:tcPr>
          <w:p>
            <w:r>
              <w:rPr>
                <w:sz w:val="20"/>
              </w:rPr>
              <w:t>A browser and query tool over the underlying source data tables.</w:t>
            </w:r>
          </w:p>
        </w:tc>
      </w:tr>
      <w:tr>
        <w:tc>
          <w:tcPr>
            <w:tcW w:type="dxa" w:w="2736"/>
            <w:shd w:val="clear" w:color="auto" w:fill="EDF1F6"/>
          </w:tcPr>
          <w:p>
            <w:r>
              <w:rPr>
                <w:b/>
                <w:color w:val="1F3A5F"/>
                <w:sz w:val="20"/>
              </w:rPr>
              <w:t>Statistics / Valuation / History</w:t>
            </w:r>
          </w:p>
        </w:tc>
        <w:tc>
          <w:tcPr>
            <w:tcW w:type="dxa" w:w="6624"/>
          </w:tcPr>
          <w:p>
            <w:r>
              <w:rPr>
                <w:sz w:val="20"/>
              </w:rPr>
              <w:t>Inventory statistics, monetary valuation, and change history.</w:t>
            </w:r>
          </w:p>
        </w:tc>
      </w:tr>
      <w:tr>
        <w:tc>
          <w:tcPr>
            <w:tcW w:type="dxa" w:w="2736"/>
            <w:shd w:val="clear" w:color="auto" w:fill="EDF1F6"/>
          </w:tcPr>
          <w:p>
            <w:r>
              <w:rPr>
                <w:b/>
                <w:color w:val="1F3A5F"/>
                <w:sz w:val="20"/>
              </w:rPr>
              <w:t>Reports</w:t>
            </w:r>
          </w:p>
        </w:tc>
        <w:tc>
          <w:tcPr>
            <w:tcW w:type="dxa" w:w="6624"/>
          </w:tcPr>
          <w:p>
            <w:r>
              <w:rPr>
                <w:sz w:val="20"/>
              </w:rPr>
              <w:t>The central reporting hub.</w:t>
            </w:r>
          </w:p>
        </w:tc>
      </w:tr>
      <w:tr>
        <w:tc>
          <w:tcPr>
            <w:tcW w:type="dxa" w:w="2736"/>
            <w:shd w:val="clear" w:color="auto" w:fill="EDF1F6"/>
          </w:tcPr>
          <w:p>
            <w:r>
              <w:rPr>
                <w:b/>
                <w:color w:val="1F3A5F"/>
                <w:sz w:val="20"/>
              </w:rPr>
              <w:t>Administration</w:t>
            </w:r>
          </w:p>
        </w:tc>
        <w:tc>
          <w:tcPr>
            <w:tcW w:type="dxa" w:w="6624"/>
          </w:tcPr>
          <w:p>
            <w:r>
              <w:rPr>
                <w:sz w:val="20"/>
              </w:rPr>
              <w:t>Management of notifications, users, and locations.</w:t>
            </w:r>
          </w:p>
        </w:tc>
      </w:tr>
      <w:tr>
        <w:tc>
          <w:tcPr>
            <w:tcW w:type="dxa" w:w="2736"/>
            <w:shd w:val="clear" w:color="auto" w:fill="EDF1F6"/>
          </w:tcPr>
          <w:p>
            <w:r>
              <w:rPr>
                <w:b/>
                <w:color w:val="1F3A5F"/>
                <w:sz w:val="20"/>
              </w:rPr>
              <w:t>Login / SSO</w:t>
            </w:r>
          </w:p>
        </w:tc>
        <w:tc>
          <w:tcPr>
            <w:tcW w:type="dxa" w:w="6624"/>
          </w:tcPr>
          <w:p>
            <w:r>
              <w:rPr>
                <w:sz w:val="20"/>
              </w:rPr>
              <w:t>Authentication and access control.</w:t>
            </w:r>
          </w:p>
        </w:tc>
      </w:tr>
    </w:tbl>
    <w:p>
      <w:pPr>
        <w:spacing w:after="80"/>
      </w:pPr>
    </w:p>
    <w:p>
      <w:pPr>
        <w:spacing w:before="360" w:after="80"/>
        <w:pBdr>
          <w:bottom w:val="single" w:sz="6" w:space="4" w:color="1F3A5F"/>
        </w:pBdr>
      </w:pPr>
      <w:r>
        <w:rPr>
          <w:rFonts w:ascii="Calibri" w:hAnsi="Calibri"/>
          <w:b/>
          <w:color w:val="1F3A5F"/>
          <w:sz w:val="30"/>
        </w:rPr>
        <w:t>7.  Summary</w:t>
      </w:r>
    </w:p>
    <w:tbl>
      <w:tblPr>
        <w:tblW w:type="auto" w:w="0"/>
        <w:jc w:val="center"/>
        <w:tblLook w:firstColumn="1" w:firstRow="1" w:lastColumn="0" w:lastRow="0" w:noHBand="0" w:noVBand="1" w:val="04A0"/>
      </w:tblPr>
      <w:tblGrid>
        <w:gridCol w:w="8640"/>
      </w:tblGrid>
      <w:tr>
        <w:tc>
          <w:tcPr>
            <w:tcW w:type="dxa" w:w="8640"/>
            <w:shd w:val="clear" w:color="auto" w:fill="FBEEE2"/>
            <w:tcBorders>
              <w:left w:val="single" w:sz="24" w:space="0" w:color="B45309"/>
            </w:tcBorders>
          </w:tcPr>
          <w:p>
            <w:r/>
            <w:r>
              <w:rPr>
                <w:b/>
                <w:color w:val="B45309"/>
                <w:sz w:val="22"/>
              </w:rPr>
              <w:t>Answer in One Sentence</w:t>
            </w:r>
          </w:p>
          <w:p>
            <w:pPr>
              <w:spacing w:after="40"/>
            </w:pPr>
            <w:r>
              <w:t xml:space="preserve">BOM components are matched to inventory by </w:t>
            </w:r>
            <w:r>
              <w:rPr>
                <w:b/>
              </w:rPr>
              <w:t>Internal ACI Part Number OR Manufacturer Part Number</w:t>
            </w:r>
            <w:r>
              <w:t xml:space="preserve">, using an </w:t>
            </w:r>
            <w:r>
              <w:rPr>
                <w:b/>
              </w:rPr>
              <w:t>exact, case- and whitespace-sensitive comparison</w:t>
            </w:r>
            <w:r>
              <w:t xml:space="preserve"> — not by name and not by description. Any line that does not match exactly is treated as zero on hand and reported as a shortage.</w:t>
            </w:r>
          </w:p>
        </w:tc>
      </w:tr>
    </w:tbl>
    <w:p>
      <w:pPr>
        <w:spacing w:after="8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KOSH Inventory &amp; Manufacturing System — Functional Logic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