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72"/>
          <w:szCs w:val="72"/>
        </w:rPr>
        <w:t xml:space="preserve">NEXUSHR VX</w:t>
      </w:r>
    </w:p>
    <w:p>
      <w:pPr>
        <w:spacing w:after="120"/>
        <w:jc w:val="center"/>
      </w:pPr>
      <w:r>
        <w:rPr>
          <w:rFonts w:ascii="Arial" w:cs="Arial" w:eastAsia="Arial" w:hAnsi="Arial"/>
          <w:color w:val="2E86C1"/>
          <w:sz w:val="36"/>
          <w:szCs w:val="36"/>
        </w:rPr>
        <w:t xml:space="preserve">Expanded Real-Time Avatar Capabilities</w:t>
      </w:r>
    </w:p>
    <w:p>
      <w:pPr>
        <w:spacing w:after="400"/>
        <w:jc w:val="center"/>
      </w:pPr>
      <w:r>
        <w:rPr>
          <w:rFonts w:ascii="Arial" w:cs="Arial" w:eastAsia="Arial" w:hAnsi="Arial"/>
          <w:color w:val="333333"/>
          <w:sz w:val="24"/>
          <w:szCs w:val="24"/>
        </w:rPr>
        <w:t xml:space="preserve">Phase 3 — Deep-Dive Architecture for Large-Scale Deployment</w:t>
      </w:r>
    </w:p>
    <w:p>
      <w:pPr>
        <w:pBdr>
          <w:top w:val="single" w:color="1B4F72" w:sz="2" w:space="8"/>
        </w:pBdr>
        <w:spacing w:after="100" w:before="200"/>
        <w:jc w:val="center"/>
      </w:pPr>
      <w:r>
        <w:rPr>
          <w:rFonts w:ascii="Arial" w:cs="Arial" w:eastAsia="Arial" w:hAnsi="Arial"/>
          <w:color w:val="2E86C1"/>
          <w:sz w:val="18"/>
          <w:szCs w:val="18"/>
        </w:rPr>
        <w:t xml:space="preserve">CONFIDENTIAL — FOR INTERNAL USE ONLY</w:t>
      </w:r>
    </w:p>
    <w:p>
      <w:pPr>
        <w:jc w:val="center"/>
      </w:pPr>
      <w:r>
        <w:rPr>
          <w:rFonts w:ascii="Arial" w:cs="Arial" w:eastAsia="Arial" w:hAnsi="Arial"/>
          <w:color w:val="333333"/>
          <w:sz w:val="20"/>
          <w:szCs w:val="20"/>
        </w:rPr>
        <w:t xml:space="preserve">Version 3.0 — March 2026</w:t>
      </w:r>
    </w:p>
    <w:p>
      <w:r>
        <w:br w:type="page"/>
      </w:r>
    </w:p>
    <w:p>
      <w:pPr>
        <w:pStyle w:val="Heading1"/>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sz w:val="32"/>
          <w:szCs w:val="32"/>
        </w:rPr>
        <w:t xml:space="preserve">1. Expanded Avatar Rendering Engine — Deep Architecture</w:t>
      </w:r>
    </w:p>
    <w:p>
      <w:pPr>
        <w:pStyle w:val="Heading2"/>
      </w:pPr>
      <w:r>
        <w:rPr>
          <w:rFonts w:ascii="Arial" w:cs="Arial" w:eastAsia="Arial" w:hAnsi="Arial"/>
          <w:b/>
          <w:bCs/>
          <w:color w:val="1B4F72"/>
          <w:sz w:val="26"/>
          <w:szCs w:val="26"/>
        </w:rPr>
        <w:t xml:space="preserve">1.1 Rendering Engine Core Architecture</w:t>
      </w:r>
    </w:p>
    <w:p>
      <w:pPr>
        <w:spacing w:after="120"/>
      </w:pPr>
      <w:r>
        <w:rPr>
          <w:rFonts w:ascii="Arial" w:cs="Arial" w:eastAsia="Arial" w:hAnsi="Arial"/>
          <w:color w:val="1A1A1A"/>
          <w:sz w:val="22"/>
          <w:szCs w:val="22"/>
        </w:rPr>
        <w:t xml:space="preserve">Phase 2 introduced the Neural Rendering Pipeline at a system-design level. This section expands every component to production-specification depth, detailing the exact data flows, shader programs, memory management, and frame scheduling that produce photorealistic avatar video in real time. The rendering engine operates as a dedicated GPU-resident application per active avatar session, structured as a multi-pass deferred rendering pipeline optimized for human face and upper-body rendering.</w:t>
      </w:r>
    </w:p>
    <w:p>
      <w:pPr>
        <w:spacing w:after="120"/>
      </w:pPr>
      <w:r>
        <w:rPr>
          <w:rFonts w:ascii="Arial" w:cs="Arial" w:eastAsia="Arial" w:hAnsi="Arial"/>
          <w:color w:val="1A1A1A"/>
          <w:sz w:val="22"/>
          <w:szCs w:val="22"/>
        </w:rPr>
        <w:t xml:space="preserve">The rendering engine is composed of five major subsystems that execute in a strict pipeline order within each frame’s 33.3ms budget: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GPU Resources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Frame Budget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Geometry Subsystem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Evaluates blendshape deformations on the facial mesh (52 FACS blendshapes + 15 viseme blendshapes = 67 total channels), applies skeletal animation to the upper body (24 joints: spine x3, neck, head, clavicle L/R, shoulder L/R, upper arm L/R, forearm L/R, hand L/R, thumb L/R, index finger L/R, middle finger L/R), computes vertex positions, normals, and tangents for all meshes (face: 12,000 vertices, body: 8,000 vertices, hair: variable strand count).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Compute shader dispatches on GPU, 128MB vertex buffer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Physics Subsystem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Runs hair strand simulation (200–1,500 guide strands with interpolation to 15,000–50,000 render strands), cloth simulation for clothing (2,000–4,000 cloth vertices with collision against body mesh), and secondary motion on accessories (glasses, earrings, lanyards). Uses position-based dynamics (PBD) with 4 solver iterations per frame for stability.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Compute shader, 64MB simulation buffers, collision acceleration structures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Material Subsystem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Evaluates physically-based materials for all surfaces: skin (specialized subsurface scattering BRDF with three-layer diffusion profile for epidermis, dermis, and subcutaneous tissue), eyes (multi-layer refractive model: cornea, aqueous humor, iris, lens), hair (Marschner fiber scattering model with R, TT, TRT light paths), teeth (translucent enamel model), clothing (fabric BRDF with anisotropic scattering).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Fragment shader, 512MB texture memory for PBR maps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Lighting Subsystem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Computes direct and indirect illumination. Uses image-based lighting (IBL) from the selected background environment’s HDR probe, plus two configurable key/fill lights positioned to simulate professional video call lighting. Computes screen-space ambient occlusion (SSAO) for contact shadows in facial creases, under chin, and clothing folds. Rim lighting is applied to separate the avatar from the 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Fragment shader, 128MB IBL cubemaps, SSAO compute pass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Compositing Subsystem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Alpha-composites the rendered avatar onto the background (pre-rendered environment or depth-blurred custom image). Applies color grading to match avatar color temperature with background. Applies film grain (very subtle, 0.5% amplitude) to add organic texture and reduce the “too-clean” quality of pure CG renders. Encodes the final frame to H.264/VP9 via hardware encoder.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Render-to-texture, post-processing passes, NVENC encoder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2.5ms</w:t>
            </w:r>
          </w:p>
        </w:tc>
      </w:tr>
    </w:tbl>
    <w:p>
      <w:pPr>
        <w:spacing w:after="80"/>
      </w:pPr>
    </w:p>
    <w:p>
      <w:pPr>
        <w:spacing w:after="120"/>
      </w:pPr>
      <w:r>
        <w:rPr>
          <w:rFonts w:ascii="Arial" w:cs="Arial" w:eastAsia="Arial" w:hAnsi="Arial"/>
          <w:color w:val="1A1A1A"/>
          <w:sz w:val="22"/>
          <w:szCs w:val="22"/>
        </w:rPr>
        <w:t xml:space="preserve">Total subsystem budget: 16.5ms, leaving 16.8ms of headroom within the 33.3ms frame period. This generous margin accommodates GPU scheduling variability, memory bus contention during multi-tenant GPU sharing, and occasional computation spikes during complex animation transitions. Under normal conditions, the pipeline completes in 18–22ms, providing 34–45% headroom.</w:t>
      </w:r>
    </w:p>
    <w:p>
      <w:pPr>
        <w:pStyle w:val="Heading2"/>
      </w:pPr>
      <w:r>
        <w:rPr>
          <w:rFonts w:ascii="Arial" w:cs="Arial" w:eastAsia="Arial" w:hAnsi="Arial"/>
          <w:b/>
          <w:bCs/>
          <w:color w:val="1B4F72"/>
          <w:sz w:val="26"/>
          <w:szCs w:val="26"/>
        </w:rPr>
        <w:t xml:space="preserve">1.2 Skin Rendering — Subsurface Scattering Model</w:t>
      </w:r>
    </w:p>
    <w:p>
      <w:pPr>
        <w:spacing w:after="120"/>
      </w:pPr>
      <w:r>
        <w:rPr>
          <w:rFonts w:ascii="Arial" w:cs="Arial" w:eastAsia="Arial" w:hAnsi="Arial"/>
          <w:color w:val="1A1A1A"/>
          <w:sz w:val="22"/>
          <w:szCs w:val="22"/>
        </w:rPr>
        <w:t xml:space="preserve">Realistic skin rendering is the single most critical visual element for avatar believability. The NexusHR VX rendering engine uses a separable subsurface scattering (SSS) model based on the Burley normalized diffusion profile, which accurately simulates how light penetrates skin, scatters through subsurface tissue layers, and re-emerges at nearby surface points. This produces the characteristic soft, warm translucency of real human skin.</w:t>
      </w:r>
    </w:p>
    <w:p>
      <w:pPr>
        <w:spacing w:after="120"/>
      </w:pPr>
      <w:r>
        <w:rPr>
          <w:rFonts w:ascii="Arial" w:cs="Arial" w:eastAsia="Arial" w:hAnsi="Arial"/>
          <w:color w:val="1A1A1A"/>
          <w:sz w:val="22"/>
          <w:szCs w:val="22"/>
        </w:rPr>
        <w:t xml:space="preserve">The SSS implementation operates in three passes:</w:t>
      </w:r>
    </w:p>
    <w:p>
      <w:pPr>
        <w:spacing w:after="80"/>
      </w:pPr>
    </w:p>
    <w:p>
      <w:pPr>
        <w:spacing w:after="120"/>
      </w:pPr>
      <w:r>
        <w:rPr>
          <w:rFonts w:ascii="Arial" w:cs="Arial" w:eastAsia="Arial" w:hAnsi="Arial"/>
          <w:b/>
          <w:bCs/>
          <w:color w:val="1A1A1A"/>
          <w:sz w:val="22"/>
          <w:szCs w:val="22"/>
        </w:rPr>
        <w:t xml:space="preserve">Pass 1 — Irradiance Computation: </w:t>
      </w:r>
      <w:r>
        <w:rPr>
          <w:rFonts w:ascii="Arial" w:cs="Arial" w:eastAsia="Arial" w:hAnsi="Arial"/>
          <w:color w:val="1A1A1A"/>
          <w:sz w:val="22"/>
          <w:szCs w:val="22"/>
        </w:rPr>
        <w:t xml:space="preserve">Direct light hitting the skin surface is computed using a standard Lambertian diffuse model modulated by the skin’s albedo texture. This irradiance is written to a dedicated irradiance buffer at full resolution.</w:t>
      </w:r>
    </w:p>
    <w:p>
      <w:pPr>
        <w:spacing w:after="120"/>
      </w:pPr>
      <w:r>
        <w:rPr>
          <w:rFonts w:ascii="Arial" w:cs="Arial" w:eastAsia="Arial" w:hAnsi="Arial"/>
          <w:b/>
          <w:bCs/>
          <w:color w:val="1A1A1A"/>
          <w:sz w:val="22"/>
          <w:szCs w:val="22"/>
        </w:rPr>
        <w:t xml:space="preserve">Pass 2 — Separable Blur: </w:t>
      </w:r>
      <w:r>
        <w:rPr>
          <w:rFonts w:ascii="Arial" w:cs="Arial" w:eastAsia="Arial" w:hAnsi="Arial"/>
          <w:color w:val="1A1A1A"/>
          <w:sz w:val="22"/>
          <w:szCs w:val="22"/>
        </w:rPr>
        <w:t xml:space="preserve">The irradiance buffer is blurred using a 25-tap Gaussian kernel applied in two passes (horizontal then vertical), with the blur radius modulated by the SSS profile. Different skin regions have different scattering radii: the forehead and cheeks scatter light over a larger area (3–5mm), while the nose, lips, and ears scatter over smaller distances (1–3mm) but with higher red-channel intensity (producing the visible pink-red translucency in thin skin areas like ears and nostrils). The scattering radii are stored in a per-vertex SSS radius map baked into the Avatar Identity Package.</w:t>
      </w:r>
    </w:p>
    <w:p>
      <w:pPr>
        <w:spacing w:after="120"/>
      </w:pPr>
      <w:r>
        <w:rPr>
          <w:rFonts w:ascii="Arial" w:cs="Arial" w:eastAsia="Arial" w:hAnsi="Arial"/>
          <w:b/>
          <w:bCs/>
          <w:color w:val="1A1A1A"/>
          <w:sz w:val="22"/>
          <w:szCs w:val="22"/>
        </w:rPr>
        <w:t xml:space="preserve">Pass 3 — Recombination: </w:t>
      </w:r>
      <w:r>
        <w:rPr>
          <w:rFonts w:ascii="Arial" w:cs="Arial" w:eastAsia="Arial" w:hAnsi="Arial"/>
          <w:color w:val="1A1A1A"/>
          <w:sz w:val="22"/>
          <w:szCs w:val="22"/>
        </w:rPr>
        <w:t xml:space="preserve">The blurred subsurface diffusion is combined with the specular component (computed using the GGX microfacet BRDF for skin’s micro-roughness) and the ambient occlusion term. The result is the final skin appearance that seamlessly blends diffuse translucency with sharp specular highlights on the forehead, nose bridge, and cheekbones.</w:t>
      </w:r>
    </w:p>
    <w:p>
      <w:pPr>
        <w:spacing w:after="80"/>
      </w:pPr>
    </w:p>
    <w:p>
      <w:pPr>
        <w:spacing w:after="120"/>
      </w:pPr>
      <w:r>
        <w:rPr>
          <w:rFonts w:ascii="Arial" w:cs="Arial" w:eastAsia="Arial" w:hAnsi="Arial"/>
          <w:color w:val="1A1A1A"/>
          <w:sz w:val="22"/>
          <w:szCs w:val="22"/>
        </w:rPr>
        <w:t xml:space="preserve">The SSS model is parameterized per-avatar using the Fitzpatrick skin type selected during avatar creation. Lighter skin types (I–II) have higher scattering radii and stronger red-channel diffusion, producing more visible translucency. Darker skin types (V–VI) have lower scattering radii and broader spectral scattering, producing the rich, even tone characteristic of melanin-dense skin. This parameterization ensures that all skin tones are rendered with equal visual quality and physical accuracy, avoiding the common CG pitfall of optimizing rendering for a single skin type.</w:t>
      </w:r>
    </w:p>
    <w:p>
      <w:pPr>
        <w:pStyle w:val="Heading2"/>
      </w:pPr>
      <w:r>
        <w:rPr>
          <w:rFonts w:ascii="Arial" w:cs="Arial" w:eastAsia="Arial" w:hAnsi="Arial"/>
          <w:b/>
          <w:bCs/>
          <w:color w:val="1B4F72"/>
          <w:sz w:val="26"/>
          <w:szCs w:val="26"/>
        </w:rPr>
        <w:t xml:space="preserve">1.3 Eye Rendering — Multi-Layer Refractive Model</w:t>
      </w:r>
    </w:p>
    <w:p>
      <w:pPr>
        <w:spacing w:after="120"/>
      </w:pPr>
      <w:r>
        <w:rPr>
          <w:rFonts w:ascii="Arial" w:cs="Arial" w:eastAsia="Arial" w:hAnsi="Arial"/>
          <w:color w:val="1A1A1A"/>
          <w:sz w:val="22"/>
          <w:szCs w:val="22"/>
        </w:rPr>
        <w:t xml:space="preserve">Eyes are the focal point of face-to-face communication and demand exceptional rendering quality. The avatar’s eyes are rendered using a five-layer physically-based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Geometry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Optical Properties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 Effect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Cornea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Smooth convex dome mesh over the iris/pupil area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Refractive index 1.376, Fresnel reflection, specular highlights from environment lights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bright highlight “catchlight” that gives eyes their liveliness; Fresnel rim reflection that adds depth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Aqueous Humor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Volumetric layer between cornea and iris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Refractive index 1.336, slight light absorption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Subtle depth parallax between cornea reflection and iris pattern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Iris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Flat disk with procedurally generated iris pattern texture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Diffuse colored surface with fibrous radial structure, color determined by avatar’s selected eye color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visible colored portion of the eye; pattern is unique per avatar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Pupil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Central opening in the iris disk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reflection, pure black absorption, dynamically dilates/contracts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Pupil dilation responds to conversation intensity (wider during engagement, narrower during analytical focus) — a subtle cue that significantly enhances realism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Sclera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Spherical mesh surrounding the iris/pupil assembly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White diffuse surface with subtle pink vasculature texture, moisture sheen (specular)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visible “white of the eye” with blood vessel detail that varies by avatar (some avatars have slightly more visible vasculature for realism)</w:t>
            </w:r>
          </w:p>
        </w:tc>
      </w:tr>
    </w:tbl>
    <w:p>
      <w:pPr>
        <w:spacing w:after="80"/>
      </w:pPr>
    </w:p>
    <w:p>
      <w:pPr>
        <w:spacing w:after="120"/>
      </w:pPr>
      <w:r>
        <w:rPr>
          <w:rFonts w:ascii="Arial" w:cs="Arial" w:eastAsia="Arial" w:hAnsi="Arial"/>
          <w:color w:val="1A1A1A"/>
          <w:sz w:val="22"/>
          <w:szCs w:val="22"/>
        </w:rPr>
        <w:t xml:space="preserve">The eye rendering system also simulates tear film: a thin specular layer coating the entire visible eye surface that produces broad, soft reflections of the environment. The tear film reflection is animated with very subtle ripple distortion (0.2–0.5 pixel amplitude, 2–3 second cycle) to simulate the natural micro-movements of the tear film between blinks.</w:t>
      </w:r>
    </w:p>
    <w:p>
      <w:pPr>
        <w:pStyle w:val="Heading2"/>
      </w:pPr>
      <w:r>
        <w:rPr>
          <w:rFonts w:ascii="Arial" w:cs="Arial" w:eastAsia="Arial" w:hAnsi="Arial"/>
          <w:b/>
          <w:bCs/>
          <w:color w:val="1B4F72"/>
          <w:sz w:val="26"/>
          <w:szCs w:val="26"/>
        </w:rPr>
        <w:t xml:space="preserve">1.4 Hair Rendering — Marschner Fiber Scattering</w:t>
      </w:r>
    </w:p>
    <w:p>
      <w:pPr>
        <w:spacing w:after="120"/>
      </w:pPr>
      <w:r>
        <w:rPr>
          <w:rFonts w:ascii="Arial" w:cs="Arial" w:eastAsia="Arial" w:hAnsi="Arial"/>
          <w:color w:val="1A1A1A"/>
          <w:sz w:val="22"/>
          <w:szCs w:val="22"/>
        </w:rPr>
        <w:t xml:space="preserve">Hair is rendered using the Marschner hair scattering model, which treats each hair strand as a dielectric cylinder and computes three light scattering paths:</w:t>
      </w:r>
    </w:p>
    <w:p>
      <w:pPr>
        <w:pStyle w:val="ListParagraph"/>
        <w:numPr>
          <w:ilvl w:val="0"/>
          <w:numId w:val="2"/>
        </w:numPr>
        <w:spacing w:after="60"/>
      </w:pPr>
      <w:r>
        <w:rPr>
          <w:rFonts w:ascii="Arial" w:cs="Arial" w:eastAsia="Arial" w:hAnsi="Arial"/>
          <w:color w:val="1A1A1A"/>
          <w:sz w:val="22"/>
          <w:szCs w:val="22"/>
        </w:rPr>
        <w:t xml:space="preserve">R Path (Surface Reflection): Light reflects off the hair surface, producing a sharp specular highlight aligned with the hair tangent direction. This creates the primary “shine” on hair.</w:t>
      </w:r>
    </w:p>
    <w:p>
      <w:pPr>
        <w:pStyle w:val="ListParagraph"/>
        <w:numPr>
          <w:ilvl w:val="0"/>
          <w:numId w:val="2"/>
        </w:numPr>
        <w:spacing w:after="60"/>
      </w:pPr>
      <w:r>
        <w:rPr>
          <w:rFonts w:ascii="Arial" w:cs="Arial" w:eastAsia="Arial" w:hAnsi="Arial"/>
          <w:color w:val="1A1A1A"/>
          <w:sz w:val="22"/>
          <w:szCs w:val="22"/>
        </w:rPr>
        <w:t xml:space="preserve">TT Path (Transmission-Transmission): Light enters the hair fiber, passes through the interior (absorbing color based on melanin concentration), and exits the other side. This produces the soft, colored internal glow visible in backlit hair.</w:t>
      </w:r>
    </w:p>
    <w:p>
      <w:pPr>
        <w:pStyle w:val="ListParagraph"/>
        <w:numPr>
          <w:ilvl w:val="0"/>
          <w:numId w:val="2"/>
        </w:numPr>
        <w:spacing w:after="60"/>
      </w:pPr>
      <w:r>
        <w:rPr>
          <w:rFonts w:ascii="Arial" w:cs="Arial" w:eastAsia="Arial" w:hAnsi="Arial"/>
          <w:color w:val="1A1A1A"/>
          <w:sz w:val="22"/>
          <w:szCs w:val="22"/>
        </w:rPr>
        <w:t xml:space="preserve">TRT Path (Transmission-Reflection-Transmission): Light enters, internally reflects, and exits. This produces a secondary highlight shifted from the primary R highlight and is responsible for the “angel halo” effect visible on dark hair under certain lighting angles.</w:t>
      </w:r>
    </w:p>
    <w:p>
      <w:pPr>
        <w:spacing w:after="80"/>
      </w:pPr>
    </w:p>
    <w:p>
      <w:pPr>
        <w:spacing w:after="120"/>
      </w:pPr>
      <w:r>
        <w:rPr>
          <w:rFonts w:ascii="Arial" w:cs="Arial" w:eastAsia="Arial" w:hAnsi="Arial"/>
          <w:color w:val="1A1A1A"/>
          <w:sz w:val="22"/>
          <w:szCs w:val="22"/>
        </w:rPr>
        <w:t xml:space="preserve">Hair color is parameterized by eumelanin and pheomelanin concentrations, which naturally produce the full spectrum of human hair colors: high eumelanin = black/dark brown, moderate eumelanin = medium brown, low eumelanin + high pheomelanin = red/auburn, low both = blonde, zero both = white/gray. This physical parameterization ensures hair color looks natural under all lighting conditions, rather than appearing as a flat tinted color.</w:t>
      </w:r>
    </w:p>
    <w:p>
      <w:pPr>
        <w:spacing w:after="120"/>
      </w:pPr>
      <w:r>
        <w:rPr>
          <w:rFonts w:ascii="Arial" w:cs="Arial" w:eastAsia="Arial" w:hAnsi="Arial"/>
          <w:color w:val="1A1A1A"/>
          <w:sz w:val="22"/>
          <w:szCs w:val="22"/>
        </w:rPr>
        <w:t xml:space="preserve">For performance, hair rendering uses a tiled-deferred approach: guide strands (200–1,500) are simulated with full physics, and render strands (15,000–50,000) are interpolated from nearby guide strands with random variation in position, length, and color. The strand rasterization uses line primitives with per-pixel tangent evaluation for accurate Marschner shading. Total hair rendering cost is 2–4ms per frame depending on hair length and density.</w:t>
      </w:r>
    </w:p>
    <w:p>
      <w:r>
        <w:br w:type="page"/>
      </w:r>
    </w:p>
    <w:p>
      <w:pPr>
        <w:pStyle w:val="Heading1"/>
      </w:pPr>
      <w:r>
        <w:rPr>
          <w:rFonts w:ascii="Arial" w:cs="Arial" w:eastAsia="Arial" w:hAnsi="Arial"/>
          <w:b/>
          <w:bCs/>
          <w:color w:val="1B4F72"/>
          <w:sz w:val="32"/>
          <w:szCs w:val="32"/>
        </w:rPr>
        <w:t xml:space="preserve">2. Expanded Voice Synthesis Engine — ElevenLabs Deep Integration</w:t>
      </w:r>
    </w:p>
    <w:p>
      <w:pPr>
        <w:pStyle w:val="Heading2"/>
      </w:pPr>
      <w:r>
        <w:rPr>
          <w:rFonts w:ascii="Arial" w:cs="Arial" w:eastAsia="Arial" w:hAnsi="Arial"/>
          <w:b/>
          <w:bCs/>
          <w:color w:val="1B4F72"/>
          <w:sz w:val="26"/>
          <w:szCs w:val="26"/>
        </w:rPr>
        <w:t xml:space="preserve">2.1 Voice Architecture — Real-Time Streaming Pipeline</w:t>
      </w:r>
    </w:p>
    <w:p>
      <w:pPr>
        <w:spacing w:after="120"/>
      </w:pPr>
      <w:r>
        <w:rPr>
          <w:rFonts w:ascii="Arial" w:cs="Arial" w:eastAsia="Arial" w:hAnsi="Arial"/>
          <w:color w:val="1A1A1A"/>
          <w:sz w:val="22"/>
          <w:szCs w:val="22"/>
        </w:rPr>
        <w:t xml:space="preserve">Phase 2 introduced the ElevenLabs integration at a system level. This section expands the voice synthesis architecture to production depth, detailing the exact data flow from text generation through audio delivery, including buffer management, latency optimization, and failure recovery mechanisms that ensure uninterrupted voice output under all conditions.</w:t>
      </w:r>
    </w:p>
    <w:p>
      <w:pPr>
        <w:spacing w:after="120"/>
      </w:pPr>
      <w:r>
        <w:rPr>
          <w:rFonts w:ascii="Arial" w:cs="Arial" w:eastAsia="Arial" w:hAnsi="Arial"/>
          <w:color w:val="1A1A1A"/>
          <w:sz w:val="22"/>
          <w:szCs w:val="22"/>
        </w:rPr>
        <w:t xml:space="preserve">The voice streaming pipeline operates as a five-stage buffer chain: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Buffer</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Latency Contribution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Text Chunking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 Chunk Buffer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Variable (sentence-level segments)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0ms (pass-through)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Segments LLM streaming text output into sentence-level chunks suitable for TTS. Chunking occurs at sentence boundaries (period, question mark, exclamation) or at 150-character maximum to prevent excessive delay on long sentences. Each chunk is tagged with sequence number and emotion metadata.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ElevenLabs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 Request Queue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concurrent requests max</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150–250ms first byte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 chunks are submitted to the ElevenLabs Streaming API via persistent WebSocket connection. The Turbo v2.5 model begins returning audio bytes within 150–250ms of receiving each chunk. Requests are pipelined: chunk N+1 is submitted while chunk N is still generating, ensuring the API is never idle between sentences.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Audio Receive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Chunk Buffer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seconds of decoded audio (96,000 samples at 48kHz)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0–50ms (accumulation)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Incoming MP3 chunks from ElevenLabs are decoded to raw PCM and accumulated in a ring buffer. The buffer provides resilience against network jitter: if an audio chunk arrives 50ms late, the buffer absorbs the delay without audible interruption.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Post-Processing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Processing Buffer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512 samples (10.7ms at 48kHz)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passes through the post-processing chain: loudness normalization (ITU-R BS.1770-4 target: -24 LUFS), gentle dynamic compression (ratio 2:1, threshold -18dB), high-pass filter (80Hz cutoff to remove rumble), and sample-rate adaptation to the WebRTC Opus encoder.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WebRTC Delivery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Opus Encoder Buffer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960 samples per frame (20ms at 48kHz)</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is Opus-encoded at 48kbps mono and delivered to the user via the WebRTC audio channel. Opus provides excellent quality at low bitrate with built-in forward error correction for packet loss resilience.</w:t>
            </w:r>
          </w:p>
        </w:tc>
      </w:tr>
    </w:tbl>
    <w:p>
      <w:pPr>
        <w:spacing w:after="80"/>
      </w:pPr>
    </w:p>
    <w:p>
      <w:pPr>
        <w:spacing w:after="120"/>
      </w:pPr>
      <w:r>
        <w:rPr>
          <w:rFonts w:ascii="Arial" w:cs="Arial" w:eastAsia="Arial" w:hAnsi="Arial"/>
          <w:color w:val="1A1A1A"/>
          <w:sz w:val="22"/>
          <w:szCs w:val="22"/>
        </w:rPr>
        <w:t xml:space="preserve">Total pipeline latency from text generation to audio reaching the user’s speaker: 200–330ms. This is added to the LLM inference latency (200–600ms) and transcription latency (100–150ms) for a total end-to-end response time of 500–800ms, well within conversational cadence.</w:t>
      </w:r>
    </w:p>
    <w:p>
      <w:pPr>
        <w:pStyle w:val="Heading2"/>
      </w:pPr>
      <w:r>
        <w:rPr>
          <w:rFonts w:ascii="Arial" w:cs="Arial" w:eastAsia="Arial" w:hAnsi="Arial"/>
          <w:b/>
          <w:bCs/>
          <w:color w:val="1B4F72"/>
          <w:sz w:val="26"/>
          <w:szCs w:val="26"/>
        </w:rPr>
        <w:t xml:space="preserve">2.2 Voice Consistency and Identity Persistence</w:t>
      </w:r>
    </w:p>
    <w:p>
      <w:pPr>
        <w:spacing w:after="120"/>
      </w:pPr>
      <w:r>
        <w:rPr>
          <w:rFonts w:ascii="Arial" w:cs="Arial" w:eastAsia="Arial" w:hAnsi="Arial"/>
          <w:color w:val="1A1A1A"/>
          <w:sz w:val="22"/>
          <w:szCs w:val="22"/>
        </w:rPr>
        <w:t xml:space="preserve">A critical challenge in production voice synthesis is maintaining perfect consistency across sessions. The same AI employee must sound identical whether the user interacts at 9am Monday or 3pm Friday, whether the conversation lasts 2 minutes or 2 hours, and regardless of which GPU server processes the request. NexusHR VX ensures voice consistency through the following mechanisms:</w:t>
      </w:r>
    </w:p>
    <w:p>
      <w:pPr>
        <w:spacing w:after="80"/>
      </w:pPr>
    </w:p>
    <w:p>
      <w:pPr>
        <w:pStyle w:val="ListParagraph"/>
        <w:numPr>
          <w:ilvl w:val="0"/>
          <w:numId w:val="2"/>
        </w:numPr>
        <w:spacing w:after="60"/>
      </w:pPr>
      <w:r>
        <w:rPr>
          <w:rFonts w:ascii="Arial" w:cs="Arial" w:eastAsia="Arial" w:hAnsi="Arial"/>
          <w:color w:val="1A1A1A"/>
          <w:sz w:val="22"/>
          <w:szCs w:val="22"/>
        </w:rPr>
        <w:t xml:space="preserve">Deterministic Voice Settings: Each AI employee’s voice configuration is stored as a fixed parameter set in the Avatar Identity Package: voice_id (ElevenLabs voice identifier), stability (0.0–1.0), similarity_boost (0.0–1.0), style (0.0–1.0), and use_speaker_boost (boolean). These parameters are loaded identically for every session, ensuring the same vocal character every time.</w:t>
      </w:r>
    </w:p>
    <w:p>
      <w:pPr>
        <w:pStyle w:val="ListParagraph"/>
        <w:numPr>
          <w:ilvl w:val="0"/>
          <w:numId w:val="2"/>
        </w:numPr>
        <w:spacing w:after="60"/>
      </w:pPr>
      <w:r>
        <w:rPr>
          <w:rFonts w:ascii="Arial" w:cs="Arial" w:eastAsia="Arial" w:hAnsi="Arial"/>
          <w:color w:val="1A1A1A"/>
          <w:sz w:val="22"/>
          <w:szCs w:val="22"/>
        </w:rPr>
        <w:t xml:space="preserve">Emotion Modulation Ranges: While the Emotion Engine adjusts voice parameters in real time, each parameter has a bounded modulation range. For example, stability may vary between 0.60 and 0.85 based on emotion, but never outside this range for a given AI employee. The ranges are calibrated per-voice-identity to ensure emotional expression never distorts the fundamental voice character.</w:t>
      </w:r>
    </w:p>
    <w:p>
      <w:pPr>
        <w:pStyle w:val="ListParagraph"/>
        <w:numPr>
          <w:ilvl w:val="0"/>
          <w:numId w:val="2"/>
        </w:numPr>
        <w:spacing w:after="60"/>
      </w:pPr>
      <w:r>
        <w:rPr>
          <w:rFonts w:ascii="Arial" w:cs="Arial" w:eastAsia="Arial" w:hAnsi="Arial"/>
          <w:color w:val="1A1A1A"/>
          <w:sz w:val="22"/>
          <w:szCs w:val="22"/>
        </w:rPr>
        <w:t xml:space="preserve">Session Warm-Up: At the start of each session, the system generates a silent “warm-up” TTS request using the AI employee’s standard greeting text. This primes the ElevenLabs model and verifies voice consistency before the user hears any audio. If the warm-up audio deviates from the reference profile (measured by mel-cepstral distance), the system retries with slightly adjusted parameters.</w:t>
      </w:r>
    </w:p>
    <w:p>
      <w:pPr>
        <w:pStyle w:val="ListParagraph"/>
        <w:numPr>
          <w:ilvl w:val="0"/>
          <w:numId w:val="2"/>
        </w:numPr>
        <w:spacing w:after="60"/>
      </w:pPr>
      <w:r>
        <w:rPr>
          <w:rFonts w:ascii="Arial" w:cs="Arial" w:eastAsia="Arial" w:hAnsi="Arial"/>
          <w:color w:val="1A1A1A"/>
          <w:sz w:val="22"/>
          <w:szCs w:val="22"/>
        </w:rPr>
        <w:t xml:space="preserve">Quality Monitoring: A background audio quality monitor continuously compares synthesized speech against the AI employee’s voice profile, flagging any drift in fundamental frequency (F0), spectral envelope, or speaking rate. Drift detection triggers automatic parameter recalibration.</w:t>
      </w:r>
    </w:p>
    <w:p>
      <w:pPr>
        <w:pStyle w:val="Heading2"/>
      </w:pPr>
      <w:r>
        <w:rPr>
          <w:rFonts w:ascii="Arial" w:cs="Arial" w:eastAsia="Arial" w:hAnsi="Arial"/>
          <w:b/>
          <w:bCs/>
          <w:color w:val="1B4F72"/>
          <w:sz w:val="26"/>
          <w:szCs w:val="26"/>
        </w:rPr>
        <w:t xml:space="preserve">2.3 Voice Failure Recovery</w:t>
      </w:r>
    </w:p>
    <w:p>
      <w:pPr>
        <w:spacing w:after="120"/>
      </w:pPr>
      <w:r>
        <w:rPr>
          <w:rFonts w:ascii="Arial" w:cs="Arial" w:eastAsia="Arial" w:hAnsi="Arial"/>
          <w:color w:val="1A1A1A"/>
          <w:sz w:val="22"/>
          <w:szCs w:val="22"/>
        </w:rPr>
        <w:t xml:space="preserve">The voice synthesis pipeline includes multiple failure recovery mechanisms to ensure the AI employee never goes silent: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Recovery Action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ElevenLabs API Timeout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audio bytes received within 3 seconds of request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Automatic retry with exponential backoff (300ms, 600ms, 1200ms). If 3 retries fail, switch to fallback TTS (locally-hosted XTTS-v2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50–200ms additional delay on first retry; seamless on success. If fallback activates, slight voice quality reduction but conversation continues.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ElevenLabs Rate Limit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HTTP 429 response or WebSocket throttle signal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Requests are queued and rate-limited client-side. Overflow requests route to secondary ElevenLabs API key pool (5 keys per organization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0–50ms additional delay; transparent to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Network Interruption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WebSocket disconnect to ElevenLabs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Immediate reconnection attempt (100ms retry). Audio buffer provides 2 seconds of pre-generated audio to bridge the gap. If reconnection fails within 2 seconds, switch to local fallback.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Imperceptible if reconnection succeeds within buffer window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Corruption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Decoded audio contains NaN values, extreme amplitude spikes, or zero-length chunks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Corrupted chunk is discarded and replaced with interpolated audio from surrounding valid chunks. If corruption is persistent, regenerate from 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Potential micro-glitch (10–20ms); self-healing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Model Degradation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Mel-cepstral distance exceeds threshold vs. reference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Automatic parameter recalibration. If unsuccessful, session is seamlessly migrated to a different ElevenLabs inference endpoint.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user impact; quality restoration within 1–2 utterances</w:t>
            </w:r>
          </w:p>
        </w:tc>
      </w:tr>
    </w:tbl>
    <w:p>
      <w:r>
        <w:br w:type="page"/>
      </w:r>
    </w:p>
    <w:p>
      <w:pPr>
        <w:pStyle w:val="Heading1"/>
      </w:pPr>
      <w:r>
        <w:rPr>
          <w:rFonts w:ascii="Arial" w:cs="Arial" w:eastAsia="Arial" w:hAnsi="Arial"/>
          <w:b/>
          <w:bCs/>
          <w:color w:val="1B4F72"/>
          <w:sz w:val="32"/>
          <w:szCs w:val="32"/>
        </w:rPr>
        <w:t xml:space="preserve">3. Expanded Speech Recognition — Production Architecture</w:t>
      </w:r>
    </w:p>
    <w:p>
      <w:pPr>
        <w:pStyle w:val="Heading2"/>
      </w:pPr>
      <w:r>
        <w:rPr>
          <w:rFonts w:ascii="Arial" w:cs="Arial" w:eastAsia="Arial" w:hAnsi="Arial"/>
          <w:b/>
          <w:bCs/>
          <w:color w:val="1B4F72"/>
          <w:sz w:val="26"/>
          <w:szCs w:val="26"/>
        </w:rPr>
        <w:t xml:space="preserve">3.1 Multi-Model Cascade Architecture</w:t>
      </w:r>
    </w:p>
    <w:p>
      <w:pPr>
        <w:spacing w:after="120"/>
      </w:pPr>
      <w:r>
        <w:rPr>
          <w:rFonts w:ascii="Arial" w:cs="Arial" w:eastAsia="Arial" w:hAnsi="Arial"/>
          <w:color w:val="1A1A1A"/>
          <w:sz w:val="22"/>
          <w:szCs w:val="22"/>
        </w:rPr>
        <w:t xml:space="preserve">Phase 2 introduced the dual-model approach (Deepgram Nova-2 primary, Whisper fallback). This section expands the speech recognition system to its full production architecture, which operates as a three-tier cascade with quality-aware routing: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Accuracy (WER)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Activation Condition</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 1: Streaming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Deepgram Nova-2 via WebSocket Streaming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80–120ms partial, 150–300ms final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5–8% WER (clean audio), 10–15% WER (noisy)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 active as primary path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Deepgram cloud API with dedicated enterprise throughput allocation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 2: Confirmation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Whisper Large v3 (self-hosted, quantized INT8)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400–700ms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 WER (clean), 7–12% WER (noisy)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Activated when Tier 1 confidence &lt;0.80 per utterance, or when named entity recognition indicates potential business-critical content (names, numbers, dates)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Self-hosted on platform GPU cluster (NVIDIA A100), ONNX Runtime with TensorRT optimization, batch size 1 for minimal latency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 3: Offline Correction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Whisper Large v3 (full precision, beam search w=5)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 seconds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 WER (clean), 5–9% WER (noisy)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Runs asynchronously after each conversation turn. Corrects the stored transcript for audit accuracy. Does not affect real-time conversation flow.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Self-hosted GPU, batch processing, corrections applied to conversation log</w:t>
            </w:r>
          </w:p>
        </w:tc>
      </w:tr>
    </w:tbl>
    <w:p>
      <w:pPr>
        <w:spacing w:after="80"/>
      </w:pPr>
    </w:p>
    <w:p>
      <w:pPr>
        <w:spacing w:after="120"/>
      </w:pPr>
      <w:r>
        <w:rPr>
          <w:rFonts w:ascii="Arial" w:cs="Arial" w:eastAsia="Arial" w:hAnsi="Arial"/>
          <w:color w:val="1A1A1A"/>
          <w:sz w:val="22"/>
          <w:szCs w:val="22"/>
        </w:rPr>
        <w:t xml:space="preserve">The cascade operates simultaneously across tiers: Tier 1 always provides the real-time transcription used by the AI brain for immediate response generation. Tier 2 runs in parallel when triggered, and its output replaces Tier 1’s transcription if confidence is higher. Tier 3 runs post-hoc and updates the stored conversation record without affecting the live interaction. This architecture maximizes both real-time responsiveness and historical transcript accuracy.</w:t>
      </w:r>
    </w:p>
    <w:p>
      <w:pPr>
        <w:pStyle w:val="Heading2"/>
      </w:pPr>
      <w:r>
        <w:rPr>
          <w:rFonts w:ascii="Arial" w:cs="Arial" w:eastAsia="Arial" w:hAnsi="Arial"/>
          <w:b/>
          <w:bCs/>
          <w:color w:val="1B4F72"/>
          <w:sz w:val="26"/>
          <w:szCs w:val="26"/>
        </w:rPr>
        <w:t xml:space="preserve">3.2 Domain-Specific Language Models</w:t>
      </w:r>
    </w:p>
    <w:p>
      <w:pPr>
        <w:spacing w:after="120"/>
      </w:pPr>
      <w:r>
        <w:rPr>
          <w:rFonts w:ascii="Arial" w:cs="Arial" w:eastAsia="Arial" w:hAnsi="Arial"/>
          <w:color w:val="1A1A1A"/>
          <w:sz w:val="22"/>
          <w:szCs w:val="22"/>
        </w:rPr>
        <w:t xml:space="preserve">Generic speech recognition models struggle with industry-specific terminology, company names, product names, and technical jargon. NexusHR VX addresses this through three complementary mechanisms:</w:t>
      </w:r>
    </w:p>
    <w:p>
      <w:pPr>
        <w:spacing w:after="80"/>
      </w:pPr>
    </w:p>
    <w:p>
      <w:pPr>
        <w:spacing w:after="120"/>
      </w:pPr>
      <w:r>
        <w:rPr>
          <w:rFonts w:ascii="Arial" w:cs="Arial" w:eastAsia="Arial" w:hAnsi="Arial"/>
          <w:b/>
          <w:bCs/>
          <w:color w:val="1A1A1A"/>
          <w:sz w:val="22"/>
          <w:szCs w:val="22"/>
        </w:rPr>
        <w:t xml:space="preserve">Custom Vocabulary Boosting: </w:t>
      </w:r>
      <w:r>
        <w:rPr>
          <w:rFonts w:ascii="Arial" w:cs="Arial" w:eastAsia="Arial" w:hAnsi="Arial"/>
          <w:color w:val="1A1A1A"/>
          <w:sz w:val="22"/>
          <w:szCs w:val="22"/>
        </w:rPr>
        <w:t xml:space="preserve">Each organization maintains a custom vocabulary list that is injected into the Deepgram API as keyword boosting terms with configurable boost weights (1.0–10.0). The vocabulary includes company name and common misspellings, product and service names, employee names (all staff in the HRIS), client and vendor names, industry-specific acronyms (e.g., HIPAA, SOX, SLA, MRR, ARR, CAC, LTV), department names and internal project code names, and technical terms specific to the business domain. This vocabulary is automatically synchronized from the organization’s connected systems (HRIS, CRM, project management) on a nightly basis, ensuring the speech recognition system always knows the latest names and terms.</w:t>
      </w:r>
    </w:p>
    <w:p>
      <w:pPr>
        <w:spacing w:after="120"/>
      </w:pPr>
      <w:r>
        <w:rPr>
          <w:rFonts w:ascii="Arial" w:cs="Arial" w:eastAsia="Arial" w:hAnsi="Arial"/>
          <w:b/>
          <w:bCs/>
          <w:color w:val="1A1A1A"/>
          <w:sz w:val="22"/>
          <w:szCs w:val="22"/>
        </w:rPr>
        <w:t xml:space="preserve">Contextual Priming: </w:t>
      </w:r>
      <w:r>
        <w:rPr>
          <w:rFonts w:ascii="Arial" w:cs="Arial" w:eastAsia="Arial" w:hAnsi="Arial"/>
          <w:color w:val="1A1A1A"/>
          <w:sz w:val="22"/>
          <w:szCs w:val="22"/>
        </w:rPr>
        <w:t xml:space="preserve">Before each conversation turn, the speech recognition system receives a context hint from the AI Orchestration Layer indicating the likely topic domain. If the AI HR Manager just asked “Which employee are you inquiring about?”, the speech recognition model is primed with the employee directory, dramatically improving recognition of the name the user speaks next. This contextual priming adjusts Deepgram’s topic and keywords parameters dynamically per turn.</w:t>
      </w:r>
    </w:p>
    <w:p>
      <w:pPr>
        <w:spacing w:after="120"/>
      </w:pPr>
      <w:r>
        <w:rPr>
          <w:rFonts w:ascii="Arial" w:cs="Arial" w:eastAsia="Arial" w:hAnsi="Arial"/>
          <w:b/>
          <w:bCs/>
          <w:color w:val="1A1A1A"/>
          <w:sz w:val="22"/>
          <w:szCs w:val="22"/>
        </w:rPr>
        <w:t xml:space="preserve">Post-Processing Entity Resolution: </w:t>
      </w:r>
      <w:r>
        <w:rPr>
          <w:rFonts w:ascii="Arial" w:cs="Arial" w:eastAsia="Arial" w:hAnsi="Arial"/>
          <w:color w:val="1A1A1A"/>
          <w:sz w:val="22"/>
          <w:szCs w:val="22"/>
        </w:rPr>
        <w:t xml:space="preserve">After transcription, a named entity resolution pass compares recognized names and terms against the organization’s entity database using fuzzy matching (Levenshtein distance ≤ 2). If the transcription produces “John Smyth” and the employee directory contains “John Smith,” the system corrects the transcription and flags the correction for the AI brain’s awareness.</w:t>
      </w:r>
    </w:p>
    <w:p>
      <w:pPr>
        <w:pStyle w:val="Heading2"/>
      </w:pPr>
      <w:r>
        <w:rPr>
          <w:rFonts w:ascii="Arial" w:cs="Arial" w:eastAsia="Arial" w:hAnsi="Arial"/>
          <w:b/>
          <w:bCs/>
          <w:color w:val="1B4F72"/>
          <w:sz w:val="26"/>
          <w:szCs w:val="26"/>
        </w:rPr>
        <w:t xml:space="preserve">3.3 Multi-Language Real-Time Recognition</w:t>
      </w:r>
    </w:p>
    <w:p>
      <w:pPr>
        <w:spacing w:after="120"/>
      </w:pPr>
      <w:r>
        <w:rPr>
          <w:rFonts w:ascii="Arial" w:cs="Arial" w:eastAsia="Arial" w:hAnsi="Arial"/>
          <w:color w:val="1A1A1A"/>
          <w:sz w:val="22"/>
          <w:szCs w:val="22"/>
        </w:rPr>
        <w:t xml:space="preserve">The speech recognition system supports 40+ languages with automatic language detection:</w:t>
      </w:r>
    </w:p>
    <w:p>
      <w:pPr>
        <w:pStyle w:val="ListParagraph"/>
        <w:numPr>
          <w:ilvl w:val="0"/>
          <w:numId w:val="2"/>
        </w:numPr>
        <w:spacing w:after="60"/>
      </w:pPr>
      <w:r>
        <w:rPr>
          <w:rFonts w:ascii="Arial" w:cs="Arial" w:eastAsia="Arial" w:hAnsi="Arial"/>
          <w:color w:val="1A1A1A"/>
          <w:sz w:val="22"/>
          <w:szCs w:val="22"/>
        </w:rPr>
        <w:t xml:space="preserve">Automatic Detection: Deepgram’s language detection identifies the spoken language within the first 2–3 seconds of speech. The system then routes subsequent audio to the appropriate language-specific model for maximum accuracy.</w:t>
      </w:r>
    </w:p>
    <w:p>
      <w:pPr>
        <w:pStyle w:val="ListParagraph"/>
        <w:numPr>
          <w:ilvl w:val="0"/>
          <w:numId w:val="2"/>
        </w:numPr>
        <w:spacing w:after="60"/>
      </w:pPr>
      <w:r>
        <w:rPr>
          <w:rFonts w:ascii="Arial" w:cs="Arial" w:eastAsia="Arial" w:hAnsi="Arial"/>
          <w:color w:val="1A1A1A"/>
          <w:sz w:val="22"/>
          <w:szCs w:val="22"/>
        </w:rPr>
        <w:t xml:space="preserve">Mid-Conversation Switching: If a user switches languages mid-conversation (common in multilingual business environments), the system detects the switch within 1–2 seconds and seamlessly adjusts the recognition model. The AI brain is notified of the language change and adjusts its response language accordingly.</w:t>
      </w:r>
    </w:p>
    <w:p>
      <w:pPr>
        <w:pStyle w:val="ListParagraph"/>
        <w:numPr>
          <w:ilvl w:val="0"/>
          <w:numId w:val="2"/>
        </w:numPr>
        <w:spacing w:after="60"/>
      </w:pPr>
      <w:r>
        <w:rPr>
          <w:rFonts w:ascii="Arial" w:cs="Arial" w:eastAsia="Arial" w:hAnsi="Arial"/>
          <w:color w:val="1A1A1A"/>
          <w:sz w:val="22"/>
          <w:szCs w:val="22"/>
        </w:rPr>
        <w:t xml:space="preserve">Code-Mixing Recognition: For users who mix languages within a single utterance (e.g., English with Hindi phrases, or Spanish with English technical terms), the system uses Deepgram’s multi-language model configuration to recognize mixed-language speech without requiring explicit language switching.</w:t>
      </w:r>
    </w:p>
    <w:p>
      <w:pPr>
        <w:pStyle w:val="ListParagraph"/>
        <w:numPr>
          <w:ilvl w:val="0"/>
          <w:numId w:val="2"/>
        </w:numPr>
        <w:spacing w:after="60"/>
      </w:pPr>
      <w:r>
        <w:rPr>
          <w:rFonts w:ascii="Arial" w:cs="Arial" w:eastAsia="Arial" w:hAnsi="Arial"/>
          <w:color w:val="1A1A1A"/>
          <w:sz w:val="22"/>
          <w:szCs w:val="22"/>
        </w:rPr>
        <w:t xml:space="preserve">Accent Robustness: The recognition models are trained on diverse accent corpora. For business-critical deployments, organizations can provide accent-specific audio samples during setup, which are used to fine-tune recognition accuracy for the accents most common in their workforce.</w:t>
      </w:r>
    </w:p>
    <w:p>
      <w:r>
        <w:br w:type="page"/>
      </w:r>
    </w:p>
    <w:p>
      <w:pPr>
        <w:pStyle w:val="Heading1"/>
      </w:pPr>
      <w:r>
        <w:rPr>
          <w:rFonts w:ascii="Arial" w:cs="Arial" w:eastAsia="Arial" w:hAnsi="Arial"/>
          <w:b/>
          <w:bCs/>
          <w:color w:val="1B4F72"/>
          <w:sz w:val="32"/>
          <w:szCs w:val="32"/>
        </w:rPr>
        <w:t xml:space="preserve">4. Real-Time Animation System — Deep Architecture</w:t>
      </w:r>
    </w:p>
    <w:p>
      <w:pPr>
        <w:pStyle w:val="Heading2"/>
      </w:pPr>
      <w:r>
        <w:rPr>
          <w:rFonts w:ascii="Arial" w:cs="Arial" w:eastAsia="Arial" w:hAnsi="Arial"/>
          <w:b/>
          <w:bCs/>
          <w:color w:val="1B4F72"/>
          <w:sz w:val="26"/>
          <w:szCs w:val="26"/>
        </w:rPr>
        <w:t xml:space="preserve">4.1 Animation State Machine</w:t>
      </w:r>
    </w:p>
    <w:p>
      <w:pPr>
        <w:spacing w:after="120"/>
      </w:pPr>
      <w:r>
        <w:rPr>
          <w:rFonts w:ascii="Arial" w:cs="Arial" w:eastAsia="Arial" w:hAnsi="Arial"/>
          <w:color w:val="1A1A1A"/>
          <w:sz w:val="22"/>
          <w:szCs w:val="22"/>
        </w:rPr>
        <w:t xml:space="preserve">The avatar’s animation is governed by a hierarchical state machine that coordinates all animation sources (lip sync, emotion, gaze, gesture, idle) into a coherent, natural-looking performance. The state machine operates at the animation frame rate (30 FPS) and determines which animation layers are active, their blend weights, and transition timing.</w:t>
      </w:r>
    </w:p>
    <w:p>
      <w:pPr>
        <w:spacing w:after="120"/>
      </w:pPr>
      <w:r>
        <w:rPr>
          <w:rFonts w:ascii="Arial" w:cs="Arial" w:eastAsia="Arial" w:hAnsi="Arial"/>
          <w:color w:val="1A1A1A"/>
          <w:sz w:val="22"/>
          <w:szCs w:val="22"/>
        </w:rPr>
        <w:t xml:space="preserve">The top-level states of the animation state machine 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Active Animation Layers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Transition Triggers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Typical 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Idle breathing loop, ambient blink, micro-expression injection, slow gaze wander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begins speaking → LISTENING; AI brain generates response → PREPARING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Indefinite (until interaction)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LISTENING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Attentive posture, focused gaze on user, responsive nodding (synced to user speech cadence), occasional blink, micro-expressions (concentration, empathy)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stops speaking → PROCESSING; User pauses &gt;2s → return to IDLE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Duration of user speech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PROCESSING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Thoughtful expression, gaze slightly upward or to the side, subtle head tilt, hand-to-chin or clasped-hands gesture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brain begins streaming response → SPEAKING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200–600ms (matches AI processing 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SPEAKING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lip sync, emotion expression, emphasis gestures, eye contact maintenance (80% gaze at camera, 20% natural aversion), responsive body movement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delivery complete → ATTENTIVE_PAUSE; User interrupts → INTERRUPTED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Duration of 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ATTENTIVE_PAUSE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Settled posture, soft smile, steady gaze, gentle breathing, ready-to-listen body 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begins speaking → LISTENING; 5s silence → IDLE; AI employee has follow-up → SPEAKING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200ms–5s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INTERRUPTED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Quick cessation of speech animation, surprise/attention micro-expression, shift to listening posture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Barge-in protocol completes → LISTENING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200–400ms transition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PERFORMING_TASK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looks at imaginary screen/document, typing or clicking gestures, concentrated expression, occasional glance back at 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 completes → SPEAKING (to deliver results); task requires input → ATTENTIVE_PAUSE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Duration of visible task performance</w:t>
            </w:r>
          </w:p>
        </w:tc>
      </w:tr>
    </w:tbl>
    <w:p>
      <w:pPr>
        <w:spacing w:after="80"/>
      </w:pPr>
    </w:p>
    <w:p>
      <w:pPr>
        <w:spacing w:after="120"/>
      </w:pPr>
      <w:r>
        <w:rPr>
          <w:rFonts w:ascii="Arial" w:cs="Arial" w:eastAsia="Arial" w:hAnsi="Arial"/>
          <w:color w:val="1A1A1A"/>
          <w:sz w:val="22"/>
          <w:szCs w:val="22"/>
        </w:rPr>
        <w:t xml:space="preserve">State transitions use configurable ease-in/ease-out curves (cubic Bezier, default [0.25, 0.1, 0.25, 1.0]) applied to all animation blend weights simultaneously, ensuring that the avatar never “snaps” between states. Transition duration is state-pair-specific: IDLE→LISTENING takes 300ms (quick attention shift), SPEAKING→ATTENTIVE_PAUSE takes 500ms (natural settling), INTERRUPTED is the fastest at 200ms (immediate attention).</w:t>
      </w:r>
    </w:p>
    <w:p>
      <w:pPr>
        <w:pStyle w:val="Heading2"/>
      </w:pPr>
      <w:r>
        <w:rPr>
          <w:rFonts w:ascii="Arial" w:cs="Arial" w:eastAsia="Arial" w:hAnsi="Arial"/>
          <w:b/>
          <w:bCs/>
          <w:color w:val="1B4F72"/>
          <w:sz w:val="26"/>
          <w:szCs w:val="26"/>
        </w:rPr>
        <w:t xml:space="preserve">4.2 Gaze Control System</w:t>
      </w:r>
    </w:p>
    <w:p>
      <w:pPr>
        <w:spacing w:after="120"/>
      </w:pPr>
      <w:r>
        <w:rPr>
          <w:rFonts w:ascii="Arial" w:cs="Arial" w:eastAsia="Arial" w:hAnsi="Arial"/>
          <w:color w:val="1A1A1A"/>
          <w:sz w:val="22"/>
          <w:szCs w:val="22"/>
        </w:rPr>
        <w:t xml:space="preserve">Eye gaze is one of the most powerful nonverbal communication signals. The avatar’s gaze system simulates the natural eye contact patterns of a professional video call: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Gaze Behavior</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Eye Target</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Psychological Effect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Direct Eye Contact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Camera lens position (simulates looking at the user)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 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60–80% of speaking time, 80–90% of listening 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Engagement, trust, attention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Thought Gaze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Slightly upward and to the right (or left, randomized per avatar)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0.5–1.5 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During PROCESSING state, when recalling information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Indicates thinking, processing, memory retrieval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 Gaze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Slightly downward (imaginary notes/screen)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0.5–2 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citing data, reading from documents, checking information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Indicates referencing material, adds credibility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Triangle Pattern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Alternating between left eye, right eye, and mouth of user (simulated via slight gaze shifts)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Each point held 0.3–0.8 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Continuous during attentive listening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Natural face-scanning pattern that signals active listening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Natural Aversion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Random point 10–20 degrees away from camera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0.3–1.0 seconds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15–25% of speaking time (between sentences/clauses)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Prevents uncanny constant staring; creates natural rhythm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Blink-Coincident Gaze Shift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 gaze target selected during blink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Instantaneous (hidden by blink)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Coincides with 30–50% of blinks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Natural gaze transition mechanism; humans shift gaze during blinks</w:t>
            </w:r>
          </w:p>
        </w:tc>
      </w:tr>
    </w:tbl>
    <w:p>
      <w:pPr>
        <w:spacing w:after="80"/>
      </w:pPr>
    </w:p>
    <w:p>
      <w:pPr>
        <w:spacing w:after="120"/>
      </w:pPr>
      <w:r>
        <w:rPr>
          <w:rFonts w:ascii="Arial" w:cs="Arial" w:eastAsia="Arial" w:hAnsi="Arial"/>
          <w:color w:val="1A1A1A"/>
          <w:sz w:val="22"/>
          <w:szCs w:val="22"/>
        </w:rPr>
        <w:t xml:space="preserve">The gaze system uses smooth pursuit dynamics: the eyes do not snap to new targets but track toward them at physiologically realistic velocities (saccade speed 200–700 degrees/second for large shifts, smooth pursuit at 1–30 degrees/second for tracking). Head rotation accompanies gaze shifts larger than 15 degrees, with the head lagging the eyes by 50–100ms, exactly as occurs in natural human head-eye coordination.</w:t>
      </w:r>
    </w:p>
    <w:p>
      <w:pPr>
        <w:pStyle w:val="Heading2"/>
      </w:pPr>
      <w:r>
        <w:rPr>
          <w:rFonts w:ascii="Arial" w:cs="Arial" w:eastAsia="Arial" w:hAnsi="Arial"/>
          <w:b/>
          <w:bCs/>
          <w:color w:val="1B4F72"/>
          <w:sz w:val="26"/>
          <w:szCs w:val="26"/>
        </w:rPr>
        <w:t xml:space="preserve">4.3 Breathing and Micro-Movement System</w:t>
      </w:r>
    </w:p>
    <w:p>
      <w:pPr>
        <w:spacing w:after="120"/>
      </w:pPr>
      <w:r>
        <w:rPr>
          <w:rFonts w:ascii="Arial" w:cs="Arial" w:eastAsia="Arial" w:hAnsi="Arial"/>
          <w:color w:val="1A1A1A"/>
          <w:sz w:val="22"/>
          <w:szCs w:val="22"/>
        </w:rPr>
        <w:t xml:space="preserve">Even when the avatar is silent and still, it must appear alive. The Breathing and Micro-Movement System provides the constant, subtle animation that prevents the avatar from looking like a still image:</w:t>
      </w:r>
    </w:p>
    <w:p>
      <w:pPr>
        <w:pStyle w:val="ListParagraph"/>
        <w:numPr>
          <w:ilvl w:val="0"/>
          <w:numId w:val="2"/>
        </w:numPr>
        <w:spacing w:after="60"/>
      </w:pPr>
      <w:r>
        <w:rPr>
          <w:rFonts w:ascii="Arial" w:cs="Arial" w:eastAsia="Arial" w:hAnsi="Arial"/>
          <w:color w:val="1A1A1A"/>
          <w:sz w:val="22"/>
          <w:szCs w:val="22"/>
        </w:rPr>
        <w:t xml:space="preserve">Respiratory Animation: The avatar’s chest and shoulders rise and fall at 12–20 breaths per minute (normal adult respiratory rate). Breathing rate increases slightly during energetic speech and decreases during calm, attentive listening. Breathing amplitude is very subtle (2–4mm of shoulder rise) but critical for the subconscious perception of life.</w:t>
      </w:r>
    </w:p>
    <w:p>
      <w:pPr>
        <w:pStyle w:val="ListParagraph"/>
        <w:numPr>
          <w:ilvl w:val="0"/>
          <w:numId w:val="2"/>
        </w:numPr>
        <w:spacing w:after="60"/>
      </w:pPr>
      <w:r>
        <w:rPr>
          <w:rFonts w:ascii="Arial" w:cs="Arial" w:eastAsia="Arial" w:hAnsi="Arial"/>
          <w:color w:val="1A1A1A"/>
          <w:sz w:val="22"/>
          <w:szCs w:val="22"/>
        </w:rPr>
        <w:t xml:space="preserve">Postural Sway: The avatar exhibits very slight postural micro-sway (0.5–1.5mm amplitude, 0.1–0.3 Hz frequency) simulating the natural body oscillation that occurs when a person sits in a chair. This is implemented as low-frequency noise applied to the spine root joint.</w:t>
      </w:r>
    </w:p>
    <w:p>
      <w:pPr>
        <w:pStyle w:val="ListParagraph"/>
        <w:numPr>
          <w:ilvl w:val="0"/>
          <w:numId w:val="2"/>
        </w:numPr>
        <w:spacing w:after="60"/>
      </w:pPr>
      <w:r>
        <w:rPr>
          <w:rFonts w:ascii="Arial" w:cs="Arial" w:eastAsia="Arial" w:hAnsi="Arial"/>
          <w:color w:val="1A1A1A"/>
          <w:sz w:val="22"/>
          <w:szCs w:val="22"/>
        </w:rPr>
        <w:t xml:space="preserve">Facial Micro-Movements: Between expressions, the face exhibits subtle muscle micro-activations: tiny asymmetric lip corner movements (AU12, 0.02–0.05 amplitude), occasional nostril flare (AU38, 0.01–0.03), jaw tension adjustment (AU28, 0.01–0.02), and intermittent eyebrow micro-raises (AU1/AU2, 0.01–0.04). These are driven by Perlin noise generators with different frequencies per Action Unit.</w:t>
      </w:r>
    </w:p>
    <w:p>
      <w:pPr>
        <w:pStyle w:val="ListParagraph"/>
        <w:numPr>
          <w:ilvl w:val="0"/>
          <w:numId w:val="2"/>
        </w:numPr>
        <w:spacing w:after="60"/>
      </w:pPr>
      <w:r>
        <w:rPr>
          <w:rFonts w:ascii="Arial" w:cs="Arial" w:eastAsia="Arial" w:hAnsi="Arial"/>
          <w:color w:val="1A1A1A"/>
          <w:sz w:val="22"/>
          <w:szCs w:val="22"/>
        </w:rPr>
        <w:t xml:space="preserve">Blink System: Blinks occur at randomized intervals following a Poisson distribution with a mean rate of 15–20 blinks per minute (matching natural human blink rate). Blink duration is 150–400ms with fast close (80ms) and slower open (120–320ms). Double-blinks occur 10–15% of the time. Blink rate increases during speaking and decreases during focused listening.</w:t>
      </w:r>
    </w:p>
    <w:p>
      <w:pPr>
        <w:pStyle w:val="ListParagraph"/>
        <w:numPr>
          <w:ilvl w:val="0"/>
          <w:numId w:val="2"/>
        </w:numPr>
        <w:spacing w:after="60"/>
      </w:pPr>
      <w:r>
        <w:rPr>
          <w:rFonts w:ascii="Arial" w:cs="Arial" w:eastAsia="Arial" w:hAnsi="Arial"/>
          <w:color w:val="1A1A1A"/>
          <w:sz w:val="22"/>
          <w:szCs w:val="22"/>
        </w:rPr>
        <w:t xml:space="preserve">Weight Shifting: Every 15–45 seconds, the avatar performs a subtle weight shift in their seated position: a slight lean to one side, a repositioning of hands, or an adjustment of posture. These are selected from a library of 30 pre-recorded weight-shift animations and blended smoothly with the current pose.</w:t>
      </w:r>
    </w:p>
    <w:p>
      <w:r>
        <w:br w:type="page"/>
      </w:r>
    </w:p>
    <w:p>
      <w:pPr>
        <w:pStyle w:val="Heading1"/>
      </w:pPr>
      <w:r>
        <w:rPr>
          <w:rFonts w:ascii="Arial" w:cs="Arial" w:eastAsia="Arial" w:hAnsi="Arial"/>
          <w:b/>
          <w:bCs/>
          <w:color w:val="1B4F72"/>
          <w:sz w:val="32"/>
          <w:szCs w:val="32"/>
        </w:rPr>
        <w:t xml:space="preserve">5. Expanded Emotion Control — Sentiment-to-Expression Pipeline</w:t>
      </w:r>
    </w:p>
    <w:p>
      <w:pPr>
        <w:pStyle w:val="Heading2"/>
      </w:pPr>
      <w:r>
        <w:rPr>
          <w:rFonts w:ascii="Arial" w:cs="Arial" w:eastAsia="Arial" w:hAnsi="Arial"/>
          <w:b/>
          <w:bCs/>
          <w:color w:val="1B4F72"/>
          <w:sz w:val="26"/>
          <w:szCs w:val="26"/>
        </w:rPr>
        <w:t xml:space="preserve">5.1 Emotion Classification Deep Architecture</w:t>
      </w:r>
    </w:p>
    <w:p>
      <w:pPr>
        <w:spacing w:after="120"/>
      </w:pPr>
      <w:r>
        <w:rPr>
          <w:rFonts w:ascii="Arial" w:cs="Arial" w:eastAsia="Arial" w:hAnsi="Arial"/>
          <w:color w:val="1A1A1A"/>
          <w:sz w:val="22"/>
          <w:szCs w:val="22"/>
        </w:rPr>
        <w:t xml:space="preserve">The Emotion Engine operates as a real-time sentiment analysis pipeline that runs in parallel with the AI brain’s response generation. It does not merely classify the AI employee’s response into an emotion category; it produces a continuous, multi-dimensional emotion vector that drives nuanced, blended expressions.</w:t>
      </w:r>
    </w:p>
    <w:p>
      <w:pPr>
        <w:spacing w:after="120"/>
      </w:pPr>
      <w:r>
        <w:rPr>
          <w:rFonts w:ascii="Arial" w:cs="Arial" w:eastAsia="Arial" w:hAnsi="Arial"/>
          <w:color w:val="1A1A1A"/>
          <w:sz w:val="22"/>
          <w:szCs w:val="22"/>
        </w:rPr>
        <w:t xml:space="preserve">The emotion vector has eight dimensions, each ranging from 0.0 to 1.0: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0.0 Pole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1.0 Pole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Facial Manifestation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Vocal Manifestation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Valence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Negative/Concerned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Positive/Pleased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AU12 smile intensity, AU6 cheek raise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Pitch elevation, breathier quality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Arousal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Calm/Subdued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Energetic/Animated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Expression amplitude, gesture frequency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Speaking rate, volume, pitch variation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Dominance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Deferential/Soft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Authoritative/Confident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Head position (level vs. tilted), posture openness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stability, lower pitch, deliberate pacing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Warmth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Neutral/Professional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Warm/Personal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AU6+AU12 (warm smile), soft eye expression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Slight breathiness, warmer resonance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Engagement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Passive/Monitoring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Actively Engaged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Forward lean, eye contact intensity, nodding frequency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Responsive interjections, dynamic prosody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Concern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Unconcerned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Empathetically Concerned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AU1+AU4 (brow knit), AU15 (lip corner depressor)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Lower pitch, slower pace, gentler volume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Certainty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Uncertain/Hedging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Certain/Definitive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Steady gaze, firm expression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Even pace, declarative intonation, no uptalk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Focus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Broad/Conversational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Narrowly Analytical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AU4+AU7 (concentration), reference gaze downward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Measured pace, precise articulation, fewer filler patterns</w:t>
            </w:r>
          </w:p>
        </w:tc>
      </w:tr>
    </w:tbl>
    <w:p>
      <w:pPr>
        <w:spacing w:after="80"/>
      </w:pPr>
    </w:p>
    <w:p>
      <w:pPr>
        <w:spacing w:after="120"/>
      </w:pPr>
      <w:r>
        <w:rPr>
          <w:rFonts w:ascii="Arial" w:cs="Arial" w:eastAsia="Arial" w:hAnsi="Arial"/>
          <w:color w:val="1A1A1A"/>
          <w:sz w:val="22"/>
          <w:szCs w:val="22"/>
        </w:rPr>
        <w:t xml:space="preserve">The emotion vector is computed by a lightweight transformer model (DistilBERT-based, 66M parameters) that takes as input the AI brain’s response text, the conversation history (last 5 turns), the user’s detected emotional state (from their speech prosody and word choice), and the AI employee’s personality configuration. The model outputs the 8-dimensional emotion vector in under 5ms, fast enough to compute per-sentence within the response.</w:t>
      </w:r>
    </w:p>
    <w:p>
      <w:pPr>
        <w:spacing w:after="120"/>
      </w:pPr>
      <w:r>
        <w:rPr>
          <w:rFonts w:ascii="Arial" w:cs="Arial" w:eastAsia="Arial" w:hAnsi="Arial"/>
          <w:color w:val="1A1A1A"/>
          <w:sz w:val="22"/>
          <w:szCs w:val="22"/>
        </w:rPr>
        <w:t xml:space="preserve">The emotion vector is then mapped to FACS Action Unit activations using a learned mapping matrix (trained on 50,000 human video-emotion pairs from professional communication contexts). This mapping produces smooth, blended expressions that combine multiple emotional signals simultaneously. For example, an AI employee delivering bad news with empathy might produce: Valence=0.3, Warmth=0.8, Concern=0.7, Certainty=0.6 — resulting in a face that is slightly serious, warm, empathetic, and steady. This is far more nuanced and realistic than switching between discrete emotion states.</w:t>
      </w:r>
    </w:p>
    <w:p>
      <w:pPr>
        <w:pStyle w:val="Heading2"/>
      </w:pPr>
      <w:r>
        <w:rPr>
          <w:rFonts w:ascii="Arial" w:cs="Arial" w:eastAsia="Arial" w:hAnsi="Arial"/>
          <w:b/>
          <w:bCs/>
          <w:color w:val="1B4F72"/>
          <w:sz w:val="26"/>
          <w:szCs w:val="26"/>
        </w:rPr>
        <w:t xml:space="preserve">5.2 User Emotion Detection and Mirroring</w:t>
      </w:r>
    </w:p>
    <w:p>
      <w:pPr>
        <w:spacing w:after="120"/>
      </w:pPr>
      <w:r>
        <w:rPr>
          <w:rFonts w:ascii="Arial" w:cs="Arial" w:eastAsia="Arial" w:hAnsi="Arial"/>
          <w:color w:val="1A1A1A"/>
          <w:sz w:val="22"/>
          <w:szCs w:val="22"/>
        </w:rPr>
        <w:t xml:space="preserve">The Emotion Engine also analyzes the user’s emotional state from their speech and adapts the AI employee’s expression accordingly. This emotion mirroring is a key element of empathetic communication: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Signal</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Avatar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Frustrated tone (elevated pitch, rapid pace, sharp intonation)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Prosodic analysis of user audio (F0 tracking, speaking rate, spectral energy distribution)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shifts to higher Warmth (0.7–0.9), higher Concern (0.6–0.8), lower Arousal (0.3–0.4), signaling calm empathy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Confused tone (rising intonation, hesitation, fillers “um,” “uh”)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Filler detection, intonation pattern matching, pause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shifts to higher Engagement (0.8–0.9), adds reassuring nod, leans slightly forward, slows speaking pace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Happy/satisfied tone (higher pitch, faster pace, laughter)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Laughter detection, prosodic uplift pattern, positive lexical indicators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mirrors with higher Valence (0.7–0.9), higher Warmth (0.7–0.8), natural smile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Urgent tone (fast pace, elevated volume, imperative language)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Volume spike detection, pace acceleration, imperative verb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shifts to higher Arousal (0.6–0.8), higher Focus (0.7–0.9), more attentive posture, acknowledges urgency verbally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Neutral/businesslike tone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Steady pitch, moderate pace, no emotional markers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maintains Professional Neutral baseline with slight Engagement (0.5–0.6)</w:t>
            </w:r>
          </w:p>
        </w:tc>
      </w:tr>
    </w:tbl>
    <w:p>
      <w:pPr>
        <w:spacing w:after="80"/>
      </w:pPr>
    </w:p>
    <w:p>
      <w:pPr>
        <w:spacing w:after="120"/>
      </w:pPr>
      <w:r>
        <w:rPr>
          <w:rFonts w:ascii="Arial" w:cs="Arial" w:eastAsia="Arial" w:hAnsi="Arial"/>
          <w:color w:val="1A1A1A"/>
          <w:sz w:val="22"/>
          <w:szCs w:val="22"/>
        </w:rPr>
        <w:t xml:space="preserve">Emotion mirroring is calibrated to be subtle, not mimicry. The AI employee does not copy the user’s emotion but responds to it appropriately: meeting frustration with calm empathy (not matching the frustration), meeting confusion with patient clarity, meeting happiness with shared warmth. The mirroring response is computed within 100ms of detecting the user’s emotional shift and applied gradually over 300–500ms to avoid abrupt expression changes.</w:t>
      </w:r>
    </w:p>
    <w:p>
      <w:r>
        <w:br w:type="page"/>
      </w:r>
    </w:p>
    <w:p>
      <w:pPr>
        <w:pStyle w:val="Heading1"/>
      </w:pPr>
      <w:r>
        <w:rPr>
          <w:rFonts w:ascii="Arial" w:cs="Arial" w:eastAsia="Arial" w:hAnsi="Arial"/>
          <w:b/>
          <w:bCs/>
          <w:color w:val="1B4F72"/>
          <w:sz w:val="32"/>
          <w:szCs w:val="32"/>
        </w:rPr>
        <w:t xml:space="preserve">6. Expanded Conversation Synchronization — Temporal Coordination Engine</w:t>
      </w:r>
    </w:p>
    <w:p>
      <w:pPr>
        <w:pStyle w:val="Heading2"/>
      </w:pPr>
      <w:r>
        <w:rPr>
          <w:rFonts w:ascii="Arial" w:cs="Arial" w:eastAsia="Arial" w:hAnsi="Arial"/>
          <w:b/>
          <w:bCs/>
          <w:color w:val="1B4F72"/>
          <w:sz w:val="26"/>
          <w:szCs w:val="26"/>
        </w:rPr>
        <w:t xml:space="preserve">6.1 The Synchronization Clock</w:t>
      </w:r>
    </w:p>
    <w:p>
      <w:pPr>
        <w:spacing w:after="120"/>
      </w:pPr>
      <w:r>
        <w:rPr>
          <w:rFonts w:ascii="Arial" w:cs="Arial" w:eastAsia="Arial" w:hAnsi="Arial"/>
          <w:color w:val="1A1A1A"/>
          <w:sz w:val="22"/>
          <w:szCs w:val="22"/>
        </w:rPr>
        <w:t xml:space="preserve">All components of the avatar system synchronize against a shared Synchronization Clock. This clock is not a simple wall-clock timestamp but a high-resolution monotonic counter that advances in lockstep with the audio sample clock (48kHz). Every component in the pipeline tags its outputs with a sync timestamp, ensuring that audio, phoneme data, emotion data, animation commands, and video frames can be precisely aligned regardless of processing delays in individual components.</w:t>
      </w:r>
    </w:p>
    <w:p>
      <w:pPr>
        <w:spacing w:after="120"/>
      </w:pPr>
      <w:r>
        <w:rPr>
          <w:rFonts w:ascii="Arial" w:cs="Arial" w:eastAsia="Arial" w:hAnsi="Arial"/>
          <w:color w:val="1A1A1A"/>
          <w:sz w:val="22"/>
          <w:szCs w:val="22"/>
        </w:rPr>
        <w:t xml:space="preserve">The Synchronization Clock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Sync Method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Tolerance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Output (TTS)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sample counter is the master clock source; all other components sync to audio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 samples (master)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 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Phoneme timestamps are aligned to audio sample positions; viseme activation triggers at exact audio sample offsets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±1ms (48 samples)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Facial Expression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Expression changes are scheduled at sentence/clause boundaries identified in the TTS phoneme stream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±20ms (acceptable for expression changes, which are inherently gradual)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Gesture Animation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Gesture triggers are aligned to emphasis points in the audio stream, with a 50ms anticipation (gesture begins slightly before the emphasized word)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Video Frame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Each video frame is rendered to display the animation state corresponding to the audio samples being delivered in the same 33ms window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±16ms (half-frame)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Audio Capture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audio is timestamped at capture and the round-trip latency to the STT model is measured per-session for accurate response timing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±5ms</w:t>
            </w:r>
          </w:p>
        </w:tc>
      </w:tr>
    </w:tbl>
    <w:p>
      <w:pPr>
        <w:spacing w:after="80"/>
      </w:pPr>
    </w:p>
    <w:p>
      <w:pPr>
        <w:spacing w:after="120"/>
      </w:pPr>
      <w:r>
        <w:rPr>
          <w:rFonts w:ascii="Arial" w:cs="Arial" w:eastAsia="Arial" w:hAnsi="Arial"/>
          <w:color w:val="1A1A1A"/>
          <w:sz w:val="22"/>
          <w:szCs w:val="22"/>
        </w:rPr>
        <w:t xml:space="preserve">The sync clock compensates for network jitter between the server (where rendering and TTS occur) and the client (where the user sees/hears the avatar) using WebRTC’s built-in NTP-style clock synchronization. The video and audio streams are multiplexed in the WebRTC transport with synchronized RTP timestamps, ensuring the user’s browser reconstructs the audio-visual stream with lip sync accuracy better than 30ms.</w:t>
      </w:r>
    </w:p>
    <w:p>
      <w:pPr>
        <w:pStyle w:val="Heading2"/>
      </w:pPr>
      <w:r>
        <w:rPr>
          <w:rFonts w:ascii="Arial" w:cs="Arial" w:eastAsia="Arial" w:hAnsi="Arial"/>
          <w:b/>
          <w:bCs/>
          <w:color w:val="1B4F72"/>
          <w:sz w:val="26"/>
          <w:szCs w:val="26"/>
        </w:rPr>
        <w:t xml:space="preserve">6.2 Conversational Turn-Taking Protocol</w:t>
      </w:r>
    </w:p>
    <w:p>
      <w:pPr>
        <w:spacing w:after="120"/>
      </w:pPr>
      <w:r>
        <w:rPr>
          <w:rFonts w:ascii="Arial" w:cs="Arial" w:eastAsia="Arial" w:hAnsi="Arial"/>
          <w:color w:val="1A1A1A"/>
          <w:sz w:val="22"/>
          <w:szCs w:val="22"/>
        </w:rPr>
        <w:t xml:space="preserve">Natural conversation involves complex turn-taking dynamics that go beyond simple “one speaks, then the other speaks.” The NexusHR VX Conversational Turn-Taking Protocol manages these dynamics:</w:t>
      </w:r>
    </w:p>
    <w:p>
      <w:pPr>
        <w:spacing w:after="80"/>
      </w:pPr>
    </w:p>
    <w:p>
      <w:pPr>
        <w:spacing w:after="120"/>
      </w:pPr>
      <w:r>
        <w:rPr>
          <w:rFonts w:ascii="Arial" w:cs="Arial" w:eastAsia="Arial" w:hAnsi="Arial"/>
          <w:b/>
          <w:bCs/>
          <w:color w:val="1A1A1A"/>
          <w:sz w:val="22"/>
          <w:szCs w:val="22"/>
        </w:rPr>
        <w:t xml:space="preserve">End-of-Turn Detection: </w:t>
      </w:r>
      <w:r>
        <w:rPr>
          <w:rFonts w:ascii="Arial" w:cs="Arial" w:eastAsia="Arial" w:hAnsi="Arial"/>
          <w:color w:val="1A1A1A"/>
          <w:sz w:val="22"/>
          <w:szCs w:val="22"/>
        </w:rPr>
        <w:t xml:space="preserve">The system uses a multi-signal approach to detect when the user has finished speaking: voice activity detection (VAD) silence threshold (calibrated per user, default 600ms), prosodic turn-final cues (falling intonation, decreased speaking rate, lower volume at utterance end), syntactic completeness analysis (the transcribed text forms a grammatically complete utterance), and pragmatic completion signals (“what do you think?” “can you help?” “that’s all”). The system requires at least two of these four signals to agree before declaring end-of-turn, reducing premature responses during natural pauses within a user’s turn.</w:t>
      </w:r>
    </w:p>
    <w:p>
      <w:pPr>
        <w:spacing w:after="120"/>
      </w:pPr>
      <w:r>
        <w:rPr>
          <w:rFonts w:ascii="Arial" w:cs="Arial" w:eastAsia="Arial" w:hAnsi="Arial"/>
          <w:b/>
          <w:bCs/>
          <w:color w:val="1A1A1A"/>
          <w:sz w:val="22"/>
          <w:szCs w:val="22"/>
        </w:rPr>
        <w:t xml:space="preserve">Pre-Response Preparation: </w:t>
      </w:r>
      <w:r>
        <w:rPr>
          <w:rFonts w:ascii="Arial" w:cs="Arial" w:eastAsia="Arial" w:hAnsi="Arial"/>
          <w:color w:val="1A1A1A"/>
          <w:sz w:val="22"/>
          <w:szCs w:val="22"/>
        </w:rPr>
        <w:t xml:space="preserve">The AI brain begins processing the user’s input as soon as the first complete clause is transcribed, using speculative execution. By the time the user finishes their full turn, the AI brain has already partially generated the response. This speculative processing reduces perceived latency by 100–300ms.</w:t>
      </w:r>
    </w:p>
    <w:p>
      <w:pPr>
        <w:spacing w:after="120"/>
      </w:pPr>
      <w:r>
        <w:rPr>
          <w:rFonts w:ascii="Arial" w:cs="Arial" w:eastAsia="Arial" w:hAnsi="Arial"/>
          <w:b/>
          <w:bCs/>
          <w:color w:val="1A1A1A"/>
          <w:sz w:val="22"/>
          <w:szCs w:val="22"/>
        </w:rPr>
        <w:t xml:space="preserve">Overlap Management: </w:t>
      </w:r>
      <w:r>
        <w:rPr>
          <w:rFonts w:ascii="Arial" w:cs="Arial" w:eastAsia="Arial" w:hAnsi="Arial"/>
          <w:color w:val="1A1A1A"/>
          <w:sz w:val="22"/>
          <w:szCs w:val="22"/>
        </w:rPr>
        <w:t xml:space="preserve">If the user begins a new utterance while the AI employee is wrapping up a response (legitimate conversational overlap), the system handles both streams simultaneously: the AI employee completes its current sentence (not abruptly cutting off), while the user’s new input is transcribed and queued. The AI employee then seamlessly transitions to addressing the new input.</w:t>
      </w:r>
    </w:p>
    <w:p>
      <w:pPr>
        <w:spacing w:after="120"/>
      </w:pPr>
      <w:r>
        <w:rPr>
          <w:rFonts w:ascii="Arial" w:cs="Arial" w:eastAsia="Arial" w:hAnsi="Arial"/>
          <w:b/>
          <w:bCs/>
          <w:color w:val="1A1A1A"/>
          <w:sz w:val="22"/>
          <w:szCs w:val="22"/>
        </w:rPr>
        <w:t xml:space="preserve">Back-Channel Generation: </w:t>
      </w:r>
      <w:r>
        <w:rPr>
          <w:rFonts w:ascii="Arial" w:cs="Arial" w:eastAsia="Arial" w:hAnsi="Arial"/>
          <w:color w:val="1A1A1A"/>
          <w:sz w:val="22"/>
          <w:szCs w:val="22"/>
        </w:rPr>
        <w:t xml:space="preserve">While listening, the AI employee generates appropriate back-channel responses: verbal acknowledgments (“mm-hmm,” “I see,” “right”) delivered at natural intervals (every 3–7 seconds during extended user speech), synchronized with nodding animation and maintained eye contact. These back-channels are generated by a lightweight model separate from the main AI brain, ensuring they don’t interfere with response generation.</w:t>
      </w:r>
    </w:p>
    <w:p>
      <w:r>
        <w:br w:type="page"/>
      </w:r>
    </w:p>
    <w:p>
      <w:pPr>
        <w:pStyle w:val="Heading1"/>
      </w:pPr>
      <w:r>
        <w:rPr>
          <w:rFonts w:ascii="Arial" w:cs="Arial" w:eastAsia="Arial" w:hAnsi="Arial"/>
          <w:b/>
          <w:bCs/>
          <w:color w:val="1B4F72"/>
          <w:sz w:val="32"/>
          <w:szCs w:val="32"/>
        </w:rPr>
        <w:t xml:space="preserve">7. Avatar-to-AI Brain Interaction Architecture</w:t>
      </w:r>
    </w:p>
    <w:p>
      <w:pPr>
        <w:pStyle w:val="Heading2"/>
      </w:pPr>
      <w:r>
        <w:rPr>
          <w:rFonts w:ascii="Arial" w:cs="Arial" w:eastAsia="Arial" w:hAnsi="Arial"/>
          <w:b/>
          <w:bCs/>
          <w:color w:val="1B4F72"/>
          <w:sz w:val="26"/>
          <w:szCs w:val="26"/>
        </w:rPr>
        <w:t xml:space="preserve">7.1 The AI Brain — LLM Orchestration Layer</w:t>
      </w:r>
    </w:p>
    <w:p>
      <w:pPr>
        <w:spacing w:after="120"/>
      </w:pPr>
      <w:r>
        <w:rPr>
          <w:rFonts w:ascii="Arial" w:cs="Arial" w:eastAsia="Arial" w:hAnsi="Arial"/>
          <w:color w:val="1A1A1A"/>
          <w:sz w:val="22"/>
          <w:szCs w:val="22"/>
        </w:rPr>
        <w:t xml:space="preserve">The “AI brain” is the cognitive core of each AI employee. It is not a single LLM call but a sophisticated orchestration system that manages prompt assembly, model routing, tool invocation, memory retrieval, and response streaming. The AI brain receives processed inputs from the avatar system (transcribed speech, detected user emotion, conversation context) and produces structured outputs that drive the avatar system (response text, emotion tags, gesture annotations, tool invocations).</w:t>
      </w:r>
    </w:p>
    <w:p>
      <w:pPr>
        <w:spacing w:after="120"/>
      </w:pPr>
      <w:r>
        <w:rPr>
          <w:rFonts w:ascii="Arial" w:cs="Arial" w:eastAsia="Arial" w:hAnsi="Arial"/>
          <w:color w:val="1A1A1A"/>
          <w:sz w:val="22"/>
          <w:szCs w:val="22"/>
        </w:rPr>
        <w:t xml:space="preserve">The AI brain architecture consists of six interconnected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Latency Contribution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Prompt Assembler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Constructs the complete prompt for each LLM call by combining: system prompt (role definition, behavioral rules), personality configuration, conversation history (last N turns, dynamically windowed to fit context length), retrieved memory (relevant episodic and semantic memories from the vector store), user context (user’s name, role, recent interactions), company context (organization preferences, policies, data), tool descriptions (available tools with parameters), and the current user input with emotion metadata.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templating engine with dynamic token budgeting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5–10ms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Model Router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Selects the optimal LLM for each request based on task complexity, latency requirements, and cost optimization. Simple conversational responses route to faster/cheaper models (GPT-4o-mini, Claude Haiku). Complex analytical tasks, multi-step reasoning, or high-stakes communications route to premium models (GPT-4o, Claude Opus). The router uses a decision tree trained on 100,000 labeled request-complexity pairs.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routing engine with model performance profiles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Streaming Response Generator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Initiates the LLM call with streaming enabled and begins forwarding response tokens to the TTS pipeline as soon as the first complete sentence is generated. Applies response formatting rules (removing markdown artifacts, converting structured data to natural speech phrasing for voice delivery while preserving formatting for chat display).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LLM streaming API clients (OpenAI, Anthropic, Google), custom token-to-sentence buffering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200–600ms to first sentence (model-dependent)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 Invocation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the LLM response includes a tool invocation (function call), the engine pauses response streaming, executes the tool call through the Task Execution Layer, retrieves the result, and injects it into the ongoing LLM generation context. For parallel tool calls, multiple invocations execute concurrently.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function calling framework, async tool execution, result injection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100ms–30s (depends on tool and external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Memory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Before each LLM call, retrieves relevant memories: short-term (current conversation summary, last 3 interactions), medium-term (key facts about the user learned in the last 30 days), and long-term (organizational knowledge, policies, historical patterns). After each conversation, extracts and stores new memories for future retrieval.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Vector similarity search (Pinecone/Weaviate), importance scoring, memory consolidation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20–50ms (retrieval), async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Metadata Generator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Alongside the text response, generates structured metadata: emotion vector (8 dimensions), gesture annotations (keyed to text positions), confidence score (how certain the AI employee is in its response), follow-up suggestions (predicted user questions), and task status updates.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Post-processing classifier operating on LLM output tokens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5–10ms (runs in parallel with TTS)</w:t>
            </w:r>
          </w:p>
        </w:tc>
      </w:tr>
    </w:tbl>
    <w:p>
      <w:pPr>
        <w:spacing w:after="80"/>
      </w:pPr>
    </w:p>
    <w:p>
      <w:pPr>
        <w:pStyle w:val="Heading2"/>
      </w:pPr>
      <w:r>
        <w:rPr>
          <w:rFonts w:ascii="Arial" w:cs="Arial" w:eastAsia="Arial" w:hAnsi="Arial"/>
          <w:b/>
          <w:bCs/>
          <w:color w:val="1B4F72"/>
          <w:sz w:val="26"/>
          <w:szCs w:val="26"/>
        </w:rPr>
        <w:t xml:space="preserve">7.2 Bidirectional Data Flow</w:t>
      </w:r>
    </w:p>
    <w:p>
      <w:pPr>
        <w:spacing w:after="120"/>
      </w:pPr>
      <w:r>
        <w:rPr>
          <w:rFonts w:ascii="Arial" w:cs="Arial" w:eastAsia="Arial" w:hAnsi="Arial"/>
          <w:color w:val="1A1A1A"/>
          <w:sz w:val="22"/>
          <w:szCs w:val="22"/>
        </w:rPr>
        <w:t xml:space="preserve">The avatar system and the AI brain communicate through a bidirectional data flow that operates continuously during every session:</w:t>
      </w:r>
    </w:p>
    <w:p>
      <w:pPr>
        <w:spacing w:after="80"/>
      </w:pPr>
    </w:p>
    <w:p>
      <w:pPr>
        <w:pStyle w:val="Heading3"/>
      </w:pPr>
      <w:r>
        <w:rPr>
          <w:rFonts w:ascii="Arial" w:cs="Arial" w:eastAsia="Arial" w:hAnsi="Arial"/>
          <w:b/>
          <w:bCs/>
          <w:color w:val="333333"/>
          <w:sz w:val="22"/>
          <w:szCs w:val="22"/>
        </w:rPr>
        <w:t xml:space="preserve">Avatar → AI Brain (Input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Transcribed Speech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Speech Recognition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 string with word-level timestamps and confidence scores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Streaming (every 100–300ms as words are recognized)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Emotion 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Emotion Engine (user-side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8-dimensional emotion vector + primary emotion label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Per-utterance (updated when user emotion shifts)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Engagement 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Gaze tracking (if camera enabled), speech activity, interaction frequency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Float 0.0–1.0 (disengaged to highly engaged)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5 seconds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duration, topics discussed, tasks performed, pending items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Per-turn update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 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 Execution 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Structured JSON with retrieved data, action confirmations, error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Per-tool-invocation</w:t>
            </w:r>
          </w:p>
        </w:tc>
      </w:tr>
    </w:tbl>
    <w:p>
      <w:pPr>
        <w:spacing w:after="80"/>
      </w:pPr>
    </w:p>
    <w:p>
      <w:pPr>
        <w:pStyle w:val="Heading3"/>
      </w:pPr>
      <w:r>
        <w:rPr>
          <w:rFonts w:ascii="Arial" w:cs="Arial" w:eastAsia="Arial" w:hAnsi="Arial"/>
          <w:b/>
          <w:bCs/>
          <w:color w:val="333333"/>
          <w:sz w:val="22"/>
          <w:szCs w:val="22"/>
        </w:rPr>
        <w:t xml:space="preserve">AI Brain → Avatar (Output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Synthesis Engine (TTS) + Chat Interface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Streaming text tokens, sentence-chunked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Streaming (token-by-token from LLM)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Emotion Vector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Emotion Engine → Expression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8-dimensional float vector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Per-sentence in 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Gesture Annotations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Gesture Engine → Animation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Gesture type + text anchor position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Per-clause in response (2–5 per 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Tool Invocations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 Execution 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Function name + parameters +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 needed during response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 Transitions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Animation State Machine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Target state (SPEAKING, PERFORMING_TASK, etc.)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 response boundaries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Follow-Up Prompts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Chat Interface (Quick Reply suggestions)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Array of 2–4 suggested user responses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 end of each response</w:t>
            </w:r>
          </w:p>
        </w:tc>
      </w:tr>
    </w:tbl>
    <w:p>
      <w:r>
        <w:br w:type="page"/>
      </w:r>
    </w:p>
    <w:p>
      <w:pPr>
        <w:pStyle w:val="Heading1"/>
      </w:pPr>
      <w:r>
        <w:rPr>
          <w:rFonts w:ascii="Arial" w:cs="Arial" w:eastAsia="Arial" w:hAnsi="Arial"/>
          <w:b/>
          <w:bCs/>
          <w:color w:val="1B4F72"/>
          <w:sz w:val="32"/>
          <w:szCs w:val="32"/>
        </w:rPr>
        <w:t xml:space="preserve">8. How Companies Choose Avatar Appearance</w:t>
      </w:r>
    </w:p>
    <w:p>
      <w:pPr>
        <w:pStyle w:val="Heading2"/>
      </w:pPr>
      <w:r>
        <w:rPr>
          <w:rFonts w:ascii="Arial" w:cs="Arial" w:eastAsia="Arial" w:hAnsi="Arial"/>
          <w:b/>
          <w:bCs/>
          <w:color w:val="1B4F72"/>
          <w:sz w:val="26"/>
          <w:szCs w:val="26"/>
        </w:rPr>
        <w:t xml:space="preserve">8.1 The Avatar Studio Interface</w:t>
      </w:r>
    </w:p>
    <w:p>
      <w:pPr>
        <w:spacing w:after="120"/>
      </w:pPr>
      <w:r>
        <w:rPr>
          <w:rFonts w:ascii="Arial" w:cs="Arial" w:eastAsia="Arial" w:hAnsi="Arial"/>
          <w:color w:val="1A1A1A"/>
          <w:sz w:val="22"/>
          <w:szCs w:val="22"/>
        </w:rPr>
        <w:t xml:space="preserve">The Avatar Studio is the dedicated interface within NexusHR VX where companies design the visual and vocal identity of each AI employee. It is accessed during the hiring process (when a new AI employee is being configured) and from the AI Employee Management dashboard (for post-deployment customization). The Avatar Studio is designed to be intuitive for non-technical users while providing deep customization for enterprise brand teams.</w:t>
      </w:r>
    </w:p>
    <w:p>
      <w:pPr>
        <w:spacing w:after="120"/>
      </w:pPr>
      <w:r>
        <w:rPr>
          <w:rFonts w:ascii="Arial" w:cs="Arial" w:eastAsia="Arial" w:hAnsi="Arial"/>
          <w:color w:val="1A1A1A"/>
          <w:sz w:val="22"/>
          <w:szCs w:val="22"/>
        </w:rPr>
        <w:t xml:space="preserve">The Avatar Studio presents a real-time 3D preview of the avatar on the left side of the screen, with configuration panels on the right. Every parameter change updates the preview instantly, allowing the user to see exactly how their AI employee will appear before finalizing the design.</w:t>
      </w:r>
    </w:p>
    <w:p>
      <w:pPr>
        <w:pStyle w:val="Heading2"/>
      </w:pPr>
      <w:r>
        <w:rPr>
          <w:rFonts w:ascii="Arial" w:cs="Arial" w:eastAsia="Arial" w:hAnsi="Arial"/>
          <w:b/>
          <w:bCs/>
          <w:color w:val="1B4F72"/>
          <w:sz w:val="26"/>
          <w:szCs w:val="26"/>
        </w:rPr>
        <w:t xml:space="preserve">8.2 Gender Selection</w:t>
      </w:r>
    </w:p>
    <w:p>
      <w:pPr>
        <w:spacing w:after="120"/>
      </w:pPr>
      <w:r>
        <w:rPr>
          <w:rFonts w:ascii="Arial" w:cs="Arial" w:eastAsia="Arial" w:hAnsi="Arial"/>
          <w:color w:val="1A1A1A"/>
          <w:sz w:val="22"/>
          <w:szCs w:val="22"/>
        </w:rPr>
        <w:t xml:space="preserve">The Avatar Studio provides four gender presentation options, each affecting the avatar’s facial structure, body proportions, voice range, and default attire options: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Facial Characteristics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Body Proportions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Voice Range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 Attire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Broader jaw, more prominent brow ridge, larger nose, wider facial proportions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Broader shoulders, larger hands, more defined musculature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Baritone to tenor (85–165 Hz F0 range)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Suits, dress shirts, polos, scrubs, lab coats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Female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Softer jaw, higher cheekbones, smaller nose, more rounded facial proportions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Narrower shoulders, smaller hands, varied body types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Alto to soprano (165–255 Hz F0 range)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Blouses, blazers, dresses, scrubs, lab coats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Non-Binary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Blended characteristics from both male and female parameter spaces, configurable along a continuum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Blended proportions, adjustable along masculinity/femininity continuum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range (85–255 Hz F0), typically mid-range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Gender-neutral options: crew necks, blazers, button-downs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manual control over every facial parameter (jaw width, brow prominence, cheekbone height, etc.)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manual body proportion control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voice range, any voice identity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attire options available regardless of selection</w:t>
            </w:r>
          </w:p>
        </w:tc>
      </w:tr>
    </w:tbl>
    <w:p>
      <w:pPr>
        <w:pStyle w:val="Heading2"/>
      </w:pPr>
      <w:r>
        <w:rPr>
          <w:rFonts w:ascii="Arial" w:cs="Arial" w:eastAsia="Arial" w:hAnsi="Arial"/>
          <w:b/>
          <w:bCs/>
          <w:color w:val="1B4F72"/>
          <w:sz w:val="26"/>
          <w:szCs w:val="26"/>
        </w:rPr>
        <w:t xml:space="preserve">8.3 Ethnicity and Skin Tone Selection</w:t>
      </w:r>
    </w:p>
    <w:p>
      <w:pPr>
        <w:spacing w:after="120"/>
      </w:pPr>
      <w:r>
        <w:rPr>
          <w:rFonts w:ascii="Arial" w:cs="Arial" w:eastAsia="Arial" w:hAnsi="Arial"/>
          <w:color w:val="1A1A1A"/>
          <w:sz w:val="22"/>
          <w:szCs w:val="22"/>
        </w:rPr>
        <w:t xml:space="preserve">The Avatar Studio provides ethnicity selection with a strong emphasis on respectful, accurate representation. The system does not reduce ethnicity to a single stereotypical appearance but provides a range of natural variation within each ethnic group: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Ethnicity Group</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Facial Structure Variations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Skin Tone Range (Fitzpatrick)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Hair Texture Defaults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East Asian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facial structure presets with variation in eye shape (monolid, partial fold, full double eyelid), nose bridge height, cheekbone prominence, jaw angle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Straight to wavy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South Asian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presets with variation in nose width, lip fullness, brow density, jaw definition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III–VI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Straight to wavy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Southeast Asian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presets with variation in nose shape, cheekbone width, lip fullness, eye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Straight to wavy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African / Afro-Caribbean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presets with variation in nose width, lip fullness, jaw shape, forehead height, cheekbone position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IV–VI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Coily, curly, locs, relaxed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European (Northern)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presets with variation in nose length, jaw width, brow position, face length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I–III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Straight to wavy, wide color range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European (Southern/Mediterranean)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presets with variation in nose shape, brow density, lip fullness, facial hair density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Wavy to curly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Middle Eastern / North African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presets with variation in nose profile, brow density, jaw definition, lip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Straight to curly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Latin American / Hispanic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presets reflecting the full diversity of Latin American heritage, with variation across all facial parameters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I–VI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textures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Indigenous / First Nations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presets with variation in cheekbone prominence, nose width, jaw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Straight to wavy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Pacific Islander / Polynesian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presets with variation in facial width, nose shape, lip fullness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III–V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Wavy to curly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Blended / Multi-Ethnic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Slider-based blending between any two ethnicity groups, producing naturally blended facial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range I–VI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textures</w:t>
            </w:r>
          </w:p>
        </w:tc>
      </w:tr>
    </w:tbl>
    <w:p>
      <w:pPr>
        <w:spacing w:after="80"/>
      </w:pPr>
    </w:p>
    <w:p>
      <w:pPr>
        <w:spacing w:after="120"/>
      </w:pPr>
      <w:r>
        <w:rPr>
          <w:rFonts w:ascii="Arial" w:cs="Arial" w:eastAsia="Arial" w:hAnsi="Arial"/>
          <w:color w:val="1A1A1A"/>
          <w:sz w:val="22"/>
          <w:szCs w:val="22"/>
        </w:rPr>
        <w:t xml:space="preserve">Within each ethnicity selection, users can further adjust individual facial features using sliders. The system prevents unrealistic combinations by applying soft constraints: adjustments that would produce anatomically implausible features are gently resisted with visual feedback showing the realistic range. The skin tone selector provides a continuous gradient within the Fitzpatrick range for the selected ethnicity, with real-time rendering updates showing how the selected tone interacts with the lighting environment.</w:t>
      </w:r>
    </w:p>
    <w:p>
      <w:pPr>
        <w:pStyle w:val="Heading2"/>
      </w:pPr>
      <w:r>
        <w:rPr>
          <w:rFonts w:ascii="Arial" w:cs="Arial" w:eastAsia="Arial" w:hAnsi="Arial"/>
          <w:b/>
          <w:bCs/>
          <w:color w:val="1B4F72"/>
          <w:sz w:val="26"/>
          <w:szCs w:val="26"/>
        </w:rPr>
        <w:t xml:space="preserve">8.4 Age Selection and Aging Parameters</w:t>
      </w:r>
    </w:p>
    <w:p>
      <w:pPr>
        <w:spacing w:after="120"/>
      </w:pPr>
      <w:r>
        <w:rPr>
          <w:rFonts w:ascii="Arial" w:cs="Arial" w:eastAsia="Arial" w:hAnsi="Arial"/>
          <w:color w:val="1A1A1A"/>
          <w:sz w:val="22"/>
          <w:szCs w:val="22"/>
        </w:rPr>
        <w:t xml:space="preserve">Age selection operates on a continuous slider from 22 to 65, with visual effects applied progressively: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 Effects Applied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Voice Adjustment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Professional Perception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22–28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Smooth skin, minimal texture detail, fuller facial volume, bright eye clarity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Higher pitch range, more energetic default prosody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Junior professional, energetic, approachable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29–35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Subtle forehead lines beginning, slight nasolabial definition, mature skin texture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Settled pitch, confident pacing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Mid-career professional, competent, reliable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Defined expression lines (forehead, crow’s feet, nasolabial), slightly reduced facial volume, mature skin pores visible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Lower pitch center, authoritative cadence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Senior professional, experienced, authoritative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46–55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Deeper expression lines, visible jowl definition, skin texture maturation, possible gray hair introduction (configurable)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Deeper resonance, measured pacing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Executive presence, gravitas, seasoned expertise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56–65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Prominent expression lines, relaxed skin elasticity, visible neck lines, substantial gray/white hair option, crow’s feet depth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Lower register, deliberate pacing, warm resonance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Elder authority, wisdom, institutional knowledge</w:t>
            </w:r>
          </w:p>
        </w:tc>
      </w:tr>
    </w:tbl>
    <w:p>
      <w:pPr>
        <w:spacing w:after="80"/>
      </w:pPr>
    </w:p>
    <w:p>
      <w:pPr>
        <w:spacing w:after="120"/>
      </w:pPr>
      <w:r>
        <w:rPr>
          <w:rFonts w:ascii="Arial" w:cs="Arial" w:eastAsia="Arial" w:hAnsi="Arial"/>
          <w:color w:val="1A1A1A"/>
          <w:sz w:val="22"/>
          <w:szCs w:val="22"/>
        </w:rPr>
        <w:t xml:space="preserve">Age-related changes are applied through a combination of blendshape offsets (for line depth and facial volume changes), texture swaps (for skin detail progression), and material parameter adjustments (for skin elasticity and specular changes). The aging system was trained on a dataset of 10,000 face photographs per decade, ensuring that aging effects are ethnicity-appropriate and avoid stereotypical aging patterns that may not apply uniformly across all demographics.</w:t>
      </w:r>
    </w:p>
    <w:p>
      <w:pPr>
        <w:pStyle w:val="Heading2"/>
      </w:pPr>
      <w:r>
        <w:rPr>
          <w:rFonts w:ascii="Arial" w:cs="Arial" w:eastAsia="Arial" w:hAnsi="Arial"/>
          <w:b/>
          <w:bCs/>
          <w:color w:val="1B4F72"/>
          <w:sz w:val="26"/>
          <w:szCs w:val="26"/>
        </w:rPr>
        <w:t xml:space="preserve">8.5 Professional Style and Attire Configuration</w:t>
      </w:r>
    </w:p>
    <w:p>
      <w:pPr>
        <w:spacing w:after="120"/>
      </w:pPr>
      <w:r>
        <w:rPr>
          <w:rFonts w:ascii="Arial" w:cs="Arial" w:eastAsia="Arial" w:hAnsi="Arial"/>
          <w:color w:val="1A1A1A"/>
          <w:sz w:val="22"/>
          <w:szCs w:val="22"/>
        </w:rPr>
        <w:t xml:space="preserve">Attire selection is organized into seven professional style categories, each containing curated outfit options appropriate for the business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Style Category</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Outfit Options (Examples)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Color Configuration</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Accessories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Recommended For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Corporate Formal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Two-piece suit, three-piece suit, formal dress with blazer, power suit, tailored jacket with coordinated trousers/skirt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color (jacket), secondary color (shirt/blouse), accent color (tie/scarf). Full color picker + brand color import.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 tie clip, cufflinks, pearl necklace, watch, statement 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Finance, Legal, Executive, Enterprise Sales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Business Casual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Blazer with chinos, button-down with slacks, cardigan with dress shirt, blouse with tailored pants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secondary colors. Patterns available: solid, pinstripe, subtle check.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Watch, simple jewelry, lanyard/badge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Marketing, HR, Operations, Mid-Market Sales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Smart Casual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Polo shirt, crew-neck sweater, casual blazer, henley with chinos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secondary. Muted palettes available.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Watch, minimal jewelry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Tech companies, Startups, Creative agencies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Technical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Hoodie with zip, tech company polo, casual button-down, fleece vest over dress shirt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Brand colors or neutral tones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Badge, headphones (around neck), watch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Technical Support, Engineering, IT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Medical/Clinical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Lab coat over dress shirt, scrubs (multiple colors), medical tunic, clinical jacket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Scrub colors: teal, navy, ceil blue, wine, black, hunter green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Stethoscope, badge, pen in pocket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Healthcare roles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Legal/Judicial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Dark suit with conservative tie/blouse, judicial-style robe (not recommended for general use), formal attire in navy/charcoal/black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Muted: navy, charcoal, black, white, burgundy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Lapel pin, conservative watch, pearl earrings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Legal, Compliance, Regulatory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Asymmetric blazer, turtleneck, artistic blouse, statement jacket, bold patterns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spectrum including bold colors, patterns, and artistic combinations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Statement jewelry, distinctive glasses, scarves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Creative agencies, Design, Entertainment, Media</w:t>
            </w:r>
          </w:p>
        </w:tc>
      </w:tr>
    </w:tbl>
    <w:p>
      <w:pPr>
        <w:spacing w:after="80"/>
      </w:pPr>
    </w:p>
    <w:p>
      <w:pPr>
        <w:spacing w:after="120"/>
      </w:pPr>
      <w:r>
        <w:rPr>
          <w:rFonts w:ascii="Arial" w:cs="Arial" w:eastAsia="Arial" w:hAnsi="Arial"/>
          <w:color w:val="1A1A1A"/>
          <w:sz w:val="22"/>
          <w:szCs w:val="22"/>
        </w:rPr>
        <w:t xml:space="preserve">Enterprise customers on the Branding tier can upload their company’s brand guidelines, and the Avatar Studio will generate custom attire options featuring company colors, logo placement (lapel pin, badge, or subtle branding on clothing), and style-guide-compliant color combinations. A brand compliance checker validates that generated outfits align with the uploaded guidelines before presenting them as options.</w:t>
      </w:r>
    </w:p>
    <w:p>
      <w:pPr>
        <w:pStyle w:val="Heading2"/>
      </w:pPr>
      <w:r>
        <w:rPr>
          <w:rFonts w:ascii="Arial" w:cs="Arial" w:eastAsia="Arial" w:hAnsi="Arial"/>
          <w:b/>
          <w:bCs/>
          <w:color w:val="1B4F72"/>
          <w:sz w:val="26"/>
          <w:szCs w:val="26"/>
        </w:rPr>
        <w:t xml:space="preserve">8.6 Voice Type Selection</w:t>
      </w:r>
    </w:p>
    <w:p>
      <w:pPr>
        <w:spacing w:after="120"/>
      </w:pPr>
      <w:r>
        <w:rPr>
          <w:rFonts w:ascii="Arial" w:cs="Arial" w:eastAsia="Arial" w:hAnsi="Arial"/>
          <w:color w:val="1A1A1A"/>
          <w:sz w:val="22"/>
          <w:szCs w:val="22"/>
        </w:rPr>
        <w:t xml:space="preserve">Voice selection in the Avatar Studio operates alongside visual customization, ensuring the voice matches the avatar’s visual identity. The voice selection interface provides: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Selection Method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Available Options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Gallery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Browse and audition pre-curated voice identities organized by gender, age range, accent, and tonal quality. Each voice plays a 15-second professional sample. Filters: gender (male, female, neutral), age (young, mid, mature, senior), accent (American, British, Australian, Indian, European, etc.), tone (warm, authoritative, energetic, calm, friendly, professional).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250+ pre-curated voices from ElevenLabs library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Matching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system suggests 5–10 voice identities that perceptually match the avatar’s visual appearance based on research on voice-face congruence. A 35-year-old female avatar with warm features is matched with warm, mid-range female voices; a 50-year-old male avatar with strong features is matched with deeper, authoritative male voices.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Algorithmically selected subset of full library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 Description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user describes the desired voice in natural language: “A professional female voice in her 40s, American accent with a slight Southern warmth, calm and reassuring.” ElevenLabs Voice Design generates 3–5 candidates matching the description.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Generated on-demand (10–30 seconds per candidate)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Clone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 customers upload 30+ minutes of reference audio from a real speaker. ElevenLabs Professional Voice Cloning creates a custom voice identity. Used for branded company voices or to match a specific spokesperson’s voice. Requires written consent from the voice 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(2–4 hour generation, one-time)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Fine-Tuning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After selecting a base voice, users adjust three parameters: Pitch Shift (±2 semitones to raise/lower without quality loss), Speed Adjustment (±20% pace modification), and Warmth Slider (adjusts ElevenLabs similarity_boost to shift between analytical/neutral and warm/personable).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Applied to any selected voice</w:t>
            </w:r>
          </w:p>
        </w:tc>
      </w:tr>
    </w:tbl>
    <w:p>
      <w:r>
        <w:br w:type="page"/>
      </w:r>
    </w:p>
    <w:p>
      <w:pPr>
        <w:pStyle w:val="Heading1"/>
      </w:pPr>
      <w:r>
        <w:rPr>
          <w:rFonts w:ascii="Arial" w:cs="Arial" w:eastAsia="Arial" w:hAnsi="Arial"/>
          <w:b/>
          <w:bCs/>
          <w:color w:val="1B4F72"/>
          <w:sz w:val="32"/>
          <w:szCs w:val="32"/>
        </w:rPr>
        <w:t xml:space="preserve">9. Architecture for Large-Scale Deployment</w:t>
      </w:r>
    </w:p>
    <w:p>
      <w:pPr>
        <w:pStyle w:val="Heading2"/>
      </w:pPr>
      <w:r>
        <w:rPr>
          <w:rFonts w:ascii="Arial" w:cs="Arial" w:eastAsia="Arial" w:hAnsi="Arial"/>
          <w:b/>
          <w:bCs/>
          <w:color w:val="1B4F72"/>
          <w:sz w:val="26"/>
          <w:szCs w:val="26"/>
        </w:rPr>
        <w:t xml:space="preserve">9.1 Global Infrastructure Topology</w:t>
      </w:r>
    </w:p>
    <w:p>
      <w:pPr>
        <w:spacing w:after="120"/>
      </w:pPr>
      <w:r>
        <w:rPr>
          <w:rFonts w:ascii="Arial" w:cs="Arial" w:eastAsia="Arial" w:hAnsi="Arial"/>
          <w:color w:val="1A1A1A"/>
          <w:sz w:val="22"/>
          <w:szCs w:val="22"/>
        </w:rPr>
        <w:t xml:space="preserve">NexusHR VX is designed to serve millions of AI employee interactions per day across a globally distributed infrastructure. The deployment architecture follows a multi-region, edge-optimized topology: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Infrastructure Tier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Edge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WebRTC media relay, audio/video stream optimization, user connection termination, latency-sensitive packet routing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edge locations globally via anycast, co-located with major cloud provider PoPs (AWS CloudFront, GCP Cloud CDN)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TURN/STUN servers (coturn), media relay proxies, TCP/UDP optimization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Regional Compute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GPU rendering (avatar video generation), TTS processing, STT processing, LLM inference for standard models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primary regions: US-East, US-West, EU-West (Ireland), EU-Central (Frankfurt), AP-South (Mumbai), AP-Northeast (Tokyo). 4 secondary regions: SA-East (São Paulo), ME-South (Bahrain), AP-Southeast (Singapore), AU-East (Sydney)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Kubernetes clusters with GPU node pools (NVIDIA A100/H100), auto-scaling groups, spot/preemptible instances for cost optimization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Central Compute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LLM inference for premium models (GPT-4o, Claude Opus), workflow orchestration, complex multi-agent coordination, batch processing, 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primary regions: US-East, EU-West. Failover to secondary regions.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High-memory compute instances, dedicated LLM inference servers, Temporal workflow clusters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Tier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Persistent storage, event streaming, search/analytics, credential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Each primary region has a complete data tier instance. Cross-region replication for disaster recovery.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(Citus for sharding), Redis Cluster, Apache Kafka, Elasticsearch, Pinecone (vector DB), HashiCorp Vault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Control Plane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Service discovery, configuration management, deployment orchestration, monitoring, alerting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Multi-region active-active with consensus-based leader election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Kubernetes control plane, Consul (service mesh), Terraform (IaC), Prometheus/Grafana (monitoring), PagerDuty (alerting)</w:t>
            </w:r>
          </w:p>
        </w:tc>
      </w:tr>
    </w:tbl>
    <w:p>
      <w:pPr>
        <w:spacing w:after="80"/>
      </w:pPr>
    </w:p>
    <w:p>
      <w:pPr>
        <w:pStyle w:val="Heading2"/>
      </w:pPr>
      <w:r>
        <w:rPr>
          <w:rFonts w:ascii="Arial" w:cs="Arial" w:eastAsia="Arial" w:hAnsi="Arial"/>
          <w:b/>
          <w:bCs/>
          <w:color w:val="1B4F72"/>
          <w:sz w:val="26"/>
          <w:szCs w:val="26"/>
        </w:rPr>
        <w:t xml:space="preserve">9.2 Session Routing and Placement</w:t>
      </w:r>
    </w:p>
    <w:p>
      <w:pPr>
        <w:spacing w:after="120"/>
      </w:pPr>
      <w:r>
        <w:rPr>
          <w:rFonts w:ascii="Arial" w:cs="Arial" w:eastAsia="Arial" w:hAnsi="Arial"/>
          <w:color w:val="1A1A1A"/>
          <w:sz w:val="22"/>
          <w:szCs w:val="22"/>
        </w:rPr>
        <w:t xml:space="preserve">When a user initiates an interaction with an AI employee, the Session Router determines the optimal infrastructure placement for that session:</w:t>
      </w:r>
    </w:p>
    <w:p>
      <w:pPr>
        <w:spacing w:after="80"/>
      </w:pPr>
    </w:p>
    <w:p>
      <w:pPr>
        <w:spacing w:after="120"/>
      </w:pPr>
      <w:r>
        <w:rPr>
          <w:rFonts w:ascii="Arial" w:cs="Arial" w:eastAsia="Arial" w:hAnsi="Arial"/>
          <w:b/>
          <w:bCs/>
          <w:color w:val="1A1A1A"/>
          <w:sz w:val="22"/>
          <w:szCs w:val="22"/>
        </w:rPr>
        <w:t xml:space="preserve">Step 1 — Geographic Proximity: </w:t>
      </w:r>
      <w:r>
        <w:rPr>
          <w:rFonts w:ascii="Arial" w:cs="Arial" w:eastAsia="Arial" w:hAnsi="Arial"/>
          <w:color w:val="1A1A1A"/>
          <w:sz w:val="22"/>
          <w:szCs w:val="22"/>
        </w:rPr>
        <w:t xml:space="preserve">The user’s geographic location is determined from their IP address and WebRTC connection metadata. The nearest edge location is selected for media relay.</w:t>
      </w:r>
    </w:p>
    <w:p>
      <w:pPr>
        <w:spacing w:after="120"/>
      </w:pPr>
      <w:r>
        <w:rPr>
          <w:rFonts w:ascii="Arial" w:cs="Arial" w:eastAsia="Arial" w:hAnsi="Arial"/>
          <w:b/>
          <w:bCs/>
          <w:color w:val="1A1A1A"/>
          <w:sz w:val="22"/>
          <w:szCs w:val="22"/>
        </w:rPr>
        <w:t xml:space="preserve">Step 2 — Region Selection: </w:t>
      </w:r>
      <w:r>
        <w:rPr>
          <w:rFonts w:ascii="Arial" w:cs="Arial" w:eastAsia="Arial" w:hAnsi="Arial"/>
          <w:color w:val="1A1A1A"/>
          <w:sz w:val="22"/>
          <w:szCs w:val="22"/>
        </w:rPr>
        <w:t xml:space="preserve">The nearest regional compute tier is selected for GPU rendering, TTS, and STT processing. If the nearest region is at capacity (GPU utilization &gt;85%), the next-nearest region with available capacity is selected, adding 10–40ms of additional latency.</w:t>
      </w:r>
    </w:p>
    <w:p>
      <w:pPr>
        <w:spacing w:after="120"/>
      </w:pPr>
      <w:r>
        <w:rPr>
          <w:rFonts w:ascii="Arial" w:cs="Arial" w:eastAsia="Arial" w:hAnsi="Arial"/>
          <w:b/>
          <w:bCs/>
          <w:color w:val="1A1A1A"/>
          <w:sz w:val="22"/>
          <w:szCs w:val="22"/>
        </w:rPr>
        <w:t xml:space="preserve">Step 3 — GPU Slot Allocation: </w:t>
      </w:r>
      <w:r>
        <w:rPr>
          <w:rFonts w:ascii="Arial" w:cs="Arial" w:eastAsia="Arial" w:hAnsi="Arial"/>
          <w:color w:val="1A1A1A"/>
          <w:sz w:val="22"/>
          <w:szCs w:val="22"/>
        </w:rPr>
        <w:t xml:space="preserve">Within the selected region, the GPU Scheduler allocates a GPU slot for the avatar rendering pipeline. If the AI employee’s Avatar Identity Package is already cached on a GPU node (hot cache), that node is preferred. If not, the AIP is loaded from regional object storage (cold start: 500ms–2 seconds for a 150MB AIP).</w:t>
      </w:r>
    </w:p>
    <w:p>
      <w:pPr>
        <w:spacing w:after="120"/>
      </w:pPr>
      <w:r>
        <w:rPr>
          <w:rFonts w:ascii="Arial" w:cs="Arial" w:eastAsia="Arial" w:hAnsi="Arial"/>
          <w:b/>
          <w:bCs/>
          <w:color w:val="1A1A1A"/>
          <w:sz w:val="22"/>
          <w:szCs w:val="22"/>
        </w:rPr>
        <w:t xml:space="preserve">Step 4 — Service Mesh Assembly: </w:t>
      </w:r>
      <w:r>
        <w:rPr>
          <w:rFonts w:ascii="Arial" w:cs="Arial" w:eastAsia="Arial" w:hAnsi="Arial"/>
          <w:color w:val="1A1A1A"/>
          <w:sz w:val="22"/>
          <w:szCs w:val="22"/>
        </w:rPr>
        <w:t xml:space="preserve">The session’s microservice ensemble is assembled: STT endpoint, LLM routing endpoint, TTS endpoint, avatar rendering endpoint, tool execution endpoint. All endpoints are resolved via the Consul service mesh with health-checked instances.</w:t>
      </w:r>
    </w:p>
    <w:p>
      <w:pPr>
        <w:spacing w:after="120"/>
      </w:pPr>
      <w:r>
        <w:rPr>
          <w:rFonts w:ascii="Arial" w:cs="Arial" w:eastAsia="Arial" w:hAnsi="Arial"/>
          <w:b/>
          <w:bCs/>
          <w:color w:val="1A1A1A"/>
          <w:sz w:val="22"/>
          <w:szCs w:val="22"/>
        </w:rPr>
        <w:t xml:space="preserve">Step 5 — Connection Establishment: </w:t>
      </w:r>
      <w:r>
        <w:rPr>
          <w:rFonts w:ascii="Arial" w:cs="Arial" w:eastAsia="Arial" w:hAnsi="Arial"/>
          <w:color w:val="1A1A1A"/>
          <w:sz w:val="22"/>
          <w:szCs w:val="22"/>
        </w:rPr>
        <w:t xml:space="preserve">WebRTC signaling establishes the media connection between the user’s browser, the edge relay, and the regional rendering node. ICE candidate negotiation selects the optimal network path. DTLS handshake secures the media channel.</w:t>
      </w:r>
    </w:p>
    <w:p>
      <w:pPr>
        <w:spacing w:after="80"/>
      </w:pPr>
    </w:p>
    <w:p>
      <w:pPr>
        <w:spacing w:after="120"/>
      </w:pPr>
      <w:r>
        <w:rPr>
          <w:rFonts w:ascii="Arial" w:cs="Arial" w:eastAsia="Arial" w:hAnsi="Arial"/>
          <w:color w:val="1A1A1A"/>
          <w:sz w:val="22"/>
          <w:szCs w:val="22"/>
        </w:rPr>
        <w:t xml:space="preserve">Average session establishment time: 1.2–2.5 seconds (hot cache) or 2.5–4.0 seconds (cold start). Users see a professional loading animation during establishment, followed by the avatar appearing with a greeting.</w:t>
      </w:r>
    </w:p>
    <w:p>
      <w:pPr>
        <w:pStyle w:val="Heading2"/>
      </w:pPr>
      <w:r>
        <w:rPr>
          <w:rFonts w:ascii="Arial" w:cs="Arial" w:eastAsia="Arial" w:hAnsi="Arial"/>
          <w:b/>
          <w:bCs/>
          <w:color w:val="1B4F72"/>
          <w:sz w:val="26"/>
          <w:szCs w:val="26"/>
        </w:rPr>
        <w:t xml:space="preserve">9.3 Auto-Scaling Architecture</w:t>
      </w:r>
    </w:p>
    <w:p>
      <w:pPr>
        <w:spacing w:after="120"/>
      </w:pPr>
      <w:r>
        <w:rPr>
          <w:rFonts w:ascii="Arial" w:cs="Arial" w:eastAsia="Arial" w:hAnsi="Arial"/>
          <w:color w:val="1A1A1A"/>
          <w:sz w:val="22"/>
          <w:szCs w:val="22"/>
        </w:rPr>
        <w:t xml:space="preserve">The platform auto-scales across multiple resource dimensions simultaneously: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Scaling Metric</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Scale-Up Trigger</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Scale-Down Trigger</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Scaling Speed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GPU Rendering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avatar sessions / available GPU slots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Ratio &gt; 0.75 (75% slot utilization)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Ratio &lt; 0.30 (30%) for &gt;10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 minutes (pre-warmed nodes from standby pool) or 5–10 minutes (new node provisioning)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LLM Inference Servers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 queue depth + P95 latency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Queue depth &gt; 50 or P95 &gt; 800ms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Queue depth &lt; 10 and P95 &lt; 300ms for &gt;15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1–3 minutes (container scaling), 5–10 minutes (new node)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STT Workers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Concurrent active audio streams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streams &gt; 80% of worker capacity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streams &lt; 30% for &gt;10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seconds (container scaling)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TTS Workers (ElevenLabs)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 throughput nearing rate limit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Usage &gt; 70% of allocated ElevenLabs concurrency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Usage &lt; 30% for &gt;15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Instant (additional API key pool activation) or contact ElevenLabs for capacity increase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WebRTC Edge Relays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Concurrent media sessions per edge node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Sessions &gt; 80% of relay capacity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Sessions &lt; 25% for &gt;30 minutes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 minutes (edge instance scaling)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 Read Replicas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Query P95 latency + connection count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P95 &gt; 50ms or connections &gt; 80% pool capacity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P95 &lt; 10ms and connections &lt; 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 minutes (read replica promotion)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Kafka Partitions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Consumer lag per partition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Lag &gt; 10,000 messages or lag growth rate &gt; 1,000/sec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 review only (partition reduction requires careful rebalancing)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 minutes (partition addition + consumer rebalancing)</w:t>
            </w:r>
          </w:p>
        </w:tc>
      </w:tr>
    </w:tbl>
    <w:p>
      <w:pPr>
        <w:pStyle w:val="Heading2"/>
      </w:pPr>
      <w:r>
        <w:rPr>
          <w:rFonts w:ascii="Arial" w:cs="Arial" w:eastAsia="Arial" w:hAnsi="Arial"/>
          <w:b/>
          <w:bCs/>
          <w:color w:val="1B4F72"/>
          <w:sz w:val="26"/>
          <w:szCs w:val="26"/>
        </w:rPr>
        <w:t xml:space="preserve">9.4 Capacity Planning</w:t>
      </w:r>
    </w:p>
    <w:p>
      <w:pPr>
        <w:spacing w:after="120"/>
      </w:pPr>
      <w:r>
        <w:rPr>
          <w:rFonts w:ascii="Arial" w:cs="Arial" w:eastAsia="Arial" w:hAnsi="Arial"/>
          <w:color w:val="1A1A1A"/>
          <w:sz w:val="22"/>
          <w:szCs w:val="22"/>
        </w:rPr>
        <w:t xml:space="preserve">The following capacity model projects infrastructure requirements at different scale milestones: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Scale Milestone</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Concurrent Active Sessions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GPU Nodes Required</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LLM Inference Nodes</w:t>
            </w:r>
          </w:p>
        </w:tc>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Estimated Monthly Infrastructure Cost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Launch (Month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100–500 concurrent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15–30 A100 GPUs (4–8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5–10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$80,000–$150,000/mo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Growth (Month 4–12)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500–5,000 concurrent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30–150 A100 GPUs (8–40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10–50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$150,000–$750,000/mo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Scale (Year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5,000–25,000 concurrent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150–750 A100/H100 GPUs (40–200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50–200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$750,000–$3,500,000/mo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 (Year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25,000–100,000+ concurrent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750–3,000+ GPUs (200–800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200–800 nodes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$3,500,000–$15,000,000/mo</w:t>
            </w:r>
          </w:p>
        </w:tc>
      </w:tr>
    </w:tbl>
    <w:p>
      <w:pPr>
        <w:spacing w:after="80"/>
      </w:pPr>
    </w:p>
    <w:p>
      <w:pPr>
        <w:spacing w:after="120"/>
      </w:pPr>
      <w:r>
        <w:rPr>
          <w:rFonts w:ascii="Arial" w:cs="Arial" w:eastAsia="Arial" w:hAnsi="Arial"/>
          <w:color w:val="1A1A1A"/>
          <w:sz w:val="22"/>
          <w:szCs w:val="22"/>
        </w:rPr>
        <w:t xml:space="preserve">Infrastructure costs are offset by per-session revenue. At the Growth milestone, average revenue per concurrent session-hour is $2.50–$5.00, and infrastructure cost per session-hour is $0.80–$1.50, yielding a 60–75% gross margin on infrastructure. GPU utilization optimization (sharing idle session rendering across fewer GPUs, pre-computing idle loops, aggressive AIP caching) is the primary lever for improving margin at scale.</w:t>
      </w:r>
    </w:p>
    <w:p>
      <w:pPr>
        <w:pStyle w:val="Heading2"/>
      </w:pPr>
      <w:r>
        <w:rPr>
          <w:rFonts w:ascii="Arial" w:cs="Arial" w:eastAsia="Arial" w:hAnsi="Arial"/>
          <w:b/>
          <w:bCs/>
          <w:color w:val="1B4F72"/>
          <w:sz w:val="26"/>
          <w:szCs w:val="26"/>
        </w:rPr>
        <w:t xml:space="preserve">9.5 Disaster Recovery and High Availability</w:t>
      </w:r>
    </w:p>
    <w:p>
      <w:pPr>
        <w:spacing w:after="120"/>
      </w:pPr>
      <w:r>
        <w:rPr>
          <w:rFonts w:ascii="Arial" w:cs="Arial" w:eastAsia="Arial" w:hAnsi="Arial"/>
          <w:color w:val="1A1A1A"/>
          <w:sz w:val="22"/>
          <w:szCs w:val="22"/>
        </w:rPr>
        <w:t xml:space="preserve">The platform implements comprehensive disaster recovery:</w:t>
      </w:r>
    </w:p>
    <w:p>
      <w:pPr>
        <w:pStyle w:val="ListParagraph"/>
        <w:numPr>
          <w:ilvl w:val="0"/>
          <w:numId w:val="2"/>
        </w:numPr>
        <w:spacing w:after="60"/>
      </w:pPr>
      <w:r>
        <w:rPr>
          <w:rFonts w:ascii="Arial" w:cs="Arial" w:eastAsia="Arial" w:hAnsi="Arial"/>
          <w:color w:val="1A1A1A"/>
          <w:sz w:val="22"/>
          <w:szCs w:val="22"/>
        </w:rPr>
        <w:t xml:space="preserve">Active-Active Multi-Region: The 6 primary regions operate in active-active configuration. If an entire region fails, sessions are automatically failed over to the nearest healthy region. Session state is replicated cross-region via Kafka mirroring, ensuring no conversation context is lost during failover.</w:t>
      </w:r>
    </w:p>
    <w:p>
      <w:pPr>
        <w:pStyle w:val="ListParagraph"/>
        <w:numPr>
          <w:ilvl w:val="0"/>
          <w:numId w:val="2"/>
        </w:numPr>
        <w:spacing w:after="60"/>
      </w:pPr>
      <w:r>
        <w:rPr>
          <w:rFonts w:ascii="Arial" w:cs="Arial" w:eastAsia="Arial" w:hAnsi="Arial"/>
          <w:color w:val="1A1A1A"/>
          <w:sz w:val="22"/>
          <w:szCs w:val="22"/>
        </w:rPr>
        <w:t xml:space="preserve">Recovery Time Objective (RTO): &lt; 30 seconds for individual service failures (automatic container restart), &lt; 2 minutes for node failures (session migration to healthy node), &lt; 5 minutes for regional failures (DNS-level failover to secondary region).</w:t>
      </w:r>
    </w:p>
    <w:p>
      <w:pPr>
        <w:pStyle w:val="ListParagraph"/>
        <w:numPr>
          <w:ilvl w:val="0"/>
          <w:numId w:val="2"/>
        </w:numPr>
        <w:spacing w:after="60"/>
      </w:pPr>
      <w:r>
        <w:rPr>
          <w:rFonts w:ascii="Arial" w:cs="Arial" w:eastAsia="Arial" w:hAnsi="Arial"/>
          <w:color w:val="1A1A1A"/>
          <w:sz w:val="22"/>
          <w:szCs w:val="22"/>
        </w:rPr>
        <w:t xml:space="preserve">Recovery Point Objective (RPO): Zero data loss for conversation state (synchronous replication within region, asynchronous replication cross-region with &lt; 5 second lag). Zero data loss for audit logs (synchronous write to durable storage before acknowledgment). Near-zero loss for active task state (Temporal workflow engine provides durable execution guarantees).</w:t>
      </w:r>
    </w:p>
    <w:p>
      <w:pPr>
        <w:pStyle w:val="ListParagraph"/>
        <w:numPr>
          <w:ilvl w:val="0"/>
          <w:numId w:val="2"/>
        </w:numPr>
        <w:spacing w:after="60"/>
      </w:pPr>
      <w:r>
        <w:rPr>
          <w:rFonts w:ascii="Arial" w:cs="Arial" w:eastAsia="Arial" w:hAnsi="Arial"/>
          <w:color w:val="1A1A1A"/>
          <w:sz w:val="22"/>
          <w:szCs w:val="22"/>
        </w:rPr>
        <w:t xml:space="preserve">Chaos Engineering: Monthly chaos engineering exercises simulate failures at every infrastructure layer: individual container kills, node termination, availability zone failures, network partition between services, database failover, and GPU node failures. Results are reviewed and recovery procedures are updated based on findings.</w:t>
      </w:r>
    </w:p>
    <w:p>
      <w:pPr>
        <w:pStyle w:val="ListParagraph"/>
        <w:numPr>
          <w:ilvl w:val="0"/>
          <w:numId w:val="2"/>
        </w:numPr>
        <w:spacing w:after="60"/>
      </w:pPr>
      <w:r>
        <w:rPr>
          <w:rFonts w:ascii="Arial" w:cs="Arial" w:eastAsia="Arial" w:hAnsi="Arial"/>
          <w:color w:val="1A1A1A"/>
          <w:sz w:val="22"/>
          <w:szCs w:val="22"/>
        </w:rPr>
        <w:t xml:space="preserve">Data Backup: Hourly incremental backups of all PostgreSQL databases to cross-region S3/GCS with 30-day retention. Daily full snapshots with 1-year retention. Point-in-time recovery capability with 1-second granularity via PostgreSQL WAL archiving.</w:t>
      </w:r>
    </w:p>
    <w:p>
      <w:r>
        <w:br w:type="page"/>
      </w:r>
    </w:p>
    <w:p>
      <w:pPr>
        <w:pStyle w:val="Heading1"/>
      </w:pPr>
      <w:r>
        <w:rPr>
          <w:rFonts w:ascii="Arial" w:cs="Arial" w:eastAsia="Arial" w:hAnsi="Arial"/>
          <w:b/>
          <w:bCs/>
          <w:color w:val="1B4F72"/>
          <w:sz w:val="32"/>
          <w:szCs w:val="32"/>
        </w:rPr>
        <w:t xml:space="preserve">10. Network Optimization and Latency Management</w:t>
      </w:r>
    </w:p>
    <w:p>
      <w:pPr>
        <w:pStyle w:val="Heading2"/>
      </w:pPr>
      <w:r>
        <w:rPr>
          <w:rFonts w:ascii="Arial" w:cs="Arial" w:eastAsia="Arial" w:hAnsi="Arial"/>
          <w:b/>
          <w:bCs/>
          <w:color w:val="1B4F72"/>
          <w:sz w:val="26"/>
          <w:szCs w:val="26"/>
        </w:rPr>
        <w:t xml:space="preserve">10.1 WebRTC Optimization</w:t>
      </w:r>
    </w:p>
    <w:p>
      <w:pPr>
        <w:spacing w:after="120"/>
      </w:pPr>
      <w:r>
        <w:rPr>
          <w:rFonts w:ascii="Arial" w:cs="Arial" w:eastAsia="Arial" w:hAnsi="Arial"/>
          <w:color w:val="1A1A1A"/>
          <w:sz w:val="22"/>
          <w:szCs w:val="22"/>
        </w:rPr>
        <w:t xml:space="preserve">The avatar video and voice are delivered via WebRTC, which requires specific optimizations for the NexusHR VX use case:</w:t>
      </w:r>
    </w:p>
    <w:p>
      <w:pPr>
        <w:pStyle w:val="ListParagraph"/>
        <w:numPr>
          <w:ilvl w:val="0"/>
          <w:numId w:val="2"/>
        </w:numPr>
        <w:spacing w:after="60"/>
      </w:pPr>
      <w:r>
        <w:rPr>
          <w:rFonts w:ascii="Arial" w:cs="Arial" w:eastAsia="Arial" w:hAnsi="Arial"/>
          <w:color w:val="1A1A1A"/>
          <w:sz w:val="22"/>
          <w:szCs w:val="22"/>
        </w:rPr>
        <w:t xml:space="preserve">Simulcast Disabled: Unlike multi-party video conferencing, avatar rendering produces a single outbound stream at a controlled resolution. Simulcast is unnecessary and disabled to save bandwidth and encoding overhead.</w:t>
      </w:r>
    </w:p>
    <w:p>
      <w:pPr>
        <w:pStyle w:val="ListParagraph"/>
        <w:numPr>
          <w:ilvl w:val="0"/>
          <w:numId w:val="2"/>
        </w:numPr>
        <w:spacing w:after="60"/>
      </w:pPr>
      <w:r>
        <w:rPr>
          <w:rFonts w:ascii="Arial" w:cs="Arial" w:eastAsia="Arial" w:hAnsi="Arial"/>
          <w:color w:val="1A1A1A"/>
          <w:sz w:val="22"/>
          <w:szCs w:val="22"/>
        </w:rPr>
        <w:t xml:space="preserve">Adaptive Bitrate: The video encoder dynamically adjusts bitrate based on the user’s measured network bandwidth. At 5 Mbps+, the avatar streams at 1080p/3.5Mbps for maximum quality. At 2–5 Mbps, it drops to 720p/1.5Mbps. Below 2 Mbps, it drops to 480p/800kbps. Below 1 Mbps, video is gracefully degraded to a high-quality still image with audio-only mode.</w:t>
      </w:r>
    </w:p>
    <w:p>
      <w:pPr>
        <w:pStyle w:val="ListParagraph"/>
        <w:numPr>
          <w:ilvl w:val="0"/>
          <w:numId w:val="2"/>
        </w:numPr>
        <w:spacing w:after="60"/>
      </w:pPr>
      <w:r>
        <w:rPr>
          <w:rFonts w:ascii="Arial" w:cs="Arial" w:eastAsia="Arial" w:hAnsi="Arial"/>
          <w:color w:val="1A1A1A"/>
          <w:sz w:val="22"/>
          <w:szCs w:val="22"/>
        </w:rPr>
        <w:t xml:space="preserve">Forward Error Correction (FEC): WebRTC’s built-in FEC is enabled for both audio and video, providing resilience against up to 5% random packet loss without visible quality degradation. For higher packet loss environments, the system increases FEC redundancy at the cost of additional bandwidth.</w:t>
      </w:r>
    </w:p>
    <w:p>
      <w:pPr>
        <w:pStyle w:val="ListParagraph"/>
        <w:numPr>
          <w:ilvl w:val="0"/>
          <w:numId w:val="2"/>
        </w:numPr>
        <w:spacing w:after="60"/>
      </w:pPr>
      <w:r>
        <w:rPr>
          <w:rFonts w:ascii="Arial" w:cs="Arial" w:eastAsia="Arial" w:hAnsi="Arial"/>
          <w:color w:val="1A1A1A"/>
          <w:sz w:val="22"/>
          <w:szCs w:val="22"/>
        </w:rPr>
        <w:t xml:space="preserve">Jitter Buffer: Audio jitter buffer is set to adaptive mode with a minimum of 20ms and maximum of 200ms. Video jitter buffer uses frame-level buffering with 1–3 frame delay tolerance. Both buffers are tuned per-session based on observed network characteristics during the first 5 seconds of connection.</w:t>
      </w:r>
    </w:p>
    <w:p>
      <w:pPr>
        <w:pStyle w:val="ListParagraph"/>
        <w:numPr>
          <w:ilvl w:val="0"/>
          <w:numId w:val="2"/>
        </w:numPr>
        <w:spacing w:after="60"/>
      </w:pPr>
      <w:r>
        <w:rPr>
          <w:rFonts w:ascii="Arial" w:cs="Arial" w:eastAsia="Arial" w:hAnsi="Arial"/>
          <w:color w:val="1A1A1A"/>
          <w:sz w:val="22"/>
          <w:szCs w:val="22"/>
        </w:rPr>
        <w:t xml:space="preserve">TURN Relay Fallback: When direct peer-to-peer or STUN-mediated connections fail (e.g., behind restrictive enterprise firewalls), the system falls back to TURN relay through the nearest edge node. The edge relay pool is sized to handle 30% of all sessions through TURN, based on observed enterprise network prevalence.</w:t>
      </w:r>
    </w:p>
    <w:p>
      <w:pPr>
        <w:pStyle w:val="Heading2"/>
      </w:pPr>
      <w:r>
        <w:rPr>
          <w:rFonts w:ascii="Arial" w:cs="Arial" w:eastAsia="Arial" w:hAnsi="Arial"/>
          <w:b/>
          <w:bCs/>
          <w:color w:val="1B4F72"/>
          <w:sz w:val="26"/>
          <w:szCs w:val="26"/>
        </w:rPr>
        <w:t xml:space="preserve">10.2 End-to-End Latency Budget</w:t>
      </w:r>
    </w:p>
    <w:p>
      <w:pPr>
        <w:spacing w:after="120"/>
      </w:pPr>
      <w:r>
        <w:rPr>
          <w:rFonts w:ascii="Arial" w:cs="Arial" w:eastAsia="Arial" w:hAnsi="Arial"/>
          <w:color w:val="1A1A1A"/>
          <w:sz w:val="22"/>
          <w:szCs w:val="22"/>
        </w:rPr>
        <w:t xml:space="preserve">The complete latency budget for a conversational round-trip: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Minimum Latency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Typical Latency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Maximum Acceptable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capture + encoding (user device)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Network: user → edge → region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Speech-to-text (streaming)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End-of-turn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brain (LLM inference)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Text-to-speech (first byte)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180ms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rendering (first frame)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33ms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66ms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Network: region → edge → 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Audio/video decode + display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ROUND-TRIP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868ms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1,676ms</w:t>
            </w:r>
          </w:p>
        </w:tc>
      </w:tr>
    </w:tbl>
    <w:p>
      <w:pPr>
        <w:spacing w:after="80"/>
      </w:pPr>
    </w:p>
    <w:p>
      <w:pPr>
        <w:spacing w:after="120"/>
      </w:pPr>
      <w:r>
        <w:rPr>
          <w:rFonts w:ascii="Arial" w:cs="Arial" w:eastAsia="Arial" w:hAnsi="Arial"/>
          <w:color w:val="1A1A1A"/>
          <w:sz w:val="22"/>
          <w:szCs w:val="22"/>
        </w:rPr>
        <w:t xml:space="preserve">The target is to keep 90% of interactions (P90) under 900ms total round-trip latency, and 99% (P99) under 1,200ms. These targets are monitored in real time per session, and sessions exceeding P99 consistently trigger automatic investigation and potential session migration to a lower-latency infrastructure path.</w:t>
      </w:r>
    </w:p>
    <w:p>
      <w:r>
        <w:br w:type="page"/>
      </w:r>
    </w:p>
    <w:p>
      <w:pPr>
        <w:pBdr>
          <w:top w:val="single" w:color="1B4F72" w:sz="2" w:space="12"/>
        </w:pBdr>
        <w:spacing w:after="200" w:before="400"/>
        <w:jc w:val="center"/>
      </w:pPr>
      <w:r>
        <w:rPr>
          <w:rFonts w:ascii="Arial" w:cs="Arial" w:eastAsia="Arial" w:hAnsi="Arial"/>
          <w:b/>
          <w:bCs/>
          <w:color w:val="1B4F72"/>
          <w:sz w:val="20"/>
          <w:szCs w:val="20"/>
        </w:rPr>
        <w:t xml:space="preserve">END OF PHASE 3 — EXPANDED REAL-TIME AVATAR CAPABILITIES</w:t>
      </w:r>
    </w:p>
    <w:p>
      <w:pPr>
        <w:jc w:val="center"/>
      </w:pPr>
      <w:r>
        <w:rPr>
          <w:rFonts w:ascii="Arial" w:cs="Arial" w:eastAsia="Arial" w:hAnsi="Arial"/>
          <w:i/>
          <w:iCs/>
          <w:color w:val="333333"/>
          <w:sz w:val="18"/>
          <w:szCs w:val="18"/>
        </w:rPr>
        <w:t xml:space="preserve">NexusHR VX — Building the Future of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NexusHR VX — Phase 3: Expanded Real-Time Capabilities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2026-03-22T11:07:23.646Z</dcterms:created>
  <dcterms:modified xsi:type="dcterms:W3CDTF">2026-03-22T11:07:23.646Z</dcterms:modified>
</cp:coreProperties>
</file>

<file path=docProps/custom.xml><?xml version="1.0" encoding="utf-8"?>
<Properties xmlns="http://schemas.openxmlformats.org/officeDocument/2006/custom-properties" xmlns:vt="http://schemas.openxmlformats.org/officeDocument/2006/docPropsVTypes"/>
</file>