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75B6"/>
          <w:sz w:val="56"/>
          <w:szCs w:val="56"/>
        </w:rPr>
        <w:t xml:space="preserve">NexusHR VX</w:t>
      </w:r>
    </w:p>
    <w:p>
      <w:pPr>
        <w:spacing w:after="200"/>
        <w:jc w:val="center"/>
      </w:pPr>
      <w:r>
        <w:rPr>
          <w:rFonts w:ascii="Arial" w:cs="Arial" w:eastAsia="Arial" w:hAnsi="Arial"/>
          <w:color w:val="1F3864"/>
          <w:sz w:val="36"/>
          <w:szCs w:val="36"/>
        </w:rPr>
        <w:t xml:space="preserve">AI Workforce Platform</w:t>
      </w:r>
    </w:p>
    <w:p>
      <w:pPr>
        <w:spacing w:after="600"/>
        <w:jc w:val="center"/>
      </w:pPr>
      <w:r>
        <w:rPr>
          <w:rFonts w:ascii="Arial" w:cs="Arial" w:eastAsia="Arial" w:hAnsi="Arial"/>
          <w:color w:val="2E75B6"/>
          <w:sz w:val="32"/>
          <w:szCs w:val="32"/>
        </w:rPr>
        <w:t xml:space="preserve">Phase 6: Healthcare &amp; Life Sciences AI Employee Roles</w:t>
      </w:r>
    </w:p>
    <w:p>
      <w:pPr>
        <w:jc w:val="center"/>
      </w:pPr>
      <w:r>
        <w:rPr>
          <w:rFonts w:ascii="Arial" w:cs="Arial" w:eastAsia="Arial" w:hAnsi="Arial"/>
          <w:color w:val="595959"/>
          <w:sz w:val="24"/>
          <w:szCs w:val="24"/>
        </w:rPr>
        <w:t xml:space="preserve">12 Fully Detailed AI Employee Roles with Complete 10-Point Structure</w:t>
      </w:r>
    </w:p>
    <w:p>
      <w:pPr>
        <w:spacing w:before="1200"/>
        <w:jc w:val="center"/>
      </w:pPr>
      <w:r>
        <w:rPr>
          <w:rFonts w:ascii="Arial" w:cs="Arial" w:eastAsia="Arial" w:hAnsi="Arial"/>
          <w:i/>
          <w:iCs/>
          <w:color w:val="595959"/>
          <w:sz w:val="22"/>
          <w:szCs w:val="22"/>
        </w:rPr>
        <w:t xml:space="preserve">Confidential — March 2026</w:t>
      </w:r>
    </w:p>
    <w:p>
      <w:r>
        <w:br w:type="page"/>
      </w:r>
    </w:p>
    <w:p>
      <w:pPr>
        <w:pStyle w:val="Heading1"/>
        <w:spacing w:after="200" w:before="360"/>
      </w:pPr>
      <w:r>
        <w:rPr>
          <w:rFonts w:ascii="Arial" w:cs="Arial" w:eastAsia="Arial" w:hAnsi="Arial"/>
          <w:b/>
          <w:bCs/>
          <w:color w:val="2E75B6"/>
          <w:sz w:val="32"/>
          <w:szCs w:val="32"/>
        </w:rPr>
        <w:t xml:space="preserve">Healthcare &amp; Life Sciences AI Employee Roles</w:t>
      </w:r>
    </w:p>
    <w:p>
      <w:pPr>
        <w:spacing w:after="120"/>
      </w:pPr>
      <w:r>
        <w:rPr>
          <w:rFonts w:ascii="Arial" w:cs="Arial" w:eastAsia="Arial" w:hAnsi="Arial"/>
          <w:color w:val="595959"/>
          <w:sz w:val="22"/>
          <w:szCs w:val="22"/>
        </w:rPr>
        <w:t xml:space="preserve">The Healthcare &amp; Life Sciences category represents one of the most impactful and compliance-sensitive domains for AI employee deployment. This category encompasses roles that support healthcare operations, patient services, clinical research, medical billing, pharmacy management, quality assurance, and regulatory compliance. Each AI employee in this category operates under strict HIPAA, HITECH, FDA, and state-specific healthcare regulations, with enhanced data protection protocols for Protected Health Information (PHI) and Electronic Health Records (EHR).</w:t>
      </w:r>
    </w:p>
    <w:p>
      <w:pPr>
        <w:spacing w:after="120"/>
      </w:pPr>
      <w:r>
        <w:rPr>
          <w:rFonts w:ascii="Arial" w:cs="Arial" w:eastAsia="Arial" w:hAnsi="Arial"/>
          <w:color w:val="595959"/>
          <w:sz w:val="22"/>
          <w:szCs w:val="22"/>
        </w:rPr>
        <w:t xml:space="preserve">The following 12 AI employee roles have been designed with exhaustive detail across the complete 10-point structure. Each role includes comprehensive job descriptions, task catalogs, integration requirements, data access permissions with healthcare-specific classifications, communication capabilities across all channels, detailed example workflows with step-by-step execution, performance metrics with healthcare-specific KPIs, and real-world use cases demonstrating the value proposition for healthcare organizations of varying sizes.</w:t>
      </w:r>
    </w:p>
    <w:p>
      <w:pPr>
        <w:spacing w:after="120"/>
      </w:pPr>
      <w:r>
        <w:rPr>
          <w:rFonts w:ascii="Arial" w:cs="Arial" w:eastAsia="Arial" w:hAnsi="Arial"/>
          <w:color w:val="595959"/>
          <w:sz w:val="22"/>
          <w:szCs w:val="22"/>
        </w:rPr>
        <w:t xml:space="preserve">All roles in this category share common compliance foundations: HIPAA Privacy Rule adherence, HIPAA Security Rule technical safeguards, Business Associate Agreement (BAA) compliance, Minimum Necessary Standard enforcement, and breach notification protocols. These foundational requirements are embedded into each role’s tool access rules, data permissions, and behavioral constraints through the prompt architecture defined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560"/>
        <w:gridCol w:w="26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Title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Compliance Level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Healthcare Operations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Facility operations, staffing, resource coordination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OSHA, CMS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Medical Records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management, record integrity, release of information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HITECH, State laws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Support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inquiries, appointment scheduling, navigation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ADA, CMS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Research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Trial management, protocol compliance, data collection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FDA 21 CFR, ICH-GCP, IRB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Healthcare Compliance Officer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compliance, audit support, policy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OIG, Stark, AKS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Medical Billing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Claims processing, coding validation, revenue 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CMS, CPT/ICD-10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Pharmacy Benefits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Formulary management, prior auth, medication coordination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DEA, State pharmacy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Healthcare Quality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 metrics, patient safety, accreditation 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CMS, Joint Commission, HEDIS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Telehealth Support Agent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Virtual visit support, platform troubleshooting, triage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State telehealth laws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Health Information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governance, coding oversight, information lifecycle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AHIMA, ARRA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Intake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Registration, insurance verification, consent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EMTALA, ADA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Documentation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CDI queries, coding accuracy, documentation improvement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CMS, ACDIS</w:t>
            </w:r>
          </w:p>
        </w:tc>
      </w:tr>
    </w:tbl>
    <w:p>
      <w:r>
        <w:br w:type="page"/>
      </w:r>
    </w:p>
    <w:p>
      <w:pPr>
        <w:pStyle w:val="Heading1"/>
        <w:spacing w:after="200" w:before="360"/>
      </w:pPr>
      <w:r>
        <w:rPr>
          <w:rFonts w:ascii="Arial" w:cs="Arial" w:eastAsia="Arial" w:hAnsi="Arial"/>
          <w:b/>
          <w:bCs/>
          <w:color w:val="2E75B6"/>
          <w:sz w:val="32"/>
          <w:szCs w:val="32"/>
        </w:rPr>
        <w:t xml:space="preserve">Role 1: Healthcare Operations Manager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Healthcare Operations Manager AI</w:t>
      </w:r>
    </w:p>
    <w:p>
      <w:pPr>
        <w:spacing w:after="120"/>
      </w:pPr>
      <w:r>
        <w:rPr>
          <w:rFonts w:ascii="Arial" w:cs="Arial" w:eastAsia="Arial" w:hAnsi="Arial"/>
          <w:color w:val="595959"/>
          <w:sz w:val="22"/>
          <w:szCs w:val="22"/>
        </w:rPr>
        <w:t xml:space="preserve">Department: Healthcare Administration / Operations</w:t>
      </w:r>
    </w:p>
    <w:p>
      <w:pPr>
        <w:spacing w:after="120"/>
      </w:pPr>
      <w:r>
        <w:rPr>
          <w:rFonts w:ascii="Arial" w:cs="Arial" w:eastAsia="Arial" w:hAnsi="Arial"/>
          <w:color w:val="595959"/>
          <w:sz w:val="22"/>
          <w:szCs w:val="22"/>
        </w:rPr>
        <w:t xml:space="preserve">Reports To: Chief Operating Officer (COO) or VP of Operations</w:t>
      </w:r>
    </w:p>
    <w:p>
      <w:pPr>
        <w:spacing w:after="120"/>
      </w:pPr>
      <w:r>
        <w:rPr>
          <w:rFonts w:ascii="Arial" w:cs="Arial" w:eastAsia="Arial" w:hAnsi="Arial"/>
          <w:color w:val="595959"/>
          <w:sz w:val="22"/>
          <w:szCs w:val="22"/>
        </w:rPr>
        <w:t xml:space="preserve">Seniority Level: Senior</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Healthcare Operations Manager AI is a senior-level AI employee responsible for overseeing and optimizing the day-to-day operational functions of healthcare facilities, including hospitals, clinics, ambulatory surgery centers, and multi-site healthcare systems. This AI employee serves as the central nervous system of healthcare operations, coordinating staffing schedules, managing facility resources, tracking operational KPIs, ensuring regulatory compliance with CMS and OSHA standards, and providing real-time operational intelligence to leadership.</w:t>
      </w:r>
    </w:p>
    <w:p>
      <w:pPr>
        <w:spacing w:after="120"/>
      </w:pPr>
      <w:r>
        <w:rPr>
          <w:rFonts w:ascii="Arial" w:cs="Arial" w:eastAsia="Arial" w:hAnsi="Arial"/>
          <w:color w:val="595959"/>
          <w:sz w:val="22"/>
          <w:szCs w:val="22"/>
        </w:rPr>
        <w:t xml:space="preserve">Unlike a general operations manager, this role incorporates deep healthcare domain knowledge including patient flow optimization, bed management, surgical scheduling, department throughput analysis, and emergency preparedness coordination. The AI employee understands the unique operational challenges of healthcare environments where operational efficiency directly impacts patient outcomes, and where regulatory compliance is not optional but legally mandated.</w:t>
      </w:r>
    </w:p>
    <w:p>
      <w:pPr>
        <w:spacing w:after="120"/>
      </w:pPr>
      <w:r>
        <w:rPr>
          <w:rFonts w:ascii="Arial" w:cs="Arial" w:eastAsia="Arial" w:hAnsi="Arial"/>
          <w:color w:val="595959"/>
          <w:sz w:val="22"/>
          <w:szCs w:val="22"/>
        </w:rPr>
        <w:t xml:space="preserve">The Healthcare Operations Manager AI operates with significant autonomous authority for routine operational decisions (staffing adjustments, resource reallocation, vendor coordination) while escalating strategic decisions (capital expenditure, policy changes, union negotiations) to human leadership. It maintains 24/7 operational awareness, providing overnight and weekend coverage that human operations managers cannot sustain, and proactively identifies operational risks before they impact patient care.</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Staffing and Workforce Management: </w:t>
      </w:r>
      <w:r>
        <w:rPr>
          <w:rFonts w:ascii="Arial" w:cs="Arial" w:eastAsia="Arial" w:hAnsi="Arial"/>
          <w:color w:val="595959"/>
          <w:sz w:val="22"/>
          <w:szCs w:val="22"/>
        </w:rPr>
        <w:t xml:space="preserve">Monitor real-time staffing levels across all departments and shifts. Identify understaffed units and initiate coverage protocols. Coordinate with staffing agencies for temporary coverage. Track overtime utilization and flag burnout risks. Manage float pool assignments based on competency and patient acuity. Ensure nurse-to-patient ratios comply with state regulations and organizational policies.</w:t>
      </w:r>
    </w:p>
    <w:p>
      <w:pPr>
        <w:pStyle w:val="ListParagraph"/>
        <w:numPr>
          <w:ilvl w:val="0"/>
          <w:numId w:val="2"/>
        </w:numPr>
        <w:spacing w:after="80"/>
      </w:pPr>
      <w:r>
        <w:rPr>
          <w:rFonts w:ascii="Arial" w:cs="Arial" w:eastAsia="Arial" w:hAnsi="Arial"/>
          <w:b/>
          <w:bCs/>
          <w:color w:val="595959"/>
          <w:sz w:val="22"/>
          <w:szCs w:val="22"/>
        </w:rPr>
        <w:t xml:space="preserve">Facility Resource Coordination: </w:t>
      </w:r>
      <w:r>
        <w:rPr>
          <w:rFonts w:ascii="Arial" w:cs="Arial" w:eastAsia="Arial" w:hAnsi="Arial"/>
          <w:color w:val="595959"/>
          <w:sz w:val="22"/>
          <w:szCs w:val="22"/>
        </w:rPr>
        <w:t xml:space="preserve">Track bed availability, operating room utilization, equipment status, and supply inventory in real-time. Coordinate patient flow from emergency department through admission, transfer, and discharge. Manage equipment maintenance schedules and service contracts. Optimize resource allocation based on predicted demand patterns.</w:t>
      </w:r>
    </w:p>
    <w:p>
      <w:pPr>
        <w:pStyle w:val="ListParagraph"/>
        <w:numPr>
          <w:ilvl w:val="0"/>
          <w:numId w:val="2"/>
        </w:numPr>
        <w:spacing w:after="80"/>
      </w:pPr>
      <w:r>
        <w:rPr>
          <w:rFonts w:ascii="Arial" w:cs="Arial" w:eastAsia="Arial" w:hAnsi="Arial"/>
          <w:b/>
          <w:bCs/>
          <w:color w:val="595959"/>
          <w:sz w:val="22"/>
          <w:szCs w:val="22"/>
        </w:rPr>
        <w:t xml:space="preserve">Operational Performance Monitoring: </w:t>
      </w:r>
      <w:r>
        <w:rPr>
          <w:rFonts w:ascii="Arial" w:cs="Arial" w:eastAsia="Arial" w:hAnsi="Arial"/>
          <w:color w:val="595959"/>
          <w:sz w:val="22"/>
          <w:szCs w:val="22"/>
        </w:rPr>
        <w:t xml:space="preserve">Track and report on key operational KPIs including patient throughput, average length of stay, bed turnover time, surgical case utilization, emergency department wait times, and department-specific productivity metrics. Generate daily, weekly, and monthly operational dashboards. Identify trends, anomalies, and improvement opportunities through data analysis.</w:t>
      </w:r>
    </w:p>
    <w:p>
      <w:pPr>
        <w:pStyle w:val="ListParagraph"/>
        <w:numPr>
          <w:ilvl w:val="0"/>
          <w:numId w:val="2"/>
        </w:numPr>
        <w:spacing w:after="80"/>
      </w:pPr>
      <w:r>
        <w:rPr>
          <w:rFonts w:ascii="Arial" w:cs="Arial" w:eastAsia="Arial" w:hAnsi="Arial"/>
          <w:b/>
          <w:bCs/>
          <w:color w:val="595959"/>
          <w:sz w:val="22"/>
          <w:szCs w:val="22"/>
        </w:rPr>
        <w:t xml:space="preserve">Regulatory Compliance Operations: </w:t>
      </w:r>
      <w:r>
        <w:rPr>
          <w:rFonts w:ascii="Arial" w:cs="Arial" w:eastAsia="Arial" w:hAnsi="Arial"/>
          <w:color w:val="595959"/>
          <w:sz w:val="22"/>
          <w:szCs w:val="22"/>
        </w:rPr>
        <w:t xml:space="preserve">Ensure facility operations comply with CMS Conditions of Participation, OSHA workplace safety standards, state health department regulations, and accreditation requirements (Joint Commission, DNV, HFAP). Coordinate survey readiness activities. Track corrective action plans and deadline compliance. Manage incident reporting and root cause analysis coordination.</w:t>
      </w:r>
    </w:p>
    <w:p>
      <w:pPr>
        <w:pStyle w:val="ListParagraph"/>
        <w:numPr>
          <w:ilvl w:val="0"/>
          <w:numId w:val="2"/>
        </w:numPr>
        <w:spacing w:after="80"/>
      </w:pPr>
      <w:r>
        <w:rPr>
          <w:rFonts w:ascii="Arial" w:cs="Arial" w:eastAsia="Arial" w:hAnsi="Arial"/>
          <w:b/>
          <w:bCs/>
          <w:color w:val="595959"/>
          <w:sz w:val="22"/>
          <w:szCs w:val="22"/>
        </w:rPr>
        <w:t xml:space="preserve">Vendor and Supply Chain Management: </w:t>
      </w:r>
      <w:r>
        <w:rPr>
          <w:rFonts w:ascii="Arial" w:cs="Arial" w:eastAsia="Arial" w:hAnsi="Arial"/>
          <w:color w:val="595959"/>
          <w:sz w:val="22"/>
          <w:szCs w:val="22"/>
        </w:rPr>
        <w:t xml:space="preserve">Coordinate with medical supply vendors, equipment manufacturers, linen services, food services, and facilities maintenance contractors. Track contract compliance, service level agreements, and delivery schedules. Manage purchase order approvals within authorized limits. Escalate supply chain disruptions that could impact patient care.</w:t>
      </w:r>
    </w:p>
    <w:p>
      <w:pPr>
        <w:pStyle w:val="ListParagraph"/>
        <w:numPr>
          <w:ilvl w:val="0"/>
          <w:numId w:val="2"/>
        </w:numPr>
        <w:spacing w:after="80"/>
      </w:pPr>
      <w:r>
        <w:rPr>
          <w:rFonts w:ascii="Arial" w:cs="Arial" w:eastAsia="Arial" w:hAnsi="Arial"/>
          <w:b/>
          <w:bCs/>
          <w:color w:val="595959"/>
          <w:sz w:val="22"/>
          <w:szCs w:val="22"/>
        </w:rPr>
        <w:t xml:space="preserve">Emergency Preparedness: </w:t>
      </w:r>
      <w:r>
        <w:rPr>
          <w:rFonts w:ascii="Arial" w:cs="Arial" w:eastAsia="Arial" w:hAnsi="Arial"/>
          <w:color w:val="595959"/>
          <w:sz w:val="22"/>
          <w:szCs w:val="22"/>
        </w:rPr>
        <w:t xml:space="preserve">Maintain and update emergency operations plans. Coordinate disaster drill scheduling and after-action reviews. Monitor capacity triggers for surge planning. Manage communication protocols during operational emergencies (facility codes, weather events, mass casualty incidents).</w:t>
      </w:r>
    </w:p>
    <w:p>
      <w:pPr>
        <w:pStyle w:val="ListParagraph"/>
        <w:numPr>
          <w:ilvl w:val="0"/>
          <w:numId w:val="2"/>
        </w:numPr>
        <w:spacing w:after="80"/>
      </w:pPr>
      <w:r>
        <w:rPr>
          <w:rFonts w:ascii="Arial" w:cs="Arial" w:eastAsia="Arial" w:hAnsi="Arial"/>
          <w:b/>
          <w:bCs/>
          <w:color w:val="595959"/>
          <w:sz w:val="22"/>
          <w:szCs w:val="22"/>
        </w:rPr>
        <w:t xml:space="preserve">Interdepartmental Coordination: </w:t>
      </w:r>
      <w:r>
        <w:rPr>
          <w:rFonts w:ascii="Arial" w:cs="Arial" w:eastAsia="Arial" w:hAnsi="Arial"/>
          <w:color w:val="595959"/>
          <w:sz w:val="22"/>
          <w:szCs w:val="22"/>
        </w:rPr>
        <w:t xml:space="preserve">Facilitate communication between clinical departments, ancillary services (lab, radiology, pharmacy), support services (environmental services, transport, dietary), and administrative departments. Resolve operational conflicts and resource disputes. Coordinate scheduled maintenance and construction activities to minimize patient care disruption.</w:t>
      </w:r>
    </w:p>
    <w:p>
      <w:pPr>
        <w:pStyle w:val="Heading2"/>
        <w:spacing w:after="160" w:before="280"/>
      </w:pPr>
      <w:r>
        <w:rPr>
          <w:rFonts w:ascii="Arial" w:cs="Arial" w:eastAsia="Arial" w:hAnsi="Arial"/>
          <w:b/>
          <w:bCs/>
          <w:color w:val="1F3864"/>
          <w:sz w:val="28"/>
          <w:szCs w:val="28"/>
        </w:rPr>
        <w:t xml:space="preserve">4. Tasks the AI Performs</w:t>
      </w:r>
    </w:p>
    <w:p>
      <w:pPr>
        <w:pStyle w:val="Heading3"/>
        <w:spacing w:after="120" w:before="240"/>
      </w:pPr>
      <w:r>
        <w:rPr>
          <w:rFonts w:ascii="Arial" w:cs="Arial" w:eastAsia="Arial" w:hAnsi="Arial"/>
          <w:b/>
          <w:bCs/>
          <w:color w:val="2E75B6"/>
          <w:sz w:val="24"/>
          <w:szCs w:val="24"/>
        </w:rPr>
        <w:t xml:space="preserve">Daily Operations Tasks</w:t>
      </w:r>
    </w:p>
    <w:p>
      <w:pPr>
        <w:pStyle w:val="ListParagraph"/>
        <w:numPr>
          <w:ilvl w:val="0"/>
          <w:numId w:val="2"/>
        </w:numPr>
        <w:spacing w:after="80"/>
      </w:pPr>
      <w:r>
        <w:rPr>
          <w:rFonts w:ascii="Arial" w:cs="Arial" w:eastAsia="Arial" w:hAnsi="Arial"/>
          <w:color w:val="595959"/>
          <w:sz w:val="22"/>
          <w:szCs w:val="22"/>
        </w:rPr>
        <w:t xml:space="preserve">Generate morning operational briefing with overnight census, staffing status, pending discharges, scheduled surgeries, and facility alerts.</w:t>
      </w:r>
    </w:p>
    <w:p>
      <w:pPr>
        <w:pStyle w:val="ListParagraph"/>
        <w:numPr>
          <w:ilvl w:val="0"/>
          <w:numId w:val="2"/>
        </w:numPr>
        <w:spacing w:after="80"/>
      </w:pPr>
      <w:r>
        <w:rPr>
          <w:rFonts w:ascii="Arial" w:cs="Arial" w:eastAsia="Arial" w:hAnsi="Arial"/>
          <w:color w:val="595959"/>
          <w:sz w:val="22"/>
          <w:szCs w:val="22"/>
        </w:rPr>
        <w:t xml:space="preserve">Monitor real-time bed board and update bed availability across all units (ICU, Med/Surg, Telemetry, Pediatrics, L&amp;D, Behavioral Health).</w:t>
      </w:r>
    </w:p>
    <w:p>
      <w:pPr>
        <w:pStyle w:val="ListParagraph"/>
        <w:numPr>
          <w:ilvl w:val="0"/>
          <w:numId w:val="2"/>
        </w:numPr>
        <w:spacing w:after="80"/>
      </w:pPr>
      <w:r>
        <w:rPr>
          <w:rFonts w:ascii="Arial" w:cs="Arial" w:eastAsia="Arial" w:hAnsi="Arial"/>
          <w:color w:val="595959"/>
          <w:sz w:val="22"/>
          <w:szCs w:val="22"/>
        </w:rPr>
        <w:t xml:space="preserve">Track emergency department boarding times and trigger escalation protocols when boarding exceeds 4 hours.</w:t>
      </w:r>
    </w:p>
    <w:p>
      <w:pPr>
        <w:pStyle w:val="ListParagraph"/>
        <w:numPr>
          <w:ilvl w:val="0"/>
          <w:numId w:val="2"/>
        </w:numPr>
        <w:spacing w:after="80"/>
      </w:pPr>
      <w:r>
        <w:rPr>
          <w:rFonts w:ascii="Arial" w:cs="Arial" w:eastAsia="Arial" w:hAnsi="Arial"/>
          <w:color w:val="595959"/>
          <w:sz w:val="22"/>
          <w:szCs w:val="22"/>
        </w:rPr>
        <w:t xml:space="preserve">Review and approve staffing schedule changes, PTO requests, and shift swap requests within policy parameters.</w:t>
      </w:r>
    </w:p>
    <w:p>
      <w:pPr>
        <w:pStyle w:val="ListParagraph"/>
        <w:numPr>
          <w:ilvl w:val="0"/>
          <w:numId w:val="2"/>
        </w:numPr>
        <w:spacing w:after="80"/>
      </w:pPr>
      <w:r>
        <w:rPr>
          <w:rFonts w:ascii="Arial" w:cs="Arial" w:eastAsia="Arial" w:hAnsi="Arial"/>
          <w:color w:val="595959"/>
          <w:sz w:val="22"/>
          <w:szCs w:val="22"/>
        </w:rPr>
        <w:t xml:space="preserve">Coordinate patient transfers between units based on acuity changes and bed availability.</w:t>
      </w:r>
    </w:p>
    <w:p>
      <w:pPr>
        <w:pStyle w:val="ListParagraph"/>
        <w:numPr>
          <w:ilvl w:val="0"/>
          <w:numId w:val="2"/>
        </w:numPr>
        <w:spacing w:after="80"/>
      </w:pPr>
      <w:r>
        <w:rPr>
          <w:rFonts w:ascii="Arial" w:cs="Arial" w:eastAsia="Arial" w:hAnsi="Arial"/>
          <w:color w:val="595959"/>
          <w:sz w:val="22"/>
          <w:szCs w:val="22"/>
        </w:rPr>
        <w:t xml:space="preserve">Monitor surgical schedule for delays, cancellations, and add-on cases; adjust OR block time accordingly.</w:t>
      </w:r>
    </w:p>
    <w:p>
      <w:pPr>
        <w:pStyle w:val="ListParagraph"/>
        <w:numPr>
          <w:ilvl w:val="0"/>
          <w:numId w:val="2"/>
        </w:numPr>
        <w:spacing w:after="80"/>
      </w:pPr>
      <w:r>
        <w:rPr>
          <w:rFonts w:ascii="Arial" w:cs="Arial" w:eastAsia="Arial" w:hAnsi="Arial"/>
          <w:color w:val="595959"/>
          <w:sz w:val="22"/>
          <w:szCs w:val="22"/>
        </w:rPr>
        <w:t xml:space="preserve">Generate end-of-day operational summary with key metrics and notable events for leadership review.</w:t>
      </w:r>
    </w:p>
    <w:p>
      <w:pPr>
        <w:pStyle w:val="ListParagraph"/>
        <w:numPr>
          <w:ilvl w:val="0"/>
          <w:numId w:val="2"/>
        </w:numPr>
        <w:spacing w:after="80"/>
      </w:pPr>
      <w:r>
        <w:rPr>
          <w:rFonts w:ascii="Arial" w:cs="Arial" w:eastAsia="Arial" w:hAnsi="Arial"/>
          <w:color w:val="595959"/>
          <w:sz w:val="22"/>
          <w:szCs w:val="22"/>
        </w:rPr>
        <w:t xml:space="preserve">Process and route facility maintenance requests based on priority (emergent, urgent, routine).</w:t>
      </w:r>
    </w:p>
    <w:p>
      <w:pPr>
        <w:pStyle w:val="ListParagraph"/>
        <w:numPr>
          <w:ilvl w:val="0"/>
          <w:numId w:val="2"/>
        </w:numPr>
        <w:spacing w:after="80"/>
      </w:pPr>
      <w:r>
        <w:rPr>
          <w:rFonts w:ascii="Arial" w:cs="Arial" w:eastAsia="Arial" w:hAnsi="Arial"/>
          <w:color w:val="595959"/>
          <w:sz w:val="22"/>
          <w:szCs w:val="22"/>
        </w:rPr>
        <w:t xml:space="preserve">Track dietary tray delivery compliance and patient meal satisfaction scores.</w:t>
      </w:r>
    </w:p>
    <w:p>
      <w:pPr>
        <w:pStyle w:val="ListParagraph"/>
        <w:numPr>
          <w:ilvl w:val="0"/>
          <w:numId w:val="2"/>
        </w:numPr>
        <w:spacing w:after="80"/>
      </w:pPr>
      <w:r>
        <w:rPr>
          <w:rFonts w:ascii="Arial" w:cs="Arial" w:eastAsia="Arial" w:hAnsi="Arial"/>
          <w:color w:val="595959"/>
          <w:sz w:val="22"/>
          <w:szCs w:val="22"/>
        </w:rPr>
        <w:t xml:space="preserve">Monitor environmental services cleaning turnaround times for discharged rooms.</w:t>
      </w:r>
    </w:p>
    <w:p>
      <w:pPr>
        <w:pStyle w:val="Heading3"/>
        <w:spacing w:after="120" w:before="240"/>
      </w:pPr>
      <w:r>
        <w:rPr>
          <w:rFonts w:ascii="Arial" w:cs="Arial" w:eastAsia="Arial" w:hAnsi="Arial"/>
          <w:b/>
          <w:bCs/>
          <w:color w:val="2E75B6"/>
          <w:sz w:val="24"/>
          <w:szCs w:val="24"/>
        </w:rPr>
        <w:t xml:space="preserve">Weekly Operations Tasks</w:t>
      </w:r>
    </w:p>
    <w:p>
      <w:pPr>
        <w:pStyle w:val="ListParagraph"/>
        <w:numPr>
          <w:ilvl w:val="0"/>
          <w:numId w:val="2"/>
        </w:numPr>
        <w:spacing w:after="80"/>
      </w:pPr>
      <w:r>
        <w:rPr>
          <w:rFonts w:ascii="Arial" w:cs="Arial" w:eastAsia="Arial" w:hAnsi="Arial"/>
          <w:color w:val="595959"/>
          <w:sz w:val="22"/>
          <w:szCs w:val="22"/>
        </w:rPr>
        <w:t xml:space="preserve">Compile weekly operational performance report with trend analysis across all departments.</w:t>
      </w:r>
    </w:p>
    <w:p>
      <w:pPr>
        <w:pStyle w:val="ListParagraph"/>
        <w:numPr>
          <w:ilvl w:val="0"/>
          <w:numId w:val="2"/>
        </w:numPr>
        <w:spacing w:after="80"/>
      </w:pPr>
      <w:r>
        <w:rPr>
          <w:rFonts w:ascii="Arial" w:cs="Arial" w:eastAsia="Arial" w:hAnsi="Arial"/>
          <w:color w:val="595959"/>
          <w:sz w:val="22"/>
          <w:szCs w:val="22"/>
        </w:rPr>
        <w:t xml:space="preserve">Review overtime reports and identify departments exceeding overtime budgets.</w:t>
      </w:r>
    </w:p>
    <w:p>
      <w:pPr>
        <w:pStyle w:val="ListParagraph"/>
        <w:numPr>
          <w:ilvl w:val="0"/>
          <w:numId w:val="2"/>
        </w:numPr>
        <w:spacing w:after="80"/>
      </w:pPr>
      <w:r>
        <w:rPr>
          <w:rFonts w:ascii="Arial" w:cs="Arial" w:eastAsia="Arial" w:hAnsi="Arial"/>
          <w:color w:val="595959"/>
          <w:sz w:val="22"/>
          <w:szCs w:val="22"/>
        </w:rPr>
        <w:t xml:space="preserve">Analyze patient flow bottlenecks and recommend process improvements.</w:t>
      </w:r>
    </w:p>
    <w:p>
      <w:pPr>
        <w:pStyle w:val="ListParagraph"/>
        <w:numPr>
          <w:ilvl w:val="0"/>
          <w:numId w:val="2"/>
        </w:numPr>
        <w:spacing w:after="80"/>
      </w:pPr>
      <w:r>
        <w:rPr>
          <w:rFonts w:ascii="Arial" w:cs="Arial" w:eastAsia="Arial" w:hAnsi="Arial"/>
          <w:color w:val="595959"/>
          <w:sz w:val="22"/>
          <w:szCs w:val="22"/>
        </w:rPr>
        <w:t xml:space="preserve">Coordinate weekly operations meeting agenda, pre-read materials, and action item tracking.</w:t>
      </w:r>
    </w:p>
    <w:p>
      <w:pPr>
        <w:pStyle w:val="ListParagraph"/>
        <w:numPr>
          <w:ilvl w:val="0"/>
          <w:numId w:val="2"/>
        </w:numPr>
        <w:spacing w:after="80"/>
      </w:pPr>
      <w:r>
        <w:rPr>
          <w:rFonts w:ascii="Arial" w:cs="Arial" w:eastAsia="Arial" w:hAnsi="Arial"/>
          <w:color w:val="595959"/>
          <w:sz w:val="22"/>
          <w:szCs w:val="22"/>
        </w:rPr>
        <w:t xml:space="preserve">Review vendor performance against SLA metrics and flag underperforming contracts.</w:t>
      </w:r>
    </w:p>
    <w:p>
      <w:pPr>
        <w:pStyle w:val="ListParagraph"/>
        <w:numPr>
          <w:ilvl w:val="0"/>
          <w:numId w:val="2"/>
        </w:numPr>
        <w:spacing w:after="80"/>
      </w:pPr>
      <w:r>
        <w:rPr>
          <w:rFonts w:ascii="Arial" w:cs="Arial" w:eastAsia="Arial" w:hAnsi="Arial"/>
          <w:color w:val="595959"/>
          <w:sz w:val="22"/>
          <w:szCs w:val="22"/>
        </w:rPr>
        <w:t xml:space="preserve">Update staffing forecast based on scheduled admissions, surgeries, and historical patterns.</w:t>
      </w:r>
    </w:p>
    <w:p>
      <w:pPr>
        <w:pStyle w:val="ListParagraph"/>
        <w:numPr>
          <w:ilvl w:val="0"/>
          <w:numId w:val="2"/>
        </w:numPr>
        <w:spacing w:after="80"/>
      </w:pPr>
      <w:r>
        <w:rPr>
          <w:rFonts w:ascii="Arial" w:cs="Arial" w:eastAsia="Arial" w:hAnsi="Arial"/>
          <w:color w:val="595959"/>
          <w:sz w:val="22"/>
          <w:szCs w:val="22"/>
        </w:rPr>
        <w:t xml:space="preserve">Process capital equipment requests and prepare ROI analyses for leadership review.</w:t>
      </w:r>
    </w:p>
    <w:p>
      <w:pPr>
        <w:pStyle w:val="Heading3"/>
        <w:spacing w:after="120" w:before="240"/>
      </w:pPr>
      <w:r>
        <w:rPr>
          <w:rFonts w:ascii="Arial" w:cs="Arial" w:eastAsia="Arial" w:hAnsi="Arial"/>
          <w:b/>
          <w:bCs/>
          <w:color w:val="2E75B6"/>
          <w:sz w:val="24"/>
          <w:szCs w:val="24"/>
        </w:rPr>
        <w:t xml:space="preserve">Monthly and Quarterly Tasks</w:t>
      </w:r>
    </w:p>
    <w:p>
      <w:pPr>
        <w:pStyle w:val="ListParagraph"/>
        <w:numPr>
          <w:ilvl w:val="0"/>
          <w:numId w:val="2"/>
        </w:numPr>
        <w:spacing w:after="80"/>
      </w:pPr>
      <w:r>
        <w:rPr>
          <w:rFonts w:ascii="Arial" w:cs="Arial" w:eastAsia="Arial" w:hAnsi="Arial"/>
          <w:color w:val="595959"/>
          <w:sz w:val="22"/>
          <w:szCs w:val="22"/>
        </w:rPr>
        <w:t xml:space="preserve">Generate monthly operational dashboard with YTD performance against targets.</w:t>
      </w:r>
    </w:p>
    <w:p>
      <w:pPr>
        <w:pStyle w:val="ListParagraph"/>
        <w:numPr>
          <w:ilvl w:val="0"/>
          <w:numId w:val="2"/>
        </w:numPr>
        <w:spacing w:after="80"/>
      </w:pPr>
      <w:r>
        <w:rPr>
          <w:rFonts w:ascii="Arial" w:cs="Arial" w:eastAsia="Arial" w:hAnsi="Arial"/>
          <w:color w:val="595959"/>
          <w:sz w:val="22"/>
          <w:szCs w:val="22"/>
        </w:rPr>
        <w:t xml:space="preserve">Conduct supply cost analysis and identify savings opportunities through standardization or renegotiation.</w:t>
      </w:r>
    </w:p>
    <w:p>
      <w:pPr>
        <w:pStyle w:val="ListParagraph"/>
        <w:numPr>
          <w:ilvl w:val="0"/>
          <w:numId w:val="2"/>
        </w:numPr>
        <w:spacing w:after="80"/>
      </w:pPr>
      <w:r>
        <w:rPr>
          <w:rFonts w:ascii="Arial" w:cs="Arial" w:eastAsia="Arial" w:hAnsi="Arial"/>
          <w:color w:val="595959"/>
          <w:sz w:val="22"/>
          <w:szCs w:val="22"/>
        </w:rPr>
        <w:t xml:space="preserve">Prepare regulatory compliance status report tracking all open corrective actions.</w:t>
      </w:r>
    </w:p>
    <w:p>
      <w:pPr>
        <w:pStyle w:val="ListParagraph"/>
        <w:numPr>
          <w:ilvl w:val="0"/>
          <w:numId w:val="2"/>
        </w:numPr>
        <w:spacing w:after="80"/>
      </w:pPr>
      <w:r>
        <w:rPr>
          <w:rFonts w:ascii="Arial" w:cs="Arial" w:eastAsia="Arial" w:hAnsi="Arial"/>
          <w:color w:val="595959"/>
          <w:sz w:val="22"/>
          <w:szCs w:val="22"/>
        </w:rPr>
        <w:t xml:space="preserve">Coordinate emergency preparedness drill scheduling and documentation.</w:t>
      </w:r>
    </w:p>
    <w:p>
      <w:pPr>
        <w:pStyle w:val="ListParagraph"/>
        <w:numPr>
          <w:ilvl w:val="0"/>
          <w:numId w:val="2"/>
        </w:numPr>
        <w:spacing w:after="80"/>
      </w:pPr>
      <w:r>
        <w:rPr>
          <w:rFonts w:ascii="Arial" w:cs="Arial" w:eastAsia="Arial" w:hAnsi="Arial"/>
          <w:color w:val="595959"/>
          <w:sz w:val="22"/>
          <w:szCs w:val="22"/>
        </w:rPr>
        <w:t xml:space="preserve">Analyze patient satisfaction survey data (HCAHPS) for operational improvement opportunities.</w:t>
      </w:r>
    </w:p>
    <w:p>
      <w:pPr>
        <w:pStyle w:val="ListParagraph"/>
        <w:numPr>
          <w:ilvl w:val="0"/>
          <w:numId w:val="2"/>
        </w:numPr>
        <w:spacing w:after="80"/>
      </w:pPr>
      <w:r>
        <w:rPr>
          <w:rFonts w:ascii="Arial" w:cs="Arial" w:eastAsia="Arial" w:hAnsi="Arial"/>
          <w:color w:val="595959"/>
          <w:sz w:val="22"/>
          <w:szCs w:val="22"/>
        </w:rPr>
        <w:t xml:space="preserve">Review and update standard operating procedures for operational workflows.</w:t>
      </w:r>
    </w:p>
    <w:p>
      <w:pPr>
        <w:pStyle w:val="ListParagraph"/>
        <w:numPr>
          <w:ilvl w:val="0"/>
          <w:numId w:val="2"/>
        </w:numPr>
        <w:spacing w:after="80"/>
      </w:pPr>
      <w:r>
        <w:rPr>
          <w:rFonts w:ascii="Arial" w:cs="Arial" w:eastAsia="Arial" w:hAnsi="Arial"/>
          <w:color w:val="595959"/>
          <w:sz w:val="22"/>
          <w:szCs w:val="22"/>
        </w:rPr>
        <w:t xml:space="preserve">Generate quarterly budget variance analysis for operational cost centers.</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Cerner, MEDITECH, Allscripts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census, bed management, clinical workflow data, discharge planning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Staffing/Scheduling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Kronos, API Healthcare, ShiftWizard, QGenda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Staff scheduling, time tracking, credential verification, shift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Bed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TeleTracking, Epic Rover, Capacity IQ</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bed board, patient flow tracking, transfer coordination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Supply 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Lawson, PeopleSoft, GHX, Medline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Inventory management, purchase orders, vendor management, contract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Facilities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TMA Systems, Nuvolo, ServiceNow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Work orders, preventive maintenance, equipment lifecycle, space planning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Business Intelligence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Qlik, Epic Caboodle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Operational dashboards, trend analysis, predictive modeling, reporting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Voalte, TigerConnect, PerfectServe, Slack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messaging, escalation routing, on-call management, team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Systems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Workday, Lawson, Strata Decision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Budget tracking, variance analysis, cost center management, capital planning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Quality/Safety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RL6, Quantros, Midas+, Vizient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Incident reporting, event tracking, benchmarking, quality metric dashboards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Survey/Feedback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Press Ganey, NRC Health, Culture 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satisfaction data, employee engagement, operational feedback</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Census/Bed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De-identified aggregate for reporting; named patients for bed management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Staffing Schedules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scheduling data; cannot modify pay rates or HR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Operational KPIs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create, modify, and distribute operational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Financial/Budget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budget vs. actual for operational cost centers; no access to revenue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Supply Chain/Inventory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inventory levels and purchase orders within approved limits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Facility/Equipment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Track equipment status, manage work orders, view maintenance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Quality/Safety 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incident reports for operational follow-up; no access to peer review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Satisfaction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aggregated survey results; no access to individual patient comments with PHI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Employee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credentials, certifications, and competency records for staffing purposes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Vendor 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contract terms and SLAs; no access to financial terms beyond approved budgets</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Interaction: </w:t>
      </w:r>
      <w:r>
        <w:rPr>
          <w:rFonts w:ascii="Arial" w:cs="Arial" w:eastAsia="Arial" w:hAnsi="Arial"/>
          <w:color w:val="595959"/>
          <w:sz w:val="22"/>
          <w:szCs w:val="22"/>
        </w:rPr>
        <w:t xml:space="preserve">Conducts daily operations huddles via video with department managers. Participates in bed management calls with nursing supervisors. Provides real-time verbal updates during emergency events. Delivers operational briefings to C-suite leadership. Uses professional, calm, and action-oriented communication style appropriate for high-pressure healthcare environments.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real-time operational alerts via TigerConnect or Voalte to clinical staff. Posts daily census updates in department-specific Slack channels. Responds to operational questions from managers within 2 minutes during business hours. Coordinates patient flow decisions with charge nurses and bed coordinators via secure messaging.</w:t>
      </w:r>
    </w:p>
    <w:p>
      <w:pPr>
        <w:pStyle w:val="ListParagraph"/>
        <w:numPr>
          <w:ilvl w:val="0"/>
          <w:numId w:val="2"/>
        </w:numPr>
        <w:spacing w:after="80"/>
      </w:pPr>
      <w:r>
        <w:rPr>
          <w:rFonts w:ascii="Arial" w:cs="Arial" w:eastAsia="Arial" w:hAnsi="Arial"/>
          <w:b/>
          <w:bCs/>
          <w:color w:val="595959"/>
          <w:sz w:val="22"/>
          <w:szCs w:val="22"/>
        </w:rPr>
        <w:t xml:space="preserve">Email Communication: </w:t>
      </w:r>
      <w:r>
        <w:rPr>
          <w:rFonts w:ascii="Arial" w:cs="Arial" w:eastAsia="Arial" w:hAnsi="Arial"/>
          <w:color w:val="595959"/>
          <w:sz w:val="22"/>
          <w:szCs w:val="22"/>
        </w:rPr>
        <w:t xml:space="preserve">Distributes daily operational briefings to leadership distribution list. Sends weekly performance reports to department directors. Coordinates with vendors via email for non-urgent procurement and service matters. Manages regulatory correspondence and survey preparation communications.</w:t>
      </w:r>
    </w:p>
    <w:p>
      <w:pPr>
        <w:pStyle w:val="ListParagraph"/>
        <w:numPr>
          <w:ilvl w:val="0"/>
          <w:numId w:val="2"/>
        </w:numPr>
        <w:spacing w:after="80"/>
      </w:pPr>
      <w:r>
        <w:rPr>
          <w:rFonts w:ascii="Arial" w:cs="Arial" w:eastAsia="Arial" w:hAnsi="Arial"/>
          <w:b/>
          <w:bCs/>
          <w:color w:val="595959"/>
          <w:sz w:val="22"/>
          <w:szCs w:val="22"/>
        </w:rPr>
        <w:t xml:space="preserve">Report Distribution: </w:t>
      </w:r>
      <w:r>
        <w:rPr>
          <w:rFonts w:ascii="Arial" w:cs="Arial" w:eastAsia="Arial" w:hAnsi="Arial"/>
          <w:color w:val="595959"/>
          <w:sz w:val="22"/>
          <w:szCs w:val="22"/>
        </w:rPr>
        <w:t xml:space="preserve">Generates and distributes automated operational dashboards at configured intervals (shift change, daily, weekly, monthly). Publishes real-time bed board visibility to authorized stakeholders. Distributes quality metric updates to department quality leads.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1: Morning Operational Briefing Generation</w:t>
      </w:r>
    </w:p>
    <w:p>
      <w:pPr>
        <w:pStyle w:val="ListParagraph"/>
        <w:numPr>
          <w:ilvl w:val="0"/>
          <w:numId w:val="2"/>
        </w:numPr>
        <w:spacing w:after="80"/>
      </w:pPr>
      <w:r>
        <w:rPr>
          <w:rFonts w:ascii="Arial" w:cs="Arial" w:eastAsia="Arial" w:hAnsi="Arial"/>
          <w:color w:val="595959"/>
          <w:sz w:val="22"/>
          <w:szCs w:val="22"/>
        </w:rPr>
        <w:t xml:space="preserve">Step 1: At 05:30, query EHR system for current census by unit (ICU: 18/20, Med/Surg: 45/52, Telemetry: 22/24, etc.).</w:t>
      </w:r>
    </w:p>
    <w:p>
      <w:pPr>
        <w:pStyle w:val="ListParagraph"/>
        <w:numPr>
          <w:ilvl w:val="0"/>
          <w:numId w:val="2"/>
        </w:numPr>
        <w:spacing w:after="80"/>
      </w:pPr>
      <w:r>
        <w:rPr>
          <w:rFonts w:ascii="Arial" w:cs="Arial" w:eastAsia="Arial" w:hAnsi="Arial"/>
          <w:color w:val="595959"/>
          <w:sz w:val="22"/>
          <w:szCs w:val="22"/>
        </w:rPr>
        <w:t xml:space="preserve">Step 2: Pull staffing data from Kronos for day shift — identify any call-outs, open shifts, or pending agency confirmations.</w:t>
      </w:r>
    </w:p>
    <w:p>
      <w:pPr>
        <w:pStyle w:val="ListParagraph"/>
        <w:numPr>
          <w:ilvl w:val="0"/>
          <w:numId w:val="2"/>
        </w:numPr>
        <w:spacing w:after="80"/>
      </w:pPr>
      <w:r>
        <w:rPr>
          <w:rFonts w:ascii="Arial" w:cs="Arial" w:eastAsia="Arial" w:hAnsi="Arial"/>
          <w:color w:val="595959"/>
          <w:sz w:val="22"/>
          <w:szCs w:val="22"/>
        </w:rPr>
        <w:t xml:space="preserve">Step 3: Query surgical scheduling system for today’s OR cases (14 scheduled, 2 add-ons, 1 requiring ICU bed post-op).</w:t>
      </w:r>
    </w:p>
    <w:p>
      <w:pPr>
        <w:pStyle w:val="ListParagraph"/>
        <w:numPr>
          <w:ilvl w:val="0"/>
          <w:numId w:val="2"/>
        </w:numPr>
        <w:spacing w:after="80"/>
      </w:pPr>
      <w:r>
        <w:rPr>
          <w:rFonts w:ascii="Arial" w:cs="Arial" w:eastAsia="Arial" w:hAnsi="Arial"/>
          <w:color w:val="595959"/>
          <w:sz w:val="22"/>
          <w:szCs w:val="22"/>
        </w:rPr>
        <w:t xml:space="preserve">Step 4: Check discharge planning module for expected discharges (12 planned by noon, 8 pending physician orders).</w:t>
      </w:r>
    </w:p>
    <w:p>
      <w:pPr>
        <w:pStyle w:val="ListParagraph"/>
        <w:numPr>
          <w:ilvl w:val="0"/>
          <w:numId w:val="2"/>
        </w:numPr>
        <w:spacing w:after="80"/>
      </w:pPr>
      <w:r>
        <w:rPr>
          <w:rFonts w:ascii="Arial" w:cs="Arial" w:eastAsia="Arial" w:hAnsi="Arial"/>
          <w:color w:val="595959"/>
          <w:sz w:val="22"/>
          <w:szCs w:val="22"/>
        </w:rPr>
        <w:t xml:space="preserve">Step 5: Review overnight incident reports from RL6 (1 patient fall, 1 medication event — both under investigation).</w:t>
      </w:r>
    </w:p>
    <w:p>
      <w:pPr>
        <w:pStyle w:val="ListParagraph"/>
        <w:numPr>
          <w:ilvl w:val="0"/>
          <w:numId w:val="2"/>
        </w:numPr>
        <w:spacing w:after="80"/>
      </w:pPr>
      <w:r>
        <w:rPr>
          <w:rFonts w:ascii="Arial" w:cs="Arial" w:eastAsia="Arial" w:hAnsi="Arial"/>
          <w:color w:val="595959"/>
          <w:sz w:val="22"/>
          <w:szCs w:val="22"/>
        </w:rPr>
        <w:t xml:space="preserve">Step 6: Check facility alerts (HVAC maintenance in Building B, 3rd floor, 09:00-11:00; elevator 2 out of service).</w:t>
      </w:r>
    </w:p>
    <w:p>
      <w:pPr>
        <w:pStyle w:val="ListParagraph"/>
        <w:numPr>
          <w:ilvl w:val="0"/>
          <w:numId w:val="2"/>
        </w:numPr>
        <w:spacing w:after="80"/>
      </w:pPr>
      <w:r>
        <w:rPr>
          <w:rFonts w:ascii="Arial" w:cs="Arial" w:eastAsia="Arial" w:hAnsi="Arial"/>
          <w:color w:val="595959"/>
          <w:sz w:val="22"/>
          <w:szCs w:val="22"/>
        </w:rPr>
        <w:t xml:space="preserve">Step 7: Compile all data into structured morning briefing document with priority items flagged in red.</w:t>
      </w:r>
    </w:p>
    <w:p>
      <w:pPr>
        <w:pStyle w:val="ListParagraph"/>
        <w:numPr>
          <w:ilvl w:val="0"/>
          <w:numId w:val="2"/>
        </w:numPr>
        <w:spacing w:after="80"/>
      </w:pPr>
      <w:r>
        <w:rPr>
          <w:rFonts w:ascii="Arial" w:cs="Arial" w:eastAsia="Arial" w:hAnsi="Arial"/>
          <w:color w:val="595959"/>
          <w:sz w:val="22"/>
          <w:szCs w:val="22"/>
        </w:rPr>
        <w:t xml:space="preserve">Step 8: Distribute briefing via email to leadership at 06:00 and post summary in #operations Slack channel.</w:t>
      </w:r>
    </w:p>
    <w:p>
      <w:pPr>
        <w:pStyle w:val="ListParagraph"/>
        <w:numPr>
          <w:ilvl w:val="0"/>
          <w:numId w:val="2"/>
        </w:numPr>
        <w:spacing w:after="80"/>
      </w:pPr>
      <w:r>
        <w:rPr>
          <w:rFonts w:ascii="Arial" w:cs="Arial" w:eastAsia="Arial" w:hAnsi="Arial"/>
          <w:color w:val="595959"/>
          <w:sz w:val="22"/>
          <w:szCs w:val="22"/>
        </w:rPr>
        <w:t xml:space="preserve">Step 9: Present verbal briefing during 06:30 operations huddle with department charge nurses.</w:t>
      </w:r>
    </w:p>
    <w:p>
      <w:pPr>
        <w:pStyle w:val="ListParagraph"/>
        <w:numPr>
          <w:ilvl w:val="0"/>
          <w:numId w:val="2"/>
        </w:numPr>
        <w:spacing w:after="80"/>
      </w:pPr>
      <w:r>
        <w:rPr>
          <w:rFonts w:ascii="Arial" w:cs="Arial" w:eastAsia="Arial" w:hAnsi="Arial"/>
          <w:color w:val="595959"/>
          <w:sz w:val="22"/>
          <w:szCs w:val="22"/>
        </w:rPr>
        <w:t xml:space="preserve">Step 10: Log all data sources queried and distribution recipients to the audit trail.</w:t>
      </w:r>
    </w:p>
    <w:p>
      <w:pPr>
        <w:pStyle w:val="Heading3"/>
        <w:spacing w:after="120" w:before="240"/>
      </w:pPr>
      <w:r>
        <w:rPr>
          <w:rFonts w:ascii="Arial" w:cs="Arial" w:eastAsia="Arial" w:hAnsi="Arial"/>
          <w:b/>
          <w:bCs/>
          <w:color w:val="2E75B6"/>
          <w:sz w:val="24"/>
          <w:szCs w:val="24"/>
        </w:rPr>
        <w:t xml:space="preserve">Workflow 2: Staffing Crisis Response</w:t>
      </w:r>
    </w:p>
    <w:p>
      <w:pPr>
        <w:pStyle w:val="ListParagraph"/>
        <w:numPr>
          <w:ilvl w:val="0"/>
          <w:numId w:val="2"/>
        </w:numPr>
        <w:spacing w:after="80"/>
      </w:pPr>
      <w:r>
        <w:rPr>
          <w:rFonts w:ascii="Arial" w:cs="Arial" w:eastAsia="Arial" w:hAnsi="Arial"/>
          <w:color w:val="595959"/>
          <w:sz w:val="22"/>
          <w:szCs w:val="22"/>
        </w:rPr>
        <w:t xml:space="preserve">Step 1: Receive alert at 14:00 that 3 nurses on the night shift (19:00-07:00) have called out sick for Med/Surg unit.</w:t>
      </w:r>
    </w:p>
    <w:p>
      <w:pPr>
        <w:pStyle w:val="ListParagraph"/>
        <w:numPr>
          <w:ilvl w:val="0"/>
          <w:numId w:val="2"/>
        </w:numPr>
        <w:spacing w:after="80"/>
      </w:pPr>
      <w:r>
        <w:rPr>
          <w:rFonts w:ascii="Arial" w:cs="Arial" w:eastAsia="Arial" w:hAnsi="Arial"/>
          <w:color w:val="595959"/>
          <w:sz w:val="22"/>
          <w:szCs w:val="22"/>
        </w:rPr>
        <w:t xml:space="preserve">Step 2: Calculate impact: Unit requires minimum 6 RNs for safe staffing; currently 8 scheduled, minus 3 = 5 (below minimum).</w:t>
      </w:r>
    </w:p>
    <w:p>
      <w:pPr>
        <w:pStyle w:val="ListParagraph"/>
        <w:numPr>
          <w:ilvl w:val="0"/>
          <w:numId w:val="2"/>
        </w:numPr>
        <w:spacing w:after="80"/>
      </w:pPr>
      <w:r>
        <w:rPr>
          <w:rFonts w:ascii="Arial" w:cs="Arial" w:eastAsia="Arial" w:hAnsi="Arial"/>
          <w:color w:val="595959"/>
          <w:sz w:val="22"/>
          <w:szCs w:val="22"/>
        </w:rPr>
        <w:t xml:space="preserve">Step 3: Check internal float pool availability — identify 1 float RN with Med/Surg competency available for tonight.</w:t>
      </w:r>
    </w:p>
    <w:p>
      <w:pPr>
        <w:pStyle w:val="ListParagraph"/>
        <w:numPr>
          <w:ilvl w:val="0"/>
          <w:numId w:val="2"/>
        </w:numPr>
        <w:spacing w:after="80"/>
      </w:pPr>
      <w:r>
        <w:rPr>
          <w:rFonts w:ascii="Arial" w:cs="Arial" w:eastAsia="Arial" w:hAnsi="Arial"/>
          <w:color w:val="595959"/>
          <w:sz w:val="22"/>
          <w:szCs w:val="22"/>
        </w:rPr>
        <w:t xml:space="preserve">Step 4: Query Kronos for Med/Surg RNs who are off tonight but have not exceeded overtime limits — identify 4 candidates.</w:t>
      </w:r>
    </w:p>
    <w:p>
      <w:pPr>
        <w:pStyle w:val="ListParagraph"/>
        <w:numPr>
          <w:ilvl w:val="0"/>
          <w:numId w:val="2"/>
        </w:numPr>
        <w:spacing w:after="80"/>
      </w:pPr>
      <w:r>
        <w:rPr>
          <w:rFonts w:ascii="Arial" w:cs="Arial" w:eastAsia="Arial" w:hAnsi="Arial"/>
          <w:color w:val="595959"/>
          <w:sz w:val="22"/>
          <w:szCs w:val="22"/>
        </w:rPr>
        <w:t xml:space="preserve">Step 5: Send secure messages to 4 candidates offering overtime shift with incentive pay per union contract terms.</w:t>
      </w:r>
    </w:p>
    <w:p>
      <w:pPr>
        <w:pStyle w:val="ListParagraph"/>
        <w:numPr>
          <w:ilvl w:val="0"/>
          <w:numId w:val="2"/>
        </w:numPr>
        <w:spacing w:after="80"/>
      </w:pPr>
      <w:r>
        <w:rPr>
          <w:rFonts w:ascii="Arial" w:cs="Arial" w:eastAsia="Arial" w:hAnsi="Arial"/>
          <w:color w:val="595959"/>
          <w:sz w:val="22"/>
          <w:szCs w:val="22"/>
        </w:rPr>
        <w:t xml:space="preserve">Step 6: While awaiting responses (30-minute window), contact staffing agency (AMN, Cross Country) for backup coverage.</w:t>
      </w:r>
    </w:p>
    <w:p>
      <w:pPr>
        <w:pStyle w:val="ListParagraph"/>
        <w:numPr>
          <w:ilvl w:val="0"/>
          <w:numId w:val="2"/>
        </w:numPr>
        <w:spacing w:after="80"/>
      </w:pPr>
      <w:r>
        <w:rPr>
          <w:rFonts w:ascii="Arial" w:cs="Arial" w:eastAsia="Arial" w:hAnsi="Arial"/>
          <w:color w:val="595959"/>
          <w:sz w:val="22"/>
          <w:szCs w:val="22"/>
        </w:rPr>
        <w:t xml:space="preserve">Step 7: At 14:30, 2 internal nurses accept overtime. Float pool provides 1. Total now 8 RNs (minimum met).</w:t>
      </w:r>
    </w:p>
    <w:p>
      <w:pPr>
        <w:pStyle w:val="ListParagraph"/>
        <w:numPr>
          <w:ilvl w:val="0"/>
          <w:numId w:val="2"/>
        </w:numPr>
        <w:spacing w:after="80"/>
      </w:pPr>
      <w:r>
        <w:rPr>
          <w:rFonts w:ascii="Arial" w:cs="Arial" w:eastAsia="Arial" w:hAnsi="Arial"/>
          <w:color w:val="595959"/>
          <w:sz w:val="22"/>
          <w:szCs w:val="22"/>
        </w:rPr>
        <w:t xml:space="preserve">Step 8: Cancel agency request (within cancellation window to avoid charges).</w:t>
      </w:r>
    </w:p>
    <w:p>
      <w:pPr>
        <w:pStyle w:val="ListParagraph"/>
        <w:numPr>
          <w:ilvl w:val="0"/>
          <w:numId w:val="2"/>
        </w:numPr>
        <w:spacing w:after="80"/>
      </w:pPr>
      <w:r>
        <w:rPr>
          <w:rFonts w:ascii="Arial" w:cs="Arial" w:eastAsia="Arial" w:hAnsi="Arial"/>
          <w:color w:val="595959"/>
          <w:sz w:val="22"/>
          <w:szCs w:val="22"/>
        </w:rPr>
        <w:t xml:space="preserve">Step 9: Update Kronos schedule with confirmed assignments. Notify unit charge nurse of final staffing plan.</w:t>
      </w:r>
    </w:p>
    <w:p>
      <w:pPr>
        <w:pStyle w:val="ListParagraph"/>
        <w:numPr>
          <w:ilvl w:val="0"/>
          <w:numId w:val="2"/>
        </w:numPr>
        <w:spacing w:after="80"/>
      </w:pPr>
      <w:r>
        <w:rPr>
          <w:rFonts w:ascii="Arial" w:cs="Arial" w:eastAsia="Arial" w:hAnsi="Arial"/>
          <w:color w:val="595959"/>
          <w:sz w:val="22"/>
          <w:szCs w:val="22"/>
        </w:rPr>
        <w:t xml:space="preserve">Step 10: Log staffing event in operational dashboard. Flag overtime cost impact in budget tracking system.</w:t>
      </w:r>
    </w:p>
    <w:p>
      <w:pPr>
        <w:pStyle w:val="ListParagraph"/>
        <w:numPr>
          <w:ilvl w:val="0"/>
          <w:numId w:val="2"/>
        </w:numPr>
        <w:spacing w:after="80"/>
      </w:pPr>
      <w:r>
        <w:rPr>
          <w:rFonts w:ascii="Arial" w:cs="Arial" w:eastAsia="Arial" w:hAnsi="Arial"/>
          <w:color w:val="595959"/>
          <w:sz w:val="22"/>
          <w:szCs w:val="22"/>
        </w:rPr>
        <w:t xml:space="preserve">Step 11: Add event to weekly staffing trend report for pattern analysis (recurrent Med/Surg callouts).</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Staffing Gap Resolution 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2 hours from identification to coverage confirmation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Timestamp from alert to confirmed schedule update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Bed Turnaround 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45 minutes from discharge to cleaned/ready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discharge timestamp to bed board ready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 First Case On-Time Start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85% of first cases start within 5 minutes of scheduled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Surgical scheduling system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ED Boarding 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4 hours average (CMS benchmark)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ED tracking board admission order to bed assignment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Operational Report Timeliness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daily briefings delivered by 06:00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Email delivery timestamp vs. 06:00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Budget Variance (Operational)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Within +/- 3% of approved budget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Monthly financial system actuals vs. budget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Vendor SLA Compliance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of vendors meeting contractual SLAs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Quarterly vendor scorecard reviews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Incident Report Completion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operational incidents documented within 24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RL6 submission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Satisfaction (Operations)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HCAHPS facility cleanliness and noise scores &gt; 70th percentile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Press Ganey quarterly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Emergency Drill Compliance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required drills completed per annual plan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Drill completion logs vs. scheduled plan</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Community Hospital (200 beds)</w:t>
      </w:r>
    </w:p>
    <w:p>
      <w:pPr>
        <w:spacing w:after="120"/>
      </w:pPr>
      <w:r>
        <w:rPr>
          <w:rFonts w:ascii="Arial" w:cs="Arial" w:eastAsia="Arial" w:hAnsi="Arial"/>
          <w:color w:val="595959"/>
          <w:sz w:val="22"/>
          <w:szCs w:val="22"/>
        </w:rPr>
        <w:t xml:space="preserve">A 200-bed community hospital deploys the Healthcare Operations Manager AI to provide 24/7 operational coverage that their single human Operations Director cannot maintain. The AI monitors overnight census changes, coordinates early morning bed assignments for scheduled admissions, manages after-hours staffing adjustments, and generates comprehensive morning briefings that allow the Operations Director to start each day fully informed. Result: 30% reduction in morning huddle duration, 15% improvement in bed turnaround time, and $180,000 annual savings from optimized staffing agency utilization.</w:t>
      </w:r>
    </w:p>
    <w:p>
      <w:pPr>
        <w:pStyle w:val="Heading3"/>
        <w:spacing w:after="120" w:before="240"/>
      </w:pPr>
      <w:r>
        <w:rPr>
          <w:rFonts w:ascii="Arial" w:cs="Arial" w:eastAsia="Arial" w:hAnsi="Arial"/>
          <w:b/>
          <w:bCs/>
          <w:color w:val="2E75B6"/>
          <w:sz w:val="24"/>
          <w:szCs w:val="24"/>
        </w:rPr>
        <w:t xml:space="preserve">Use Case 2: Multi-Hospital Health System (5 facilities)</w:t>
      </w:r>
    </w:p>
    <w:p>
      <w:pPr>
        <w:spacing w:after="120"/>
      </w:pPr>
      <w:r>
        <w:rPr>
          <w:rFonts w:ascii="Arial" w:cs="Arial" w:eastAsia="Arial" w:hAnsi="Arial"/>
          <w:color w:val="595959"/>
          <w:sz w:val="22"/>
          <w:szCs w:val="22"/>
        </w:rPr>
        <w:t xml:space="preserve">A health system with 5 hospitals and 12 outpatient clinics deploys the Healthcare Operations Manager AI as a system-level coordination layer. The AI monitors capacity across all facilities, facilitates inter-facility patient transfers when individual hospitals reach capacity, standardizes operational reporting across the system, and provides the system COO with a unified operational dashboard. Result: 22% reduction in ambulance diversion hours system-wide, unified KPI reporting saving 40 hours of manual compilation per month, and improved load balancing resulting in 8% system-wide length of stay reduction.</w:t>
      </w:r>
    </w:p>
    <w:p>
      <w:pPr>
        <w:pStyle w:val="Heading3"/>
        <w:spacing w:after="120" w:before="240"/>
      </w:pPr>
      <w:r>
        <w:rPr>
          <w:rFonts w:ascii="Arial" w:cs="Arial" w:eastAsia="Arial" w:hAnsi="Arial"/>
          <w:b/>
          <w:bCs/>
          <w:color w:val="2E75B6"/>
          <w:sz w:val="24"/>
          <w:szCs w:val="24"/>
        </w:rPr>
        <w:t xml:space="preserve">Use Case 3: Ambulatory Surgery Center</w:t>
      </w:r>
    </w:p>
    <w:p>
      <w:pPr>
        <w:spacing w:after="120"/>
      </w:pPr>
      <w:r>
        <w:rPr>
          <w:rFonts w:ascii="Arial" w:cs="Arial" w:eastAsia="Arial" w:hAnsi="Arial"/>
          <w:color w:val="595959"/>
          <w:sz w:val="22"/>
          <w:szCs w:val="22"/>
        </w:rPr>
        <w:t xml:space="preserve">A freestanding ambulatory surgery center with 6 operating rooms uses the Healthcare Operations Manager AI to maximize surgical throughput. The AI optimizes the daily surgical schedule to minimize room turnover gaps, coordinates equipment sterilization workflows, manages anesthesia staffing alignment with case schedules, tracks supply consumption per case for cost analysis, and ensures all pre-operative requirements are complete before the patient arrives. Result: Average of 1.2 additional cases per day across the center (representing approximately $1.8M additional annual revenue), 95% first-case on-time starts (up from 72%), and 40% reduction in surgical supply waste.</w:t>
      </w:r>
    </w:p>
    <w:p>
      <w:r>
        <w:br w:type="page"/>
      </w:r>
    </w:p>
    <w:p>
      <w:pPr>
        <w:pStyle w:val="Heading1"/>
        <w:spacing w:after="200" w:before="360"/>
      </w:pPr>
      <w:r>
        <w:rPr>
          <w:rFonts w:ascii="Arial" w:cs="Arial" w:eastAsia="Arial" w:hAnsi="Arial"/>
          <w:b/>
          <w:bCs/>
          <w:color w:val="2E75B6"/>
          <w:sz w:val="32"/>
          <w:szCs w:val="32"/>
        </w:rPr>
        <w:t xml:space="preserve">Role 2: Medical Records Coordinator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Medical Records Coordinator AI</w:t>
      </w:r>
    </w:p>
    <w:p>
      <w:pPr>
        <w:spacing w:after="120"/>
      </w:pPr>
      <w:r>
        <w:rPr>
          <w:rFonts w:ascii="Arial" w:cs="Arial" w:eastAsia="Arial" w:hAnsi="Arial"/>
          <w:color w:val="595959"/>
          <w:sz w:val="22"/>
          <w:szCs w:val="22"/>
        </w:rPr>
        <w:t xml:space="preserve">Department: Health Information Management (HIM)</w:t>
      </w:r>
    </w:p>
    <w:p>
      <w:pPr>
        <w:spacing w:after="120"/>
      </w:pPr>
      <w:r>
        <w:rPr>
          <w:rFonts w:ascii="Arial" w:cs="Arial" w:eastAsia="Arial" w:hAnsi="Arial"/>
          <w:color w:val="595959"/>
          <w:sz w:val="22"/>
          <w:szCs w:val="22"/>
        </w:rPr>
        <w:t xml:space="preserve">Reports To: Director of Health Information Management</w:t>
      </w:r>
    </w:p>
    <w:p>
      <w:pPr>
        <w:spacing w:after="120"/>
      </w:pPr>
      <w:r>
        <w:rPr>
          <w:rFonts w:ascii="Arial" w:cs="Arial" w:eastAsia="Arial" w:hAnsi="Arial"/>
          <w:color w:val="595959"/>
          <w:sz w:val="22"/>
          <w:szCs w:val="22"/>
        </w:rPr>
        <w:t xml:space="preserve">Seniority Level: 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Medical Records Coordinator AI manages the lifecycle of patient medical records within the healthcare organization, ensuring record integrity, completeness, accessibility, and regulatory compliance. This AI employee handles the complex and high-volume work of medical record management, including chart completion tracking, release of information (ROI) processing, record amendment management, document indexing and filing, record retention and destruction scheduling, and audit trail maintenance.</w:t>
      </w:r>
    </w:p>
    <w:p>
      <w:pPr>
        <w:spacing w:after="120"/>
      </w:pPr>
      <w:r>
        <w:rPr>
          <w:rFonts w:ascii="Arial" w:cs="Arial" w:eastAsia="Arial" w:hAnsi="Arial"/>
          <w:color w:val="595959"/>
          <w:sz w:val="22"/>
          <w:szCs w:val="22"/>
        </w:rPr>
        <w:t xml:space="preserve">In the modern healthcare environment, medical records span multiple systems (EHR, legacy paper archives, imaging archives, external health information exchanges), and ensuring a unified, complete, and accurate patient record is critical for both clinical care and legal/regulatory compliance. The Medical Records Coordinator AI navigates this complexity by integrating with all record repositories, tracking documentation deficiencies, enforcing completion timelines, and managing the sensitive process of releasing protected health information to authorized requestors.</w:t>
      </w:r>
    </w:p>
    <w:p>
      <w:pPr>
        <w:spacing w:after="120"/>
      </w:pPr>
      <w:r>
        <w:rPr>
          <w:rFonts w:ascii="Arial" w:cs="Arial" w:eastAsia="Arial" w:hAnsi="Arial"/>
          <w:color w:val="595959"/>
          <w:sz w:val="22"/>
          <w:szCs w:val="22"/>
        </w:rPr>
        <w:t xml:space="preserve">This role requires meticulous attention to detail, deep knowledge of HIPAA Privacy Rule requirements (particularly the Minimum Necessary Standard and individual rights provisions), state-specific health information laws, and organizational policies governing record access. The AI employee processes high volumes of routine requests with perfect consistency while flagging complex cases (subpoenas, litigation holds, unusual access patterns) for human HIM professional review.</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Chart Completion Management: </w:t>
      </w:r>
      <w:r>
        <w:rPr>
          <w:rFonts w:ascii="Arial" w:cs="Arial" w:eastAsia="Arial" w:hAnsi="Arial"/>
          <w:color w:val="595959"/>
          <w:sz w:val="22"/>
          <w:szCs w:val="22"/>
        </w:rPr>
        <w:t xml:space="preserve">Monitor physician and clinical staff documentation completion rates. Track outstanding signatures, dictation transcriptions, verbal order authentications, and required clinical notes. Send automated reminders at escalating urgency levels. Compile delinquent record reports for Medical Staff Office and department chairs. Flag records approaching regulatory completion deadlines.</w:t>
      </w:r>
    </w:p>
    <w:p>
      <w:pPr>
        <w:pStyle w:val="ListParagraph"/>
        <w:numPr>
          <w:ilvl w:val="0"/>
          <w:numId w:val="2"/>
        </w:numPr>
        <w:spacing w:after="80"/>
      </w:pPr>
      <w:r>
        <w:rPr>
          <w:rFonts w:ascii="Arial" w:cs="Arial" w:eastAsia="Arial" w:hAnsi="Arial"/>
          <w:b/>
          <w:bCs/>
          <w:color w:val="595959"/>
          <w:sz w:val="22"/>
          <w:szCs w:val="22"/>
        </w:rPr>
        <w:t xml:space="preserve">Release of Information (ROI): </w:t>
      </w:r>
      <w:r>
        <w:rPr>
          <w:rFonts w:ascii="Arial" w:cs="Arial" w:eastAsia="Arial" w:hAnsi="Arial"/>
          <w:color w:val="595959"/>
          <w:sz w:val="22"/>
          <w:szCs w:val="22"/>
        </w:rPr>
        <w:t xml:space="preserve">Process incoming requests for medical records from patients, attorneys, insurance companies, other healthcare providers, government agencies, and law enforcement. Validate requestor identity and authorization. Verify the legal basis for each release (patient authorization, subpoena, court order, treatment/payment/operations exception, public health reporting). Apply the Minimum Necessary Standard to limit disclosures. Track turnaround times and ensure compliance with state-mandated response deadlines.</w:t>
      </w:r>
    </w:p>
    <w:p>
      <w:pPr>
        <w:pStyle w:val="ListParagraph"/>
        <w:numPr>
          <w:ilvl w:val="0"/>
          <w:numId w:val="2"/>
        </w:numPr>
        <w:spacing w:after="80"/>
      </w:pPr>
      <w:r>
        <w:rPr>
          <w:rFonts w:ascii="Arial" w:cs="Arial" w:eastAsia="Arial" w:hAnsi="Arial"/>
          <w:b/>
          <w:bCs/>
          <w:color w:val="595959"/>
          <w:sz w:val="22"/>
          <w:szCs w:val="22"/>
        </w:rPr>
        <w:t xml:space="preserve">Record Integrity and Quality: </w:t>
      </w:r>
      <w:r>
        <w:rPr>
          <w:rFonts w:ascii="Arial" w:cs="Arial" w:eastAsia="Arial" w:hAnsi="Arial"/>
          <w:color w:val="595959"/>
          <w:sz w:val="22"/>
          <w:szCs w:val="22"/>
        </w:rPr>
        <w:t xml:space="preserve">Monitor EHR documentation for completeness, accuracy, and consistency. Identify duplicate patient records (MPI integrity) and initiate merge workflows. Track and process record amendment requests per HIPAA Amendment Right procedures. Ensure scanned documents are properly indexed and associated with correct patient records. Validate that all clinical encounters have required documentation elements.</w:t>
      </w:r>
    </w:p>
    <w:p>
      <w:pPr>
        <w:pStyle w:val="ListParagraph"/>
        <w:numPr>
          <w:ilvl w:val="0"/>
          <w:numId w:val="2"/>
        </w:numPr>
        <w:spacing w:after="80"/>
      </w:pPr>
      <w:r>
        <w:rPr>
          <w:rFonts w:ascii="Arial" w:cs="Arial" w:eastAsia="Arial" w:hAnsi="Arial"/>
          <w:b/>
          <w:bCs/>
          <w:color w:val="595959"/>
          <w:sz w:val="22"/>
          <w:szCs w:val="22"/>
        </w:rPr>
        <w:t xml:space="preserve">Record Retention and Destruction: </w:t>
      </w:r>
      <w:r>
        <w:rPr>
          <w:rFonts w:ascii="Arial" w:cs="Arial" w:eastAsia="Arial" w:hAnsi="Arial"/>
          <w:color w:val="595959"/>
          <w:sz w:val="22"/>
          <w:szCs w:val="22"/>
        </w:rPr>
        <w:t xml:space="preserve">Maintain the organization’s record retention schedule in compliance with federal and state requirements. Identify records eligible for destruction based on retention periods. Coordinate destruction workflows with proper documentation and certificate of destruction generation. Manage litigation holds that suspend destruction for records under legal review.</w:t>
      </w:r>
    </w:p>
    <w:p>
      <w:pPr>
        <w:pStyle w:val="ListParagraph"/>
        <w:numPr>
          <w:ilvl w:val="0"/>
          <w:numId w:val="2"/>
        </w:numPr>
        <w:spacing w:after="80"/>
      </w:pPr>
      <w:r>
        <w:rPr>
          <w:rFonts w:ascii="Arial" w:cs="Arial" w:eastAsia="Arial" w:hAnsi="Arial"/>
          <w:b/>
          <w:bCs/>
          <w:color w:val="595959"/>
          <w:sz w:val="22"/>
          <w:szCs w:val="22"/>
        </w:rPr>
        <w:t xml:space="preserve">Audit and Compliance: </w:t>
      </w:r>
      <w:r>
        <w:rPr>
          <w:rFonts w:ascii="Arial" w:cs="Arial" w:eastAsia="Arial" w:hAnsi="Arial"/>
          <w:color w:val="595959"/>
          <w:sz w:val="22"/>
          <w:szCs w:val="22"/>
        </w:rPr>
        <w:t xml:space="preserve">Generate access audit reports showing who accessed which patient records and when. Identify potential unauthorized access patterns for privacy officer investigation. Support internal and external audits by providing record access logs, documentation completion statistics, and ROI compliance reports. Maintain chain of custody documentation for records involved in legal proceedings.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Process incoming ROI requests (average 50-200 per day depending on facility size) with automated authorization validation.</w:t>
      </w:r>
    </w:p>
    <w:p>
      <w:pPr>
        <w:pStyle w:val="ListParagraph"/>
        <w:numPr>
          <w:ilvl w:val="0"/>
          <w:numId w:val="2"/>
        </w:numPr>
        <w:spacing w:after="80"/>
      </w:pPr>
      <w:r>
        <w:rPr>
          <w:rFonts w:ascii="Arial" w:cs="Arial" w:eastAsia="Arial" w:hAnsi="Arial"/>
          <w:color w:val="595959"/>
          <w:sz w:val="22"/>
          <w:szCs w:val="22"/>
        </w:rPr>
        <w:t xml:space="preserve">Generate daily chart completion deficiency reports by physician and department.</w:t>
      </w:r>
    </w:p>
    <w:p>
      <w:pPr>
        <w:pStyle w:val="ListParagraph"/>
        <w:numPr>
          <w:ilvl w:val="0"/>
          <w:numId w:val="2"/>
        </w:numPr>
        <w:spacing w:after="80"/>
      </w:pPr>
      <w:r>
        <w:rPr>
          <w:rFonts w:ascii="Arial" w:cs="Arial" w:eastAsia="Arial" w:hAnsi="Arial"/>
          <w:color w:val="595959"/>
          <w:sz w:val="22"/>
          <w:szCs w:val="22"/>
        </w:rPr>
        <w:t xml:space="preserve">Send automated reminders to physicians with incomplete charts at 7, 14, 21, and 28-day intervals.</w:t>
      </w:r>
    </w:p>
    <w:p>
      <w:pPr>
        <w:pStyle w:val="ListParagraph"/>
        <w:numPr>
          <w:ilvl w:val="0"/>
          <w:numId w:val="2"/>
        </w:numPr>
        <w:spacing w:after="80"/>
      </w:pPr>
      <w:r>
        <w:rPr>
          <w:rFonts w:ascii="Arial" w:cs="Arial" w:eastAsia="Arial" w:hAnsi="Arial"/>
          <w:color w:val="595959"/>
          <w:sz w:val="22"/>
          <w:szCs w:val="22"/>
        </w:rPr>
        <w:t xml:space="preserve">Compile monthly Medical Executive Committee report on chart completion rates and delinquency trends.</w:t>
      </w:r>
    </w:p>
    <w:p>
      <w:pPr>
        <w:pStyle w:val="ListParagraph"/>
        <w:numPr>
          <w:ilvl w:val="0"/>
          <w:numId w:val="2"/>
        </w:numPr>
        <w:spacing w:after="80"/>
      </w:pPr>
      <w:r>
        <w:rPr>
          <w:rFonts w:ascii="Arial" w:cs="Arial" w:eastAsia="Arial" w:hAnsi="Arial"/>
          <w:color w:val="595959"/>
          <w:sz w:val="22"/>
          <w:szCs w:val="22"/>
        </w:rPr>
        <w:t xml:space="preserve">Validate patient authorization forms for completeness (required elements per state law).</w:t>
      </w:r>
    </w:p>
    <w:p>
      <w:pPr>
        <w:pStyle w:val="ListParagraph"/>
        <w:numPr>
          <w:ilvl w:val="0"/>
          <w:numId w:val="2"/>
        </w:numPr>
        <w:spacing w:after="80"/>
      </w:pPr>
      <w:r>
        <w:rPr>
          <w:rFonts w:ascii="Arial" w:cs="Arial" w:eastAsia="Arial" w:hAnsi="Arial"/>
          <w:color w:val="595959"/>
          <w:sz w:val="22"/>
          <w:szCs w:val="22"/>
        </w:rPr>
        <w:t xml:space="preserve">Apply Minimum Necessary Standard filters to ROI disclosures based on request type and purpose.</w:t>
      </w:r>
    </w:p>
    <w:p>
      <w:pPr>
        <w:pStyle w:val="ListParagraph"/>
        <w:numPr>
          <w:ilvl w:val="0"/>
          <w:numId w:val="2"/>
        </w:numPr>
        <w:spacing w:after="80"/>
      </w:pPr>
      <w:r>
        <w:rPr>
          <w:rFonts w:ascii="Arial" w:cs="Arial" w:eastAsia="Arial" w:hAnsi="Arial"/>
          <w:color w:val="595959"/>
          <w:sz w:val="22"/>
          <w:szCs w:val="22"/>
        </w:rPr>
        <w:t xml:space="preserve">Track ROI response deadlines (typically 30 days per state law; 15 days for patient access requests).</w:t>
      </w:r>
    </w:p>
    <w:p>
      <w:pPr>
        <w:pStyle w:val="ListParagraph"/>
        <w:numPr>
          <w:ilvl w:val="0"/>
          <w:numId w:val="2"/>
        </w:numPr>
        <w:spacing w:after="80"/>
      </w:pPr>
      <w:r>
        <w:rPr>
          <w:rFonts w:ascii="Arial" w:cs="Arial" w:eastAsia="Arial" w:hAnsi="Arial"/>
          <w:color w:val="595959"/>
          <w:sz w:val="22"/>
          <w:szCs w:val="22"/>
        </w:rPr>
        <w:t xml:space="preserve">Process patient requests for record amendments and route to appropriate clinical staff for review.</w:t>
      </w:r>
    </w:p>
    <w:p>
      <w:pPr>
        <w:pStyle w:val="ListParagraph"/>
        <w:numPr>
          <w:ilvl w:val="0"/>
          <w:numId w:val="2"/>
        </w:numPr>
        <w:spacing w:after="80"/>
      </w:pPr>
      <w:r>
        <w:rPr>
          <w:rFonts w:ascii="Arial" w:cs="Arial" w:eastAsia="Arial" w:hAnsi="Arial"/>
          <w:color w:val="595959"/>
          <w:sz w:val="22"/>
          <w:szCs w:val="22"/>
        </w:rPr>
        <w:t xml:space="preserve">Maintain Master Patient Index (MPI) integrity by flagging potential duplicate records for review.</w:t>
      </w:r>
    </w:p>
    <w:p>
      <w:pPr>
        <w:pStyle w:val="ListParagraph"/>
        <w:numPr>
          <w:ilvl w:val="0"/>
          <w:numId w:val="2"/>
        </w:numPr>
        <w:spacing w:after="80"/>
      </w:pPr>
      <w:r>
        <w:rPr>
          <w:rFonts w:ascii="Arial" w:cs="Arial" w:eastAsia="Arial" w:hAnsi="Arial"/>
          <w:color w:val="595959"/>
          <w:sz w:val="22"/>
          <w:szCs w:val="22"/>
        </w:rPr>
        <w:t xml:space="preserve">Index and file incoming documents (lab results, external records, correspondence) to correct patient charts.</w:t>
      </w:r>
    </w:p>
    <w:p>
      <w:pPr>
        <w:pStyle w:val="ListParagraph"/>
        <w:numPr>
          <w:ilvl w:val="0"/>
          <w:numId w:val="2"/>
        </w:numPr>
        <w:spacing w:after="80"/>
      </w:pPr>
      <w:r>
        <w:rPr>
          <w:rFonts w:ascii="Arial" w:cs="Arial" w:eastAsia="Arial" w:hAnsi="Arial"/>
          <w:color w:val="595959"/>
          <w:sz w:val="22"/>
          <w:szCs w:val="22"/>
        </w:rPr>
        <w:t xml:space="preserve">Generate quarterly record retention review identifying records eligible for destruction.</w:t>
      </w:r>
    </w:p>
    <w:p>
      <w:pPr>
        <w:pStyle w:val="ListParagraph"/>
        <w:numPr>
          <w:ilvl w:val="0"/>
          <w:numId w:val="2"/>
        </w:numPr>
        <w:spacing w:after="80"/>
      </w:pPr>
      <w:r>
        <w:rPr>
          <w:rFonts w:ascii="Arial" w:cs="Arial" w:eastAsia="Arial" w:hAnsi="Arial"/>
          <w:color w:val="595959"/>
          <w:sz w:val="22"/>
          <w:szCs w:val="22"/>
        </w:rPr>
        <w:t xml:space="preserve">Produce access audit reports for Privacy Officer review on a monthly basis.</w:t>
      </w:r>
    </w:p>
    <w:p>
      <w:pPr>
        <w:pStyle w:val="ListParagraph"/>
        <w:numPr>
          <w:ilvl w:val="0"/>
          <w:numId w:val="2"/>
        </w:numPr>
        <w:spacing w:after="80"/>
      </w:pPr>
      <w:r>
        <w:rPr>
          <w:rFonts w:ascii="Arial" w:cs="Arial" w:eastAsia="Arial" w:hAnsi="Arial"/>
          <w:color w:val="595959"/>
          <w:sz w:val="22"/>
          <w:szCs w:val="22"/>
        </w:rPr>
        <w:t xml:space="preserve">Track subpoena processing timelines and ensure legal compliance deadlines are met.</w:t>
      </w:r>
    </w:p>
    <w:p>
      <w:pPr>
        <w:pStyle w:val="ListParagraph"/>
        <w:numPr>
          <w:ilvl w:val="0"/>
          <w:numId w:val="2"/>
        </w:numPr>
        <w:spacing w:after="80"/>
      </w:pPr>
      <w:r>
        <w:rPr>
          <w:rFonts w:ascii="Arial" w:cs="Arial" w:eastAsia="Arial" w:hAnsi="Arial"/>
          <w:color w:val="595959"/>
          <w:sz w:val="22"/>
          <w:szCs w:val="22"/>
        </w:rPr>
        <w:t xml:space="preserve">Coordinate with external ROI vendors (Ciox, MRO, Verisma) for high-volume request processing.</w:t>
      </w:r>
    </w:p>
    <w:p>
      <w:pPr>
        <w:pStyle w:val="ListParagraph"/>
        <w:numPr>
          <w:ilvl w:val="0"/>
          <w:numId w:val="2"/>
        </w:numPr>
        <w:spacing w:after="80"/>
      </w:pPr>
      <w:r>
        <w:rPr>
          <w:rFonts w:ascii="Arial" w:cs="Arial" w:eastAsia="Arial" w:hAnsi="Arial"/>
          <w:color w:val="595959"/>
          <w:sz w:val="22"/>
          <w:szCs w:val="22"/>
        </w:rPr>
        <w:t xml:space="preserve">Generate statistics on ROI volumes, turnaround times, denial rates, and revenue from copy fees.</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(ROI Module), Cerner, MEDITECH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Chart completion tracking, document management, patient record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Ciox/Datavant, MRO, Verisma, ChartRequest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Request intake, authorization validation, record preparation, delivery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OnBase, Laserfiche, Hyland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Scanned document indexing, legacy record storage, document retrieval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Identity Verification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LexisNexis, Experian Health, CLEAR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Requestor identity verification for ROI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MPI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IBM Initiate, Verato, Just Associates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Duplicate detection, record matching, MPI cleanup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Secure email, patient portal, fax server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delivery, physician reminders, requestor correspondence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Epic reporting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volume tracking, completion rate dashboards, compliance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Legal 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Exterro, Relativity, custom legal hold 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Litigation hold management, preservation notices, hold release tracking</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Medical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access for ROI processing and chart completion tracking; cannot modify clinical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Chart Completion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Track and update deficiency statuses; send reminders; cannot modify clinical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Requests/Authorizations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management of ROI workflow; store authorization forms per retention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Audit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Generate audit reports for privacy officer; cannot modify or delete audit entries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MPI/Patient Demographics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Review for duplicate detection; cannot create or delete patient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Legal Hold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litigation hold status; cannot create or release holds (legal department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Credentials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physician names and specialties for chart assignment; no access to credentialing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Billing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 to financial or billing data; ROI fee tracking handled separately</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Responds to physician inquiries about chart completion requirements via video call. Walks clinical staff through documentation deficiency resolution. Provides training on ROI request processing to new HIM staff.</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chart completion reminders to physicians via secure messaging. Responds to staff questions about record access procedures. Provides real-time status updates on ROI request processing to authorized requestors.</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chart completion deficiency reports to department chairs. Sends ROI correspondence to external requestors. Distributes monthly HIM metrics reports to leadership. Communicates record retention and destruction schedules to department managers.</w:t>
      </w:r>
    </w:p>
    <w:p>
      <w:pPr>
        <w:pStyle w:val="ListParagraph"/>
        <w:numPr>
          <w:ilvl w:val="0"/>
          <w:numId w:val="2"/>
        </w:numPr>
        <w:spacing w:after="80"/>
      </w:pPr>
      <w:r>
        <w:rPr>
          <w:rFonts w:ascii="Arial" w:cs="Arial" w:eastAsia="Arial" w:hAnsi="Arial"/>
          <w:b/>
          <w:bCs/>
          <w:color w:val="595959"/>
          <w:sz w:val="22"/>
          <w:szCs w:val="22"/>
        </w:rPr>
        <w:t xml:space="preserve">Patient Portal: </w:t>
      </w:r>
      <w:r>
        <w:rPr>
          <w:rFonts w:ascii="Arial" w:cs="Arial" w:eastAsia="Arial" w:hAnsi="Arial"/>
          <w:color w:val="595959"/>
          <w:sz w:val="22"/>
          <w:szCs w:val="22"/>
        </w:rPr>
        <w:t xml:space="preserve">Processes patient access requests submitted through the patient portal. Delivers requested records to patients via the secure portal download feature. Communicates record amendment decisions to patients.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Release of Information — Attorney Subpoena Processing</w:t>
      </w:r>
    </w:p>
    <w:p>
      <w:pPr>
        <w:pStyle w:val="ListParagraph"/>
        <w:numPr>
          <w:ilvl w:val="0"/>
          <w:numId w:val="2"/>
        </w:numPr>
        <w:spacing w:after="80"/>
      </w:pPr>
      <w:r>
        <w:rPr>
          <w:rFonts w:ascii="Arial" w:cs="Arial" w:eastAsia="Arial" w:hAnsi="Arial"/>
          <w:color w:val="595959"/>
          <w:sz w:val="22"/>
          <w:szCs w:val="22"/>
        </w:rPr>
        <w:t xml:space="preserve">Step 1: Receive subpoena via secure fax or certified mail scanning. Log receipt with timestamp in ROI tracking system.</w:t>
      </w:r>
    </w:p>
    <w:p>
      <w:pPr>
        <w:pStyle w:val="ListParagraph"/>
        <w:numPr>
          <w:ilvl w:val="0"/>
          <w:numId w:val="2"/>
        </w:numPr>
        <w:spacing w:after="80"/>
      </w:pPr>
      <w:r>
        <w:rPr>
          <w:rFonts w:ascii="Arial" w:cs="Arial" w:eastAsia="Arial" w:hAnsi="Arial"/>
          <w:color w:val="595959"/>
          <w:sz w:val="22"/>
          <w:szCs w:val="22"/>
        </w:rPr>
        <w:t xml:space="preserve">Step 2: Validate subpoena elements: court name, case number, patient name, date range, specific records requested, attorney signature, and jurisdiction.</w:t>
      </w:r>
    </w:p>
    <w:p>
      <w:pPr>
        <w:pStyle w:val="ListParagraph"/>
        <w:numPr>
          <w:ilvl w:val="0"/>
          <w:numId w:val="2"/>
        </w:numPr>
        <w:spacing w:after="80"/>
      </w:pPr>
      <w:r>
        <w:rPr>
          <w:rFonts w:ascii="Arial" w:cs="Arial" w:eastAsia="Arial" w:hAnsi="Arial"/>
          <w:color w:val="595959"/>
          <w:sz w:val="22"/>
          <w:szCs w:val="22"/>
        </w:rPr>
        <w:t xml:space="preserve">Step 3: Check for valid patient authorization or court order. If subpoena only (no court order or authorization), verify state-specific requirements for subpoena compliance.</w:t>
      </w:r>
    </w:p>
    <w:p>
      <w:pPr>
        <w:pStyle w:val="ListParagraph"/>
        <w:numPr>
          <w:ilvl w:val="0"/>
          <w:numId w:val="2"/>
        </w:numPr>
        <w:spacing w:after="80"/>
      </w:pPr>
      <w:r>
        <w:rPr>
          <w:rFonts w:ascii="Arial" w:cs="Arial" w:eastAsia="Arial" w:hAnsi="Arial"/>
          <w:color w:val="595959"/>
          <w:sz w:val="22"/>
          <w:szCs w:val="22"/>
        </w:rPr>
        <w:t xml:space="preserve">Step 4: Check litigation hold database — confirm no conflicting holds exist on the requested records.</w:t>
      </w:r>
    </w:p>
    <w:p>
      <w:pPr>
        <w:pStyle w:val="ListParagraph"/>
        <w:numPr>
          <w:ilvl w:val="0"/>
          <w:numId w:val="2"/>
        </w:numPr>
        <w:spacing w:after="80"/>
      </w:pPr>
      <w:r>
        <w:rPr>
          <w:rFonts w:ascii="Arial" w:cs="Arial" w:eastAsia="Arial" w:hAnsi="Arial"/>
          <w:color w:val="595959"/>
          <w:sz w:val="22"/>
          <w:szCs w:val="22"/>
        </w:rPr>
        <w:t xml:space="preserve">Step 5: Send notification to patient (if required by state law) informing them of the subpoena and their right to object within the statutory period (typically 10-14 days).</w:t>
      </w:r>
    </w:p>
    <w:p>
      <w:pPr>
        <w:pStyle w:val="ListParagraph"/>
        <w:numPr>
          <w:ilvl w:val="0"/>
          <w:numId w:val="2"/>
        </w:numPr>
        <w:spacing w:after="80"/>
      </w:pPr>
      <w:r>
        <w:rPr>
          <w:rFonts w:ascii="Arial" w:cs="Arial" w:eastAsia="Arial" w:hAnsi="Arial"/>
          <w:color w:val="595959"/>
          <w:sz w:val="22"/>
          <w:szCs w:val="22"/>
        </w:rPr>
        <w:t xml:space="preserve">Step 6: If no patient objection within the statutory period, apply Minimum Necessary Standard to compile only the records specified in the subpoena.</w:t>
      </w:r>
    </w:p>
    <w:p>
      <w:pPr>
        <w:pStyle w:val="ListParagraph"/>
        <w:numPr>
          <w:ilvl w:val="0"/>
          <w:numId w:val="2"/>
        </w:numPr>
        <w:spacing w:after="80"/>
      </w:pPr>
      <w:r>
        <w:rPr>
          <w:rFonts w:ascii="Arial" w:cs="Arial" w:eastAsia="Arial" w:hAnsi="Arial"/>
          <w:color w:val="595959"/>
          <w:sz w:val="22"/>
          <w:szCs w:val="22"/>
        </w:rPr>
        <w:t xml:space="preserve">Step 7: Review compiled records for sensitive information requiring special handling (psychotherapy notes, substance abuse treatment records under 42 CFR Part 2, HIV/AIDS records per state law).</w:t>
      </w:r>
    </w:p>
    <w:p>
      <w:pPr>
        <w:pStyle w:val="ListParagraph"/>
        <w:numPr>
          <w:ilvl w:val="0"/>
          <w:numId w:val="2"/>
        </w:numPr>
        <w:spacing w:after="80"/>
      </w:pPr>
      <w:r>
        <w:rPr>
          <w:rFonts w:ascii="Arial" w:cs="Arial" w:eastAsia="Arial" w:hAnsi="Arial"/>
          <w:color w:val="595959"/>
          <w:sz w:val="22"/>
          <w:szCs w:val="22"/>
        </w:rPr>
        <w:t xml:space="preserve">Step 8: If sensitive records are present, escalate to HIM Director for legal review before release.</w:t>
      </w:r>
    </w:p>
    <w:p>
      <w:pPr>
        <w:pStyle w:val="ListParagraph"/>
        <w:numPr>
          <w:ilvl w:val="0"/>
          <w:numId w:val="2"/>
        </w:numPr>
        <w:spacing w:after="80"/>
      </w:pPr>
      <w:r>
        <w:rPr>
          <w:rFonts w:ascii="Arial" w:cs="Arial" w:eastAsia="Arial" w:hAnsi="Arial"/>
          <w:color w:val="595959"/>
          <w:sz w:val="22"/>
          <w:szCs w:val="22"/>
        </w:rPr>
        <w:t xml:space="preserve">Step 9: Prepare certified copies with attestation page. Calculate and invoice copy fees per state fee schedule.</w:t>
      </w:r>
    </w:p>
    <w:p>
      <w:pPr>
        <w:pStyle w:val="ListParagraph"/>
        <w:numPr>
          <w:ilvl w:val="0"/>
          <w:numId w:val="2"/>
        </w:numPr>
        <w:spacing w:after="80"/>
      </w:pPr>
      <w:r>
        <w:rPr>
          <w:rFonts w:ascii="Arial" w:cs="Arial" w:eastAsia="Arial" w:hAnsi="Arial"/>
          <w:color w:val="595959"/>
          <w:sz w:val="22"/>
          <w:szCs w:val="22"/>
        </w:rPr>
        <w:t xml:space="preserve">Step 10: Deliver records via approved secure delivery method. Log delivery confirmation, recipient, and records released.</w:t>
      </w:r>
    </w:p>
    <w:p>
      <w:pPr>
        <w:pStyle w:val="ListParagraph"/>
        <w:numPr>
          <w:ilvl w:val="0"/>
          <w:numId w:val="2"/>
        </w:numPr>
        <w:spacing w:after="80"/>
      </w:pPr>
      <w:r>
        <w:rPr>
          <w:rFonts w:ascii="Arial" w:cs="Arial" w:eastAsia="Arial" w:hAnsi="Arial"/>
          <w:color w:val="595959"/>
          <w:sz w:val="22"/>
          <w:szCs w:val="22"/>
        </w:rPr>
        <w:t xml:space="preserve">Step 11: Update ROI tracking system with completion status, turnaround time, and any notes.</w:t>
      </w:r>
    </w:p>
    <w:p>
      <w:pPr>
        <w:pStyle w:val="ListParagraph"/>
        <w:numPr>
          <w:ilvl w:val="0"/>
          <w:numId w:val="2"/>
        </w:numPr>
        <w:spacing w:after="80"/>
      </w:pPr>
      <w:r>
        <w:rPr>
          <w:rFonts w:ascii="Arial" w:cs="Arial" w:eastAsia="Arial" w:hAnsi="Arial"/>
          <w:color w:val="595959"/>
          <w:sz w:val="22"/>
          <w:szCs w:val="22"/>
        </w:rPr>
        <w:t xml:space="preserve">Step 12: Archive the complete ROI transaction record per the 6-year retention requirement.</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Turnaround Time (Patient Requests)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 15 calendar days (HIPAA Right of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Request date to delivery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Turnaround Time (Third Party)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 30 calendar days (state law dependent)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Request date to delivery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Chart Completion Rate (30-day)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of records complete within 30 days of discharge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deficiency tracking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Authorization Validation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99% correct acceptance/rejection of authorizations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QA audit of random sample (50/month)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MPI Duplicate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2% duplicate record 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MPI integrity analysis 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Indexing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99.5% of scanned documents correctly indexed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QA audit of indexed documents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Subpoena Response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subpoenas responded to within legal deadline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ROI tracking system deadlines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Privacy Incident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0 unauthorized disclosures per quarter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Privacy incident reporting system</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High-Volume Hospital System</w:t>
      </w:r>
    </w:p>
    <w:p>
      <w:pPr>
        <w:spacing w:after="120"/>
      </w:pPr>
      <w:r>
        <w:rPr>
          <w:rFonts w:ascii="Arial" w:cs="Arial" w:eastAsia="Arial" w:hAnsi="Arial"/>
          <w:color w:val="595959"/>
          <w:sz w:val="22"/>
          <w:szCs w:val="22"/>
        </w:rPr>
        <w:t xml:space="preserve">A 500-bed academic medical center processes 800+ ROI requests monthly. The Medical Records Coordinator AI automates authorization validation, applies Minimum Necessary filters, and tracks turnaround times, reducing manual processing time by 60% and eliminating turnaround deadline breaches. Average processing time drops from 18 days to 7 days for patient access requests, with 99.7% authorization validation accuracy.</w:t>
      </w:r>
    </w:p>
    <w:p>
      <w:pPr>
        <w:pStyle w:val="Heading3"/>
        <w:spacing w:after="120" w:before="240"/>
      </w:pPr>
      <w:r>
        <w:rPr>
          <w:rFonts w:ascii="Arial" w:cs="Arial" w:eastAsia="Arial" w:hAnsi="Arial"/>
          <w:b/>
          <w:bCs/>
          <w:color w:val="2E75B6"/>
          <w:sz w:val="24"/>
          <w:szCs w:val="24"/>
        </w:rPr>
        <w:t xml:space="preserve">Use Case 2: Multi-Specialty Clinic Network</w:t>
      </w:r>
    </w:p>
    <w:p>
      <w:pPr>
        <w:spacing w:after="120"/>
      </w:pPr>
      <w:r>
        <w:rPr>
          <w:rFonts w:ascii="Arial" w:cs="Arial" w:eastAsia="Arial" w:hAnsi="Arial"/>
          <w:color w:val="595959"/>
          <w:sz w:val="22"/>
          <w:szCs w:val="22"/>
        </w:rPr>
        <w:t xml:space="preserve">A network of 25 outpatient clinics with shared EHR deploys the AI to centralize chart completion management. Physician deficiency rates drop from 12% to 3% within 6 months through consistent, automated reminder workflows. The AI’s MPI integrity monitoring identifies and flags 340 potential duplicate records for merging, reducing clinical safety risks from fragmented records.</w:t>
      </w:r>
    </w:p>
    <w:p>
      <w:pPr>
        <w:pStyle w:val="Heading3"/>
        <w:spacing w:after="120" w:before="240"/>
      </w:pPr>
      <w:r>
        <w:rPr>
          <w:rFonts w:ascii="Arial" w:cs="Arial" w:eastAsia="Arial" w:hAnsi="Arial"/>
          <w:b/>
          <w:bCs/>
          <w:color w:val="2E75B6"/>
          <w:sz w:val="24"/>
          <w:szCs w:val="24"/>
        </w:rPr>
        <w:t xml:space="preserve">Use Case 3: Rural Critical Access Hospital</w:t>
      </w:r>
    </w:p>
    <w:p>
      <w:pPr>
        <w:spacing w:after="120"/>
      </w:pPr>
      <w:r>
        <w:rPr>
          <w:rFonts w:ascii="Arial" w:cs="Arial" w:eastAsia="Arial" w:hAnsi="Arial"/>
          <w:color w:val="595959"/>
          <w:sz w:val="22"/>
          <w:szCs w:val="22"/>
        </w:rPr>
        <w:t xml:space="preserve">A 25-bed Critical Access Hospital with a 2-person HIM department uses the AI to handle ROI processing and chart completion tracking, freeing the human HIM professionals to focus on coding, auditing, and compliance activities. The AI processes 95% of routine ROI requests autonomously, escalating only complex subpoena and legal requests to the HIM Director.</w:t>
      </w:r>
    </w:p>
    <w:p>
      <w:r>
        <w:br w:type="page"/>
      </w:r>
    </w:p>
    <w:p>
      <w:pPr>
        <w:pStyle w:val="Heading1"/>
        <w:spacing w:after="200" w:before="360"/>
      </w:pPr>
      <w:r>
        <w:rPr>
          <w:rFonts w:ascii="Arial" w:cs="Arial" w:eastAsia="Arial" w:hAnsi="Arial"/>
          <w:b/>
          <w:bCs/>
          <w:color w:val="2E75B6"/>
          <w:sz w:val="32"/>
          <w:szCs w:val="32"/>
        </w:rPr>
        <w:t xml:space="preserve">Role 3: Patient Support Specialist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Patient Support Specialist AI</w:t>
      </w:r>
    </w:p>
    <w:p>
      <w:pPr>
        <w:spacing w:after="120"/>
      </w:pPr>
      <w:r>
        <w:rPr>
          <w:rFonts w:ascii="Arial" w:cs="Arial" w:eastAsia="Arial" w:hAnsi="Arial"/>
          <w:color w:val="595959"/>
          <w:sz w:val="22"/>
          <w:szCs w:val="22"/>
        </w:rPr>
        <w:t xml:space="preserve">Department: Patient Experience / Patient Access Services</w:t>
      </w:r>
    </w:p>
    <w:p>
      <w:pPr>
        <w:spacing w:after="120"/>
      </w:pPr>
      <w:r>
        <w:rPr>
          <w:rFonts w:ascii="Arial" w:cs="Arial" w:eastAsia="Arial" w:hAnsi="Arial"/>
          <w:color w:val="595959"/>
          <w:sz w:val="22"/>
          <w:szCs w:val="22"/>
        </w:rPr>
        <w:t xml:space="preserve">Reports To: Director of Patient Experience</w:t>
      </w:r>
    </w:p>
    <w:p>
      <w:pPr>
        <w:spacing w:after="120"/>
      </w:pPr>
      <w:r>
        <w:rPr>
          <w:rFonts w:ascii="Arial" w:cs="Arial" w:eastAsia="Arial" w:hAnsi="Arial"/>
          <w:color w:val="595959"/>
          <w:sz w:val="22"/>
          <w:szCs w:val="22"/>
        </w:rPr>
        <w:t xml:space="preserve">Seniority Level: 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Patient Support Specialist AI serves as the primary point of contact for patients interacting with the healthcare organization for non-clinical inquiries. This AI employee handles appointment scheduling, appointment reminders, general facility information, wayfinding assistance, insurance and billing questions, patient portal support, referral coordination, and patient complaint intake. The role is designed to provide immediate, empathetic, and accurate support to patients across all communication channels — phone (voice), video, chat, text, email, and patient portal messaging — 24 hours a day, 7 days a week.</w:t>
      </w:r>
    </w:p>
    <w:p>
      <w:pPr>
        <w:spacing w:after="120"/>
      </w:pPr>
      <w:r>
        <w:rPr>
          <w:rFonts w:ascii="Arial" w:cs="Arial" w:eastAsia="Arial" w:hAnsi="Arial"/>
          <w:color w:val="595959"/>
          <w:sz w:val="22"/>
          <w:szCs w:val="22"/>
        </w:rPr>
        <w:t xml:space="preserve">The Patient Support Specialist AI is specifically trained to handle the emotional complexity of healthcare interactions. Patients contacting healthcare organizations are frequently anxious, confused, frustrated, or in distress. This AI employee uses the Personality Engine’s empathy dimensions to adapt its communication style to the patient’s emotional state, providing reassurance, clear explanations, and efficient resolution while maintaining strict boundaries around clinical advice (which must always be deferred to clinical staff).</w:t>
      </w:r>
    </w:p>
    <w:p>
      <w:pPr>
        <w:spacing w:after="120"/>
      </w:pPr>
      <w:r>
        <w:rPr>
          <w:rFonts w:ascii="Arial" w:cs="Arial" w:eastAsia="Arial" w:hAnsi="Arial"/>
          <w:color w:val="595959"/>
          <w:sz w:val="22"/>
          <w:szCs w:val="22"/>
        </w:rPr>
        <w:t xml:space="preserve">This role integrates deeply with the organization’s scheduling systems, insurance verification platforms, patient portal, and communication channels to provide seamless support that reduces patient wait times, minimizes appointment no-shows, improves patient satisfaction scores, and frees human patient access staff to handle complex cases requiring clinical judgment or exception processing.</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Appointment Management: </w:t>
      </w:r>
      <w:r>
        <w:rPr>
          <w:rFonts w:ascii="Arial" w:cs="Arial" w:eastAsia="Arial" w:hAnsi="Arial"/>
          <w:color w:val="595959"/>
          <w:sz w:val="22"/>
          <w:szCs w:val="22"/>
        </w:rPr>
        <w:t xml:space="preserve">Schedule, reschedule, and cancel appointments across all departments and providers. Verify appointment prerequisites (referrals, prior authorizations, pre-procedure instructions). Send appointment reminders via patient-preferred channel. Manage waitlists for preferred appointment times. Coordinate multi-appointment visits to minimize patient trips.</w:t>
      </w:r>
    </w:p>
    <w:p>
      <w:pPr>
        <w:pStyle w:val="ListParagraph"/>
        <w:numPr>
          <w:ilvl w:val="0"/>
          <w:numId w:val="2"/>
        </w:numPr>
        <w:spacing w:after="80"/>
      </w:pPr>
      <w:r>
        <w:rPr>
          <w:rFonts w:ascii="Arial" w:cs="Arial" w:eastAsia="Arial" w:hAnsi="Arial"/>
          <w:b/>
          <w:bCs/>
          <w:color w:val="595959"/>
          <w:sz w:val="22"/>
          <w:szCs w:val="22"/>
        </w:rPr>
        <w:t xml:space="preserve">Patient Navigation: </w:t>
      </w:r>
      <w:r>
        <w:rPr>
          <w:rFonts w:ascii="Arial" w:cs="Arial" w:eastAsia="Arial" w:hAnsi="Arial"/>
          <w:color w:val="595959"/>
          <w:sz w:val="22"/>
          <w:szCs w:val="22"/>
        </w:rPr>
        <w:t xml:space="preserve">Guide patients through the healthcare system by explaining care pathways, referral processes, and what to expect during visits. Provide facility wayfinding information (parking, building locations, department locations). Assist with patient portal registration and navigation. Connect patients with appropriate departments and resources.</w:t>
      </w:r>
    </w:p>
    <w:p>
      <w:pPr>
        <w:pStyle w:val="ListParagraph"/>
        <w:numPr>
          <w:ilvl w:val="0"/>
          <w:numId w:val="2"/>
        </w:numPr>
        <w:spacing w:after="80"/>
      </w:pPr>
      <w:r>
        <w:rPr>
          <w:rFonts w:ascii="Arial" w:cs="Arial" w:eastAsia="Arial" w:hAnsi="Arial"/>
          <w:b/>
          <w:bCs/>
          <w:color w:val="595959"/>
          <w:sz w:val="22"/>
          <w:szCs w:val="22"/>
        </w:rPr>
        <w:t xml:space="preserve">Insurance and Financial Support: </w:t>
      </w:r>
      <w:r>
        <w:rPr>
          <w:rFonts w:ascii="Arial" w:cs="Arial" w:eastAsia="Arial" w:hAnsi="Arial"/>
          <w:color w:val="595959"/>
          <w:sz w:val="22"/>
          <w:szCs w:val="22"/>
        </w:rPr>
        <w:t xml:space="preserve">Answer general insurance coverage questions. Verify insurance eligibility for scheduled services. Explain patient financial responsibility estimates. Connect patients with financial counselors for payment plan discussions. Provide information about financial assistance programs and charity care eligibility.</w:t>
      </w:r>
    </w:p>
    <w:p>
      <w:pPr>
        <w:pStyle w:val="ListParagraph"/>
        <w:numPr>
          <w:ilvl w:val="0"/>
          <w:numId w:val="2"/>
        </w:numPr>
        <w:spacing w:after="80"/>
      </w:pPr>
      <w:r>
        <w:rPr>
          <w:rFonts w:ascii="Arial" w:cs="Arial" w:eastAsia="Arial" w:hAnsi="Arial"/>
          <w:b/>
          <w:bCs/>
          <w:color w:val="595959"/>
          <w:sz w:val="22"/>
          <w:szCs w:val="22"/>
        </w:rPr>
        <w:t xml:space="preserve">Complaint Intake and Resolution: </w:t>
      </w:r>
      <w:r>
        <w:rPr>
          <w:rFonts w:ascii="Arial" w:cs="Arial" w:eastAsia="Arial" w:hAnsi="Arial"/>
          <w:color w:val="595959"/>
          <w:sz w:val="22"/>
          <w:szCs w:val="22"/>
        </w:rPr>
        <w:t xml:space="preserve">Receive and document patient complaints and grievances with empathy and professionalism. Resolve service recovery issues within authority (appointment rescheduling, wait time apologies, parking validation). Escalate clinical complaints to Patient Relations. Track complaint resolution timelines per CMS grievance requirements.</w:t>
      </w:r>
    </w:p>
    <w:p>
      <w:pPr>
        <w:pStyle w:val="ListParagraph"/>
        <w:numPr>
          <w:ilvl w:val="0"/>
          <w:numId w:val="2"/>
        </w:numPr>
        <w:spacing w:after="80"/>
      </w:pPr>
      <w:r>
        <w:rPr>
          <w:rFonts w:ascii="Arial" w:cs="Arial" w:eastAsia="Arial" w:hAnsi="Arial"/>
          <w:b/>
          <w:bCs/>
          <w:color w:val="595959"/>
          <w:sz w:val="22"/>
          <w:szCs w:val="22"/>
        </w:rPr>
        <w:t xml:space="preserve">Outreach and Engagement: </w:t>
      </w:r>
      <w:r>
        <w:rPr>
          <w:rFonts w:ascii="Arial" w:cs="Arial" w:eastAsia="Arial" w:hAnsi="Arial"/>
          <w:color w:val="595959"/>
          <w:sz w:val="22"/>
          <w:szCs w:val="22"/>
        </w:rPr>
        <w:t xml:space="preserve">Conduct post-visit follow-up calls to assess patient satisfaction and identify unresolved needs. Send preventive care reminders (annual physicals, mammograms, colonoscopies, vaccinations). Support patient engagement campaigns for chronic disease management programs.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Schedule appointments across 50+ provider schedules, matching patient preferences with available slots.</w:t>
      </w:r>
    </w:p>
    <w:p>
      <w:pPr>
        <w:pStyle w:val="ListParagraph"/>
        <w:numPr>
          <w:ilvl w:val="0"/>
          <w:numId w:val="2"/>
        </w:numPr>
        <w:spacing w:after="80"/>
      </w:pPr>
      <w:r>
        <w:rPr>
          <w:rFonts w:ascii="Arial" w:cs="Arial" w:eastAsia="Arial" w:hAnsi="Arial"/>
          <w:color w:val="595959"/>
          <w:sz w:val="22"/>
          <w:szCs w:val="22"/>
        </w:rPr>
        <w:t xml:space="preserve">Send automated appointment reminders at 7-day, 3-day, and 1-day intervals via text, email, or phone.</w:t>
      </w:r>
    </w:p>
    <w:p>
      <w:pPr>
        <w:pStyle w:val="ListParagraph"/>
        <w:numPr>
          <w:ilvl w:val="0"/>
          <w:numId w:val="2"/>
        </w:numPr>
        <w:spacing w:after="80"/>
      </w:pPr>
      <w:r>
        <w:rPr>
          <w:rFonts w:ascii="Arial" w:cs="Arial" w:eastAsia="Arial" w:hAnsi="Arial"/>
          <w:color w:val="595959"/>
          <w:sz w:val="22"/>
          <w:szCs w:val="22"/>
        </w:rPr>
        <w:t xml:space="preserve">Process appointment cancellations and immediately offer the freed slot to waitlisted patients.</w:t>
      </w:r>
    </w:p>
    <w:p>
      <w:pPr>
        <w:pStyle w:val="ListParagraph"/>
        <w:numPr>
          <w:ilvl w:val="0"/>
          <w:numId w:val="2"/>
        </w:numPr>
        <w:spacing w:after="80"/>
      </w:pPr>
      <w:r>
        <w:rPr>
          <w:rFonts w:ascii="Arial" w:cs="Arial" w:eastAsia="Arial" w:hAnsi="Arial"/>
          <w:color w:val="595959"/>
          <w:sz w:val="22"/>
          <w:szCs w:val="22"/>
        </w:rPr>
        <w:t xml:space="preserve">Verify insurance eligibility in real-time during scheduling using payer portals and clearinghouse integrations.</w:t>
      </w:r>
    </w:p>
    <w:p>
      <w:pPr>
        <w:pStyle w:val="ListParagraph"/>
        <w:numPr>
          <w:ilvl w:val="0"/>
          <w:numId w:val="2"/>
        </w:numPr>
        <w:spacing w:after="80"/>
      </w:pPr>
      <w:r>
        <w:rPr>
          <w:rFonts w:ascii="Arial" w:cs="Arial" w:eastAsia="Arial" w:hAnsi="Arial"/>
          <w:color w:val="595959"/>
          <w:sz w:val="22"/>
          <w:szCs w:val="22"/>
        </w:rPr>
        <w:t xml:space="preserve">Generate patient cost estimates for scheduled procedures based on insurance benefits and fee schedules.</w:t>
      </w:r>
    </w:p>
    <w:p>
      <w:pPr>
        <w:pStyle w:val="ListParagraph"/>
        <w:numPr>
          <w:ilvl w:val="0"/>
          <w:numId w:val="2"/>
        </w:numPr>
        <w:spacing w:after="80"/>
      </w:pPr>
      <w:r>
        <w:rPr>
          <w:rFonts w:ascii="Arial" w:cs="Arial" w:eastAsia="Arial" w:hAnsi="Arial"/>
          <w:color w:val="595959"/>
          <w:sz w:val="22"/>
          <w:szCs w:val="22"/>
        </w:rPr>
        <w:t xml:space="preserve">Assist patients with patient portal account creation, password resets, and navigation guidance.</w:t>
      </w:r>
    </w:p>
    <w:p>
      <w:pPr>
        <w:pStyle w:val="ListParagraph"/>
        <w:numPr>
          <w:ilvl w:val="0"/>
          <w:numId w:val="2"/>
        </w:numPr>
        <w:spacing w:after="80"/>
      </w:pPr>
      <w:r>
        <w:rPr>
          <w:rFonts w:ascii="Arial" w:cs="Arial" w:eastAsia="Arial" w:hAnsi="Arial"/>
          <w:color w:val="595959"/>
          <w:sz w:val="22"/>
          <w:szCs w:val="22"/>
        </w:rPr>
        <w:t xml:space="preserve">Process referral requests by verifying insurance referral requirements and faxing orders to specialists.</w:t>
      </w:r>
    </w:p>
    <w:p>
      <w:pPr>
        <w:pStyle w:val="ListParagraph"/>
        <w:numPr>
          <w:ilvl w:val="0"/>
          <w:numId w:val="2"/>
        </w:numPr>
        <w:spacing w:after="80"/>
      </w:pPr>
      <w:r>
        <w:rPr>
          <w:rFonts w:ascii="Arial" w:cs="Arial" w:eastAsia="Arial" w:hAnsi="Arial"/>
          <w:color w:val="595959"/>
          <w:sz w:val="22"/>
          <w:szCs w:val="22"/>
        </w:rPr>
        <w:t xml:space="preserve">Provide pre-visit instructions (fasting, medication holds, what to bring, arrival time guidance).</w:t>
      </w:r>
    </w:p>
    <w:p>
      <w:pPr>
        <w:pStyle w:val="ListParagraph"/>
        <w:numPr>
          <w:ilvl w:val="0"/>
          <w:numId w:val="2"/>
        </w:numPr>
        <w:spacing w:after="80"/>
      </w:pPr>
      <w:r>
        <w:rPr>
          <w:rFonts w:ascii="Arial" w:cs="Arial" w:eastAsia="Arial" w:hAnsi="Arial"/>
          <w:color w:val="595959"/>
          <w:sz w:val="22"/>
          <w:szCs w:val="22"/>
        </w:rPr>
        <w:t xml:space="preserve">Document patient complaints with structured categorization (service, clinical, billing, facility, staff).</w:t>
      </w:r>
    </w:p>
    <w:p>
      <w:pPr>
        <w:pStyle w:val="ListParagraph"/>
        <w:numPr>
          <w:ilvl w:val="0"/>
          <w:numId w:val="2"/>
        </w:numPr>
        <w:spacing w:after="80"/>
      </w:pPr>
      <w:r>
        <w:rPr>
          <w:rFonts w:ascii="Arial" w:cs="Arial" w:eastAsia="Arial" w:hAnsi="Arial"/>
          <w:color w:val="595959"/>
          <w:sz w:val="22"/>
          <w:szCs w:val="22"/>
        </w:rPr>
        <w:t xml:space="preserve">Conduct post-discharge follow-up calls within 48 hours to assess patient recovery and medication adherence.</w:t>
      </w:r>
    </w:p>
    <w:p>
      <w:pPr>
        <w:pStyle w:val="ListParagraph"/>
        <w:numPr>
          <w:ilvl w:val="0"/>
          <w:numId w:val="2"/>
        </w:numPr>
        <w:spacing w:after="80"/>
      </w:pPr>
      <w:r>
        <w:rPr>
          <w:rFonts w:ascii="Arial" w:cs="Arial" w:eastAsia="Arial" w:hAnsi="Arial"/>
          <w:color w:val="595959"/>
          <w:sz w:val="22"/>
          <w:szCs w:val="22"/>
        </w:rPr>
        <w:t xml:space="preserve">Route clinical questions to the appropriate nurse triage line or provider message pool.</w:t>
      </w:r>
    </w:p>
    <w:p>
      <w:pPr>
        <w:pStyle w:val="ListParagraph"/>
        <w:numPr>
          <w:ilvl w:val="0"/>
          <w:numId w:val="2"/>
        </w:numPr>
        <w:spacing w:after="80"/>
      </w:pPr>
      <w:r>
        <w:rPr>
          <w:rFonts w:ascii="Arial" w:cs="Arial" w:eastAsia="Arial" w:hAnsi="Arial"/>
          <w:color w:val="595959"/>
          <w:sz w:val="22"/>
          <w:szCs w:val="22"/>
        </w:rPr>
        <w:t xml:space="preserve">Provide multilingual support through real-time translation integration for non-English-speaking patients.</w:t>
      </w:r>
    </w:p>
    <w:p>
      <w:pPr>
        <w:pStyle w:val="ListParagraph"/>
        <w:numPr>
          <w:ilvl w:val="0"/>
          <w:numId w:val="2"/>
        </w:numPr>
        <w:spacing w:after="80"/>
      </w:pPr>
      <w:r>
        <w:rPr>
          <w:rFonts w:ascii="Arial" w:cs="Arial" w:eastAsia="Arial" w:hAnsi="Arial"/>
          <w:color w:val="595959"/>
          <w:sz w:val="22"/>
          <w:szCs w:val="22"/>
        </w:rPr>
        <w:t xml:space="preserve">Track and report on appointment no-show rates by provider, department, and time of day.</w:t>
      </w:r>
    </w:p>
    <w:p>
      <w:pPr>
        <w:pStyle w:val="ListParagraph"/>
        <w:numPr>
          <w:ilvl w:val="0"/>
          <w:numId w:val="2"/>
        </w:numPr>
        <w:spacing w:after="80"/>
      </w:pPr>
      <w:r>
        <w:rPr>
          <w:rFonts w:ascii="Arial" w:cs="Arial" w:eastAsia="Arial" w:hAnsi="Arial"/>
          <w:color w:val="595959"/>
          <w:sz w:val="22"/>
          <w:szCs w:val="22"/>
        </w:rPr>
        <w:t xml:space="preserve">Manage prescription refill requests by routing to the appropriate provider’s inbox.</w:t>
      </w:r>
    </w:p>
    <w:p>
      <w:pPr>
        <w:pStyle w:val="ListParagraph"/>
        <w:numPr>
          <w:ilvl w:val="0"/>
          <w:numId w:val="2"/>
        </w:numPr>
        <w:spacing w:after="80"/>
      </w:pPr>
      <w:r>
        <w:rPr>
          <w:rFonts w:ascii="Arial" w:cs="Arial" w:eastAsia="Arial" w:hAnsi="Arial"/>
          <w:color w:val="595959"/>
          <w:sz w:val="22"/>
          <w:szCs w:val="22"/>
        </w:rPr>
        <w:t xml:space="preserve">Support chronic care management outreach by contacting patients due for routine monitoring.</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EHR/Scheduling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Cadence, Cerner Scheduling, Athenahealth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Appointment scheduling, provider template management, waitlist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 Verification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Availity, Navicure, InstaMed, payer portals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eligibility checks, benefits verification, prior authorization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Portal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MyChart (Epic), HealtheLife (Cerner), Athena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self-service support, portal troubleshooting, secure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Twilio, Bandwidth, RingCentral, Podium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Voice calls, SMS reminders, two-way text messaging, IVR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Translation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LanguageLine, Martti, Google Cloud Translation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interpretation for phone/video, written translation for messages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Engagement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Luma Health, Relatient, Phreesia, Solutionreach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Appointment reminders, waitlist management, patient surveys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Complaint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RL6, Feedback+, Qualtrics, Press Ganey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Complaint documentation, tracking, escalation, resolution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estimates, ClearBalance, CommerceHealthcare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Cost estimates, payment plan information, financial assistance screening</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Demographics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Update contact information, insurance details; cannot modify clinical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Appointment Schedules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scheduling authority within open template slots; cannot modify provider templates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 Eligibility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coverage; cannot modify insurance records in the EHR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Cannot view clinical notes, diagnoses, lab results, or medications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Billing/Financial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patient balances and estimates; no access to payment card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Complaints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and track complaints; cannot access peer review or legal case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Provider Schedules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provider availability; cannot modify templates or block time</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 </w:t>
      </w:r>
      <w:r>
        <w:rPr>
          <w:rFonts w:ascii="Arial" w:cs="Arial" w:eastAsia="Arial" w:hAnsi="Arial"/>
          <w:color w:val="595959"/>
          <w:sz w:val="22"/>
          <w:szCs w:val="22"/>
        </w:rPr>
        <w:t xml:space="preserve">Handles inbound patient calls with warm, empathetic tone. Manages high-volume call queues during peak hours. Transfers to clinical staff for medical questions. Supports multilingual interactions through real-time interpretation. Speaks at a pace appropriate for elderly or hearing-impaired patients.</w:t>
      </w:r>
    </w:p>
    <w:p>
      <w:pPr>
        <w:pStyle w:val="ListParagraph"/>
        <w:numPr>
          <w:ilvl w:val="0"/>
          <w:numId w:val="2"/>
        </w:numPr>
        <w:spacing w:after="80"/>
      </w:pPr>
      <w:r>
        <w:rPr>
          <w:rFonts w:ascii="Arial" w:cs="Arial" w:eastAsia="Arial" w:hAnsi="Arial"/>
          <w:b/>
          <w:bCs/>
          <w:color w:val="595959"/>
          <w:sz w:val="22"/>
          <w:szCs w:val="22"/>
        </w:rPr>
        <w:t xml:space="preserve">Chat/Text: </w:t>
      </w:r>
      <w:r>
        <w:rPr>
          <w:rFonts w:ascii="Arial" w:cs="Arial" w:eastAsia="Arial" w:hAnsi="Arial"/>
          <w:color w:val="595959"/>
          <w:sz w:val="22"/>
          <w:szCs w:val="22"/>
        </w:rPr>
        <w:t xml:space="preserve">Responds to patient portal messages within 5 minutes during business hours. Sends appointment reminders via text. Engages in two-way text conversations for scheduling changes. Provides facility directions and parking information via chat.</w:t>
      </w:r>
    </w:p>
    <w:p>
      <w:pPr>
        <w:pStyle w:val="ListParagraph"/>
        <w:numPr>
          <w:ilvl w:val="0"/>
          <w:numId w:val="2"/>
        </w:numPr>
        <w:spacing w:after="80"/>
      </w:pPr>
      <w:r>
        <w:rPr>
          <w:rFonts w:ascii="Arial" w:cs="Arial" w:eastAsia="Arial" w:hAnsi="Arial"/>
          <w:b/>
          <w:bCs/>
          <w:color w:val="595959"/>
          <w:sz w:val="22"/>
          <w:szCs w:val="22"/>
        </w:rPr>
        <w:t xml:space="preserve">Video: </w:t>
      </w:r>
      <w:r>
        <w:rPr>
          <w:rFonts w:ascii="Arial" w:cs="Arial" w:eastAsia="Arial" w:hAnsi="Arial"/>
          <w:color w:val="595959"/>
          <w:sz w:val="22"/>
          <w:szCs w:val="22"/>
        </w:rPr>
        <w:t xml:space="preserve">Assists patients with complex scheduling or wayfinding via video call. Provides visual walkthroughs of patient portal features. Supports ADA-accessible video interactions with captioning and sign language interpreter integration.</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Sends appointment confirmations with pre-visit instructions. Distributes patient education materials. Follows up on unresolved complaints. Sends billing correspondence and financial assistance information.</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Multi-Appointment Coordination for New Patient</w:t>
      </w:r>
    </w:p>
    <w:p>
      <w:pPr>
        <w:pStyle w:val="ListParagraph"/>
        <w:numPr>
          <w:ilvl w:val="0"/>
          <w:numId w:val="2"/>
        </w:numPr>
        <w:spacing w:after="80"/>
      </w:pPr>
      <w:r>
        <w:rPr>
          <w:rFonts w:ascii="Arial" w:cs="Arial" w:eastAsia="Arial" w:hAnsi="Arial"/>
          <w:color w:val="595959"/>
          <w:sz w:val="22"/>
          <w:szCs w:val="22"/>
        </w:rPr>
        <w:t xml:space="preserve">Step 1: Receive call from patient referred by PCP to see cardiologist, get blood work, and schedule echocardiogram.</w:t>
      </w:r>
    </w:p>
    <w:p>
      <w:pPr>
        <w:pStyle w:val="ListParagraph"/>
        <w:numPr>
          <w:ilvl w:val="0"/>
          <w:numId w:val="2"/>
        </w:numPr>
        <w:spacing w:after="80"/>
      </w:pPr>
      <w:r>
        <w:rPr>
          <w:rFonts w:ascii="Arial" w:cs="Arial" w:eastAsia="Arial" w:hAnsi="Arial"/>
          <w:color w:val="595959"/>
          <w:sz w:val="22"/>
          <w:szCs w:val="22"/>
        </w:rPr>
        <w:t xml:space="preserve">Step 2: Verify patient identity using 3 identifiers (name, DOB, insurance ID).</w:t>
      </w:r>
    </w:p>
    <w:p>
      <w:pPr>
        <w:pStyle w:val="ListParagraph"/>
        <w:numPr>
          <w:ilvl w:val="0"/>
          <w:numId w:val="2"/>
        </w:numPr>
        <w:spacing w:after="80"/>
      </w:pPr>
      <w:r>
        <w:rPr>
          <w:rFonts w:ascii="Arial" w:cs="Arial" w:eastAsia="Arial" w:hAnsi="Arial"/>
          <w:color w:val="595959"/>
          <w:sz w:val="22"/>
          <w:szCs w:val="22"/>
        </w:rPr>
        <w:t xml:space="preserve">Step 3: Check insurance eligibility — verify cardiology specialist referral is on file (if required by plan).</w:t>
      </w:r>
    </w:p>
    <w:p>
      <w:pPr>
        <w:pStyle w:val="ListParagraph"/>
        <w:numPr>
          <w:ilvl w:val="0"/>
          <w:numId w:val="2"/>
        </w:numPr>
        <w:spacing w:after="80"/>
      </w:pPr>
      <w:r>
        <w:rPr>
          <w:rFonts w:ascii="Arial" w:cs="Arial" w:eastAsia="Arial" w:hAnsi="Arial"/>
          <w:color w:val="595959"/>
          <w:sz w:val="22"/>
          <w:szCs w:val="22"/>
        </w:rPr>
        <w:t xml:space="preserve">Step 4: Search cardiologist availability within patient’s preferred timeframe and location.</w:t>
      </w:r>
    </w:p>
    <w:p>
      <w:pPr>
        <w:pStyle w:val="ListParagraph"/>
        <w:numPr>
          <w:ilvl w:val="0"/>
          <w:numId w:val="2"/>
        </w:numPr>
        <w:spacing w:after="80"/>
      </w:pPr>
      <w:r>
        <w:rPr>
          <w:rFonts w:ascii="Arial" w:cs="Arial" w:eastAsia="Arial" w:hAnsi="Arial"/>
          <w:color w:val="595959"/>
          <w:sz w:val="22"/>
          <w:szCs w:val="22"/>
        </w:rPr>
        <w:t xml:space="preserve">Step 5: Identify lab draw availability at same location on same day (optimize for single trip).</w:t>
      </w:r>
    </w:p>
    <w:p>
      <w:pPr>
        <w:pStyle w:val="ListParagraph"/>
        <w:numPr>
          <w:ilvl w:val="0"/>
          <w:numId w:val="2"/>
        </w:numPr>
        <w:spacing w:after="80"/>
      </w:pPr>
      <w:r>
        <w:rPr>
          <w:rFonts w:ascii="Arial" w:cs="Arial" w:eastAsia="Arial" w:hAnsi="Arial"/>
          <w:color w:val="595959"/>
          <w:sz w:val="22"/>
          <w:szCs w:val="22"/>
        </w:rPr>
        <w:t xml:space="preserve">Step 6: Check echocardiogram scheduling — verify if prior authorization is required by the patient’s plan.</w:t>
      </w:r>
    </w:p>
    <w:p>
      <w:pPr>
        <w:pStyle w:val="ListParagraph"/>
        <w:numPr>
          <w:ilvl w:val="0"/>
          <w:numId w:val="2"/>
        </w:numPr>
        <w:spacing w:after="80"/>
      </w:pPr>
      <w:r>
        <w:rPr>
          <w:rFonts w:ascii="Arial" w:cs="Arial" w:eastAsia="Arial" w:hAnsi="Arial"/>
          <w:color w:val="595959"/>
          <w:sz w:val="22"/>
          <w:szCs w:val="22"/>
        </w:rPr>
        <w:t xml:space="preserve">Step 7: If prior auth needed, initiate prior authorization request via payer portal and inform patient of 3-5 day processing time.</w:t>
      </w:r>
    </w:p>
    <w:p>
      <w:pPr>
        <w:pStyle w:val="ListParagraph"/>
        <w:numPr>
          <w:ilvl w:val="0"/>
          <w:numId w:val="2"/>
        </w:numPr>
        <w:spacing w:after="80"/>
      </w:pPr>
      <w:r>
        <w:rPr>
          <w:rFonts w:ascii="Arial" w:cs="Arial" w:eastAsia="Arial" w:hAnsi="Arial"/>
          <w:color w:val="595959"/>
          <w:sz w:val="22"/>
          <w:szCs w:val="22"/>
        </w:rPr>
        <w:t xml:space="preserve">Step 8: Schedule cardiologist visit and lab draw for the same day. Place echocardiogram on pending-auth waitlist.</w:t>
      </w:r>
    </w:p>
    <w:p>
      <w:pPr>
        <w:pStyle w:val="ListParagraph"/>
        <w:numPr>
          <w:ilvl w:val="0"/>
          <w:numId w:val="2"/>
        </w:numPr>
        <w:spacing w:after="80"/>
      </w:pPr>
      <w:r>
        <w:rPr>
          <w:rFonts w:ascii="Arial" w:cs="Arial" w:eastAsia="Arial" w:hAnsi="Arial"/>
          <w:color w:val="595959"/>
          <w:sz w:val="22"/>
          <w:szCs w:val="22"/>
        </w:rPr>
        <w:t xml:space="preserve">Step 9: Send appointment confirmation via text with date, time, location, parking instructions, and pre-visit fasting instructions for lab work.</w:t>
      </w:r>
    </w:p>
    <w:p>
      <w:pPr>
        <w:pStyle w:val="ListParagraph"/>
        <w:numPr>
          <w:ilvl w:val="0"/>
          <w:numId w:val="2"/>
        </w:numPr>
        <w:spacing w:after="80"/>
      </w:pPr>
      <w:r>
        <w:rPr>
          <w:rFonts w:ascii="Arial" w:cs="Arial" w:eastAsia="Arial" w:hAnsi="Arial"/>
          <w:color w:val="595959"/>
          <w:sz w:val="22"/>
          <w:szCs w:val="22"/>
        </w:rPr>
        <w:t xml:space="preserve">Step 10: Set reminder to check prior authorization status in 3 business days and contact patient to schedule echocardiogram once approved.</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Appointment Scheduling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3 minutes per appointment (phone/chat)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Call/chat duration for scheduling interactions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Call Abandonment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5% of calls abandoned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Phone system reporting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Appointment No-Show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8% (with AI reminders active)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scheduling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Satisfaction (CSAT)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4.5/5.0 for support interactions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Post-interaction survey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First Contact Resolution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85% of inquiries resolved without escalation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Escalation tracking 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 Verification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98% correct eligibility determinations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QA audit of verification results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Complaint Resolution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5 business days for non-clinical complaints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Complaint tracking 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Portal Adoption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90% of assisted patients successfully access portal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Portal activation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Post-Discharge Follow-up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of discharged patients contacted within 48 hours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Outreach completion logs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Multilingual Support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4.3/5.0 satisfaction for interpreted interactions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Post-interaction survey (translated)</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Large Multi-Specialty Practice</w:t>
      </w:r>
    </w:p>
    <w:p>
      <w:pPr>
        <w:spacing w:after="120"/>
      </w:pPr>
      <w:r>
        <w:rPr>
          <w:rFonts w:ascii="Arial" w:cs="Arial" w:eastAsia="Arial" w:hAnsi="Arial"/>
          <w:color w:val="595959"/>
          <w:sz w:val="22"/>
          <w:szCs w:val="22"/>
        </w:rPr>
        <w:t xml:space="preserve">A multi-specialty practice with 80 providers and 200,000 annual patient encounters deploys the Patient Support Specialist AI to handle 70% of inbound scheduling calls. Average patient wait time drops from 4.5 minutes to under 30 seconds. No-show rates decrease from 14% to 7% through personalized reminder campaigns. The practice recovers an estimated $2.1M annually in previously lost revenue from no-shows and late cancellations.</w:t>
      </w:r>
    </w:p>
    <w:p>
      <w:pPr>
        <w:pStyle w:val="Heading3"/>
        <w:spacing w:after="120" w:before="240"/>
      </w:pPr>
      <w:r>
        <w:rPr>
          <w:rFonts w:ascii="Arial" w:cs="Arial" w:eastAsia="Arial" w:hAnsi="Arial"/>
          <w:b/>
          <w:bCs/>
          <w:color w:val="2E75B6"/>
          <w:sz w:val="24"/>
          <w:szCs w:val="24"/>
        </w:rPr>
        <w:t xml:space="preserve">Use Case 2: Pediatric Hospital System</w:t>
      </w:r>
    </w:p>
    <w:p>
      <w:pPr>
        <w:spacing w:after="120"/>
      </w:pPr>
      <w:r>
        <w:rPr>
          <w:rFonts w:ascii="Arial" w:cs="Arial" w:eastAsia="Arial" w:hAnsi="Arial"/>
          <w:color w:val="595959"/>
          <w:sz w:val="22"/>
          <w:szCs w:val="22"/>
        </w:rPr>
        <w:t xml:space="preserve">A children’s hospital deploys the AI with a specially tuned empathy profile for interacting with anxious parents. The AI coordinates complex multi-specialty visits for children with chronic conditions, scheduling 3-4 appointments on the same day to minimize family travel burden. Parent satisfaction scores for scheduling experience increase from 3.8 to 4.6 out of 5.0.</w:t>
      </w:r>
    </w:p>
    <w:p>
      <w:pPr>
        <w:pStyle w:val="Heading3"/>
        <w:spacing w:after="120" w:before="240"/>
      </w:pPr>
      <w:r>
        <w:rPr>
          <w:rFonts w:ascii="Arial" w:cs="Arial" w:eastAsia="Arial" w:hAnsi="Arial"/>
          <w:b/>
          <w:bCs/>
          <w:color w:val="2E75B6"/>
          <w:sz w:val="24"/>
          <w:szCs w:val="24"/>
        </w:rPr>
        <w:t xml:space="preserve">Use Case 3: Federally Qualified Health Center (FQHC)</w:t>
      </w:r>
    </w:p>
    <w:p>
      <w:pPr>
        <w:spacing w:after="120"/>
      </w:pPr>
      <w:r>
        <w:rPr>
          <w:rFonts w:ascii="Arial" w:cs="Arial" w:eastAsia="Arial" w:hAnsi="Arial"/>
          <w:color w:val="595959"/>
          <w:sz w:val="22"/>
          <w:szCs w:val="22"/>
        </w:rPr>
        <w:t xml:space="preserve">An FQHC serving a primarily Spanish-speaking community deploys the AI with real-time Spanish translation. The AI handles appointment scheduling, financial assistance screening (sliding fee scale eligibility), and preventive care outreach in both English and Spanish. Preventive care visit completion rates increase by 35% within the first year, directly supporting the center’s HRSA quality improvement goals.</w:t>
      </w:r>
    </w:p>
    <w:p>
      <w:r>
        <w:br w:type="page"/>
      </w:r>
    </w:p>
    <w:p>
      <w:pPr>
        <w:pStyle w:val="Heading1"/>
        <w:spacing w:after="200" w:before="360"/>
      </w:pPr>
      <w:r>
        <w:rPr>
          <w:rFonts w:ascii="Arial" w:cs="Arial" w:eastAsia="Arial" w:hAnsi="Arial"/>
          <w:b/>
          <w:bCs/>
          <w:color w:val="2E75B6"/>
          <w:sz w:val="32"/>
          <w:szCs w:val="32"/>
        </w:rPr>
        <w:t xml:space="preserve">Role 4: Clinical Research Coordinator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Clinical Research Coordinator AI</w:t>
      </w:r>
    </w:p>
    <w:p>
      <w:pPr>
        <w:spacing w:after="120"/>
      </w:pPr>
      <w:r>
        <w:rPr>
          <w:rFonts w:ascii="Arial" w:cs="Arial" w:eastAsia="Arial" w:hAnsi="Arial"/>
          <w:color w:val="595959"/>
          <w:sz w:val="22"/>
          <w:szCs w:val="22"/>
        </w:rPr>
        <w:t xml:space="preserve">Department: Clinical Research / Office of Research</w:t>
      </w:r>
    </w:p>
    <w:p>
      <w:pPr>
        <w:spacing w:after="120"/>
      </w:pPr>
      <w:r>
        <w:rPr>
          <w:rFonts w:ascii="Arial" w:cs="Arial" w:eastAsia="Arial" w:hAnsi="Arial"/>
          <w:color w:val="595959"/>
          <w:sz w:val="22"/>
          <w:szCs w:val="22"/>
        </w:rPr>
        <w:t xml:space="preserve">Reports To: Principal Investigator (PI) or Director of Clinical Research</w:t>
      </w:r>
    </w:p>
    <w:p>
      <w:pPr>
        <w:spacing w:after="120"/>
      </w:pPr>
      <w:r>
        <w:rPr>
          <w:rFonts w:ascii="Arial" w:cs="Arial" w:eastAsia="Arial" w:hAnsi="Arial"/>
          <w:color w:val="595959"/>
          <w:sz w:val="22"/>
          <w:szCs w:val="22"/>
        </w:rPr>
        <w:t xml:space="preserve">Seniority Level: 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Clinical Research Coordinator AI manages the operational aspects of clinical trials and research studies within the healthcare organization. This AI employee supports the entire clinical trial lifecycle from study startup through enrollment, data collection, monitoring, adverse event reporting, and study closeout. It ensures protocol compliance, manages regulatory documentation, coordinates with Institutional Review Boards (IRBs), tracks enrollment targets, maintains Case Report Forms (CRFs), and facilitates communication between the research team, sponsors, Contract Research Organizations (CROs), and study participants.</w:t>
      </w:r>
    </w:p>
    <w:p>
      <w:pPr>
        <w:spacing w:after="120"/>
      </w:pPr>
      <w:r>
        <w:rPr>
          <w:rFonts w:ascii="Arial" w:cs="Arial" w:eastAsia="Arial" w:hAnsi="Arial"/>
          <w:color w:val="595959"/>
          <w:sz w:val="22"/>
          <w:szCs w:val="22"/>
        </w:rPr>
        <w:t xml:space="preserve">Operating under the stringent regulatory framework of FDA 21 CFR Parts 11 and 312, ICH Good Clinical Practice (GCP) guidelines, and HIPAA research provisions, this AI employee maintains impeccable documentation standards. Every action is logged with timestamps and electronic signatures compliant with 21 CFR Part 11 requirements. The AI never makes autonomous clinical decisions regarding participant safety — all adverse events, protocol deviations, and clinical assessments are immediately escalated to the Principal Investigator.</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Study Startup and Regulatory Management: </w:t>
      </w:r>
      <w:r>
        <w:rPr>
          <w:rFonts w:ascii="Arial" w:cs="Arial" w:eastAsia="Arial" w:hAnsi="Arial"/>
          <w:color w:val="595959"/>
          <w:sz w:val="22"/>
          <w:szCs w:val="22"/>
        </w:rPr>
        <w:t xml:space="preserve">Prepare and submit IRB applications, amendments, and continuing review documentation. Maintain regulatory binders (electronic or physical) with all required documents. Track IRB approval expirations and submit renewals before deadlines. Manage informed consent document versions and ensure only current versions are used. Coordinate site initiation visits with sponsors and CROs.</w:t>
      </w:r>
    </w:p>
    <w:p>
      <w:pPr>
        <w:pStyle w:val="ListParagraph"/>
        <w:numPr>
          <w:ilvl w:val="0"/>
          <w:numId w:val="2"/>
        </w:numPr>
        <w:spacing w:after="80"/>
      </w:pPr>
      <w:r>
        <w:rPr>
          <w:rFonts w:ascii="Arial" w:cs="Arial" w:eastAsia="Arial" w:hAnsi="Arial"/>
          <w:b/>
          <w:bCs/>
          <w:color w:val="595959"/>
          <w:sz w:val="22"/>
          <w:szCs w:val="22"/>
        </w:rPr>
        <w:t xml:space="preserve">Participant Management: </w:t>
      </w:r>
      <w:r>
        <w:rPr>
          <w:rFonts w:ascii="Arial" w:cs="Arial" w:eastAsia="Arial" w:hAnsi="Arial"/>
          <w:color w:val="595959"/>
          <w:sz w:val="22"/>
          <w:szCs w:val="22"/>
        </w:rPr>
        <w:t xml:space="preserve">Screen potential participants against inclusion/exclusion criteria. Manage enrollment tracking against study targets. Coordinate participant visit schedules per protocol timeline. Send visit reminders and follow-up on missed visits. Track participant retention and implement re-engagement strategies for at-risk participants.</w:t>
      </w:r>
    </w:p>
    <w:p>
      <w:pPr>
        <w:pStyle w:val="ListParagraph"/>
        <w:numPr>
          <w:ilvl w:val="0"/>
          <w:numId w:val="2"/>
        </w:numPr>
        <w:spacing w:after="80"/>
      </w:pPr>
      <w:r>
        <w:rPr>
          <w:rFonts w:ascii="Arial" w:cs="Arial" w:eastAsia="Arial" w:hAnsi="Arial"/>
          <w:b/>
          <w:bCs/>
          <w:color w:val="595959"/>
          <w:sz w:val="22"/>
          <w:szCs w:val="22"/>
        </w:rPr>
        <w:t xml:space="preserve">Data Management: </w:t>
      </w:r>
      <w:r>
        <w:rPr>
          <w:rFonts w:ascii="Arial" w:cs="Arial" w:eastAsia="Arial" w:hAnsi="Arial"/>
          <w:color w:val="595959"/>
          <w:sz w:val="22"/>
          <w:szCs w:val="22"/>
        </w:rPr>
        <w:t xml:space="preserve">Enter data into Electronic Data Capture (EDC) systems accurately and within sponsor-required timelines. Resolve data queries from sponsors and monitors. Maintain source documentation. Ensure data integrity through regular quality checks. Generate enrollment and data completion reports.</w:t>
      </w:r>
    </w:p>
    <w:p>
      <w:pPr>
        <w:pStyle w:val="ListParagraph"/>
        <w:numPr>
          <w:ilvl w:val="0"/>
          <w:numId w:val="2"/>
        </w:numPr>
        <w:spacing w:after="80"/>
      </w:pPr>
      <w:r>
        <w:rPr>
          <w:rFonts w:ascii="Arial" w:cs="Arial" w:eastAsia="Arial" w:hAnsi="Arial"/>
          <w:b/>
          <w:bCs/>
          <w:color w:val="595959"/>
          <w:sz w:val="22"/>
          <w:szCs w:val="22"/>
        </w:rPr>
        <w:t xml:space="preserve">Safety Reporting: </w:t>
      </w:r>
      <w:r>
        <w:rPr>
          <w:rFonts w:ascii="Arial" w:cs="Arial" w:eastAsia="Arial" w:hAnsi="Arial"/>
          <w:color w:val="595959"/>
          <w:sz w:val="22"/>
          <w:szCs w:val="22"/>
        </w:rPr>
        <w:t xml:space="preserve">Document adverse events (AEs) and serious adverse events (SAEs) per protocol requirements. Ensure SAE reporting within 24-hour mandatory timelines. Track adverse event resolution and follow-up. Maintain safety databases and generate safety reports for Data Safety Monitoring Boards (DSMBs).</w:t>
      </w:r>
    </w:p>
    <w:p>
      <w:pPr>
        <w:pStyle w:val="ListParagraph"/>
        <w:numPr>
          <w:ilvl w:val="0"/>
          <w:numId w:val="2"/>
        </w:numPr>
        <w:spacing w:after="80"/>
      </w:pPr>
      <w:r>
        <w:rPr>
          <w:rFonts w:ascii="Arial" w:cs="Arial" w:eastAsia="Arial" w:hAnsi="Arial"/>
          <w:b/>
          <w:bCs/>
          <w:color w:val="595959"/>
          <w:sz w:val="22"/>
          <w:szCs w:val="22"/>
        </w:rPr>
        <w:t xml:space="preserve">Compliance and Audit Readiness: </w:t>
      </w:r>
      <w:r>
        <w:rPr>
          <w:rFonts w:ascii="Arial" w:cs="Arial" w:eastAsia="Arial" w:hAnsi="Arial"/>
          <w:color w:val="595959"/>
          <w:sz w:val="22"/>
          <w:szCs w:val="22"/>
        </w:rPr>
        <w:t xml:space="preserve">Maintain trial master file (TMF) completeness. Prepare for sponsor monitoring visits and FDA audits. Track and resolve monitoring visit findings. Ensure protocol deviation documentation and reporting. Maintain staff training logs and delegation of authority logs.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Screen patient EHR records against study inclusion/exclusion criteria to identify potential participants (with PI approval before contact).</w:t>
      </w:r>
    </w:p>
    <w:p>
      <w:pPr>
        <w:pStyle w:val="ListParagraph"/>
        <w:numPr>
          <w:ilvl w:val="0"/>
          <w:numId w:val="2"/>
        </w:numPr>
        <w:spacing w:after="80"/>
      </w:pPr>
      <w:r>
        <w:rPr>
          <w:rFonts w:ascii="Arial" w:cs="Arial" w:eastAsia="Arial" w:hAnsi="Arial"/>
          <w:color w:val="595959"/>
          <w:sz w:val="22"/>
          <w:szCs w:val="22"/>
        </w:rPr>
        <w:t xml:space="preserve">Prepare IRB submission packages including protocol summaries, consent forms, recruitment materials, and investigator brochures.</w:t>
      </w:r>
    </w:p>
    <w:p>
      <w:pPr>
        <w:pStyle w:val="ListParagraph"/>
        <w:numPr>
          <w:ilvl w:val="0"/>
          <w:numId w:val="2"/>
        </w:numPr>
        <w:spacing w:after="80"/>
      </w:pPr>
      <w:r>
        <w:rPr>
          <w:rFonts w:ascii="Arial" w:cs="Arial" w:eastAsia="Arial" w:hAnsi="Arial"/>
          <w:color w:val="595959"/>
          <w:sz w:val="22"/>
          <w:szCs w:val="22"/>
        </w:rPr>
        <w:t xml:space="preserve">Track all active study timelines, visit windows, and regulatory deadlines on a centralized research calendar.</w:t>
      </w:r>
    </w:p>
    <w:p>
      <w:pPr>
        <w:pStyle w:val="ListParagraph"/>
        <w:numPr>
          <w:ilvl w:val="0"/>
          <w:numId w:val="2"/>
        </w:numPr>
        <w:spacing w:after="80"/>
      </w:pPr>
      <w:r>
        <w:rPr>
          <w:rFonts w:ascii="Arial" w:cs="Arial" w:eastAsia="Arial" w:hAnsi="Arial"/>
          <w:color w:val="595959"/>
          <w:sz w:val="22"/>
          <w:szCs w:val="22"/>
        </w:rPr>
        <w:t xml:space="preserve">Enter clinical data into EDC systems (Medidata Rave, Oracle Clinical, REDCap) within 48 hours of participant visits.</w:t>
      </w:r>
    </w:p>
    <w:p>
      <w:pPr>
        <w:pStyle w:val="ListParagraph"/>
        <w:numPr>
          <w:ilvl w:val="0"/>
          <w:numId w:val="2"/>
        </w:numPr>
        <w:spacing w:after="80"/>
      </w:pPr>
      <w:r>
        <w:rPr>
          <w:rFonts w:ascii="Arial" w:cs="Arial" w:eastAsia="Arial" w:hAnsi="Arial"/>
          <w:color w:val="595959"/>
          <w:sz w:val="22"/>
          <w:szCs w:val="22"/>
        </w:rPr>
        <w:t xml:space="preserve">Generate weekly enrollment reports showing screening, enrollment, active, completed, and withdrawn participant counts.</w:t>
      </w:r>
    </w:p>
    <w:p>
      <w:pPr>
        <w:pStyle w:val="ListParagraph"/>
        <w:numPr>
          <w:ilvl w:val="0"/>
          <w:numId w:val="2"/>
        </w:numPr>
        <w:spacing w:after="80"/>
      </w:pPr>
      <w:r>
        <w:rPr>
          <w:rFonts w:ascii="Arial" w:cs="Arial" w:eastAsia="Arial" w:hAnsi="Arial"/>
          <w:color w:val="595959"/>
          <w:sz w:val="22"/>
          <w:szCs w:val="22"/>
        </w:rPr>
        <w:t xml:space="preserve">Process and route adverse event reports within 24 hours of awareness per protocol requirements.</w:t>
      </w:r>
    </w:p>
    <w:p>
      <w:pPr>
        <w:pStyle w:val="ListParagraph"/>
        <w:numPr>
          <w:ilvl w:val="0"/>
          <w:numId w:val="2"/>
        </w:numPr>
        <w:spacing w:after="80"/>
      </w:pPr>
      <w:r>
        <w:rPr>
          <w:rFonts w:ascii="Arial" w:cs="Arial" w:eastAsia="Arial" w:hAnsi="Arial"/>
          <w:color w:val="595959"/>
          <w:sz w:val="22"/>
          <w:szCs w:val="22"/>
        </w:rPr>
        <w:t xml:space="preserve">Prepare monitoring visit documentation packages and resolve post-visit action items within sponsor timelines.</w:t>
      </w:r>
    </w:p>
    <w:p>
      <w:pPr>
        <w:pStyle w:val="ListParagraph"/>
        <w:numPr>
          <w:ilvl w:val="0"/>
          <w:numId w:val="2"/>
        </w:numPr>
        <w:spacing w:after="80"/>
      </w:pPr>
      <w:r>
        <w:rPr>
          <w:rFonts w:ascii="Arial" w:cs="Arial" w:eastAsia="Arial" w:hAnsi="Arial"/>
          <w:color w:val="595959"/>
          <w:sz w:val="22"/>
          <w:szCs w:val="22"/>
        </w:rPr>
        <w:t xml:space="preserve">Maintain electronic regulatory binders with version-controlled documents and audit-ready organization.</w:t>
      </w:r>
    </w:p>
    <w:p>
      <w:pPr>
        <w:pStyle w:val="ListParagraph"/>
        <w:numPr>
          <w:ilvl w:val="0"/>
          <w:numId w:val="2"/>
        </w:numPr>
        <w:spacing w:after="80"/>
      </w:pPr>
      <w:r>
        <w:rPr>
          <w:rFonts w:ascii="Arial" w:cs="Arial" w:eastAsia="Arial" w:hAnsi="Arial"/>
          <w:color w:val="595959"/>
          <w:sz w:val="22"/>
          <w:szCs w:val="22"/>
        </w:rPr>
        <w:t xml:space="preserve">Send participant visit reminders 7 days and 1 day before scheduled study visits.</w:t>
      </w:r>
    </w:p>
    <w:p>
      <w:pPr>
        <w:pStyle w:val="ListParagraph"/>
        <w:numPr>
          <w:ilvl w:val="0"/>
          <w:numId w:val="2"/>
        </w:numPr>
        <w:spacing w:after="80"/>
      </w:pPr>
      <w:r>
        <w:rPr>
          <w:rFonts w:ascii="Arial" w:cs="Arial" w:eastAsia="Arial" w:hAnsi="Arial"/>
          <w:color w:val="595959"/>
          <w:sz w:val="22"/>
          <w:szCs w:val="22"/>
        </w:rPr>
        <w:t xml:space="preserve">Generate study closeout documentation including final enrollment reports, SAE summaries, and regulatory submissions.</w:t>
      </w:r>
    </w:p>
    <w:p>
      <w:pPr>
        <w:pStyle w:val="ListParagraph"/>
        <w:numPr>
          <w:ilvl w:val="0"/>
          <w:numId w:val="2"/>
        </w:numPr>
        <w:spacing w:after="80"/>
      </w:pPr>
      <w:r>
        <w:rPr>
          <w:rFonts w:ascii="Arial" w:cs="Arial" w:eastAsia="Arial" w:hAnsi="Arial"/>
          <w:color w:val="595959"/>
          <w:sz w:val="22"/>
          <w:szCs w:val="22"/>
        </w:rPr>
        <w:t xml:space="preserve">Track investigational product (IP) accountability logs including receipt, dispensing, returns, and destruction.</w:t>
      </w:r>
    </w:p>
    <w:p>
      <w:pPr>
        <w:pStyle w:val="ListParagraph"/>
        <w:numPr>
          <w:ilvl w:val="0"/>
          <w:numId w:val="2"/>
        </w:numPr>
        <w:spacing w:after="80"/>
      </w:pPr>
      <w:r>
        <w:rPr>
          <w:rFonts w:ascii="Arial" w:cs="Arial" w:eastAsia="Arial" w:hAnsi="Arial"/>
          <w:color w:val="595959"/>
          <w:sz w:val="22"/>
          <w:szCs w:val="22"/>
        </w:rPr>
        <w:t xml:space="preserve">Coordinate lab specimen collection, processing, and shipping per protocol laboratory manual.</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EDC Systems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Medidata Rave, Oracle Clinical, REDCap, Veeva Vault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data entry, query resolution, data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CTMS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OnCore, Velos, Forte, Clinical Conductor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Study tracking, enrollment management, visit scheduling, financial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IRB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IRBManager, IRBMED, Advarra, WCG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Protocol submissions, amendments, continuing reviews, approval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Research Module, Cerner Research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screening, medical history review, concomitant medication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eConsent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DocuSign, Florence, Medable, YPrime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Electronic informed consent capture, version management, re-consenting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Randomization/IRT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IXRS/IRT systems, Almac, Signant Health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Participant randomization, drug assignment, unblinding procedures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Safety Reporting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Argus, ArisGlobal, MedWatch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AE/SAE documentation, regulatory safety reporting, CIOMS forms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Lab/Specimen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LabCorp, Quest, LIMS systems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Lab order management, result tracking, specimen shipping coordination</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Participant Study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PHI/Research (HIPAA)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study-specific data only; no access to non-study medical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(Screening)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access for eligibility screening per IRB-approved protocol; limited to study-relevant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EDC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Research Confidential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Enter and edit data per delegation log; cannot modify locked/monitored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Maintain regulatory binders; cannot execute PI-level signatures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Safety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AEs/SAEs; cannot make causality determinations (PI 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Financial/Budget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study budget status; cannot process invoices or payments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Investigational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Track IP accountability; cannot authorize dispensing or destruction</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Coordinates with sponsors and CROs via scheduled video calls. Conducts participant screening calls to assess preliminary eligibility. Participates in site initiation and monitoring visit discussions. Communicates with research team during study huddles.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participant visit reminders via secure text. Coordinates with research pharmacy for IP dispensing. Communicates urgent safety information to PI via secure messaging with read-receipt confirmation.</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enrollment status reports to sponsors. Submits IRB correspondence. Coordinates lab specimen shipping schedules. Communicates study updates to the research team.</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Serious Adverse Event (SAE) Reporting</w:t>
      </w:r>
    </w:p>
    <w:p>
      <w:pPr>
        <w:pStyle w:val="ListParagraph"/>
        <w:numPr>
          <w:ilvl w:val="0"/>
          <w:numId w:val="2"/>
        </w:numPr>
        <w:spacing w:after="80"/>
      </w:pPr>
      <w:r>
        <w:rPr>
          <w:rFonts w:ascii="Arial" w:cs="Arial" w:eastAsia="Arial" w:hAnsi="Arial"/>
          <w:color w:val="595959"/>
          <w:sz w:val="22"/>
          <w:szCs w:val="22"/>
        </w:rPr>
        <w:t xml:space="preserve">Step 1: Receive notification from study nurse that a participant has been hospitalized (meets SAE criteria).</w:t>
      </w:r>
    </w:p>
    <w:p>
      <w:pPr>
        <w:pStyle w:val="ListParagraph"/>
        <w:numPr>
          <w:ilvl w:val="0"/>
          <w:numId w:val="2"/>
        </w:numPr>
        <w:spacing w:after="80"/>
      </w:pPr>
      <w:r>
        <w:rPr>
          <w:rFonts w:ascii="Arial" w:cs="Arial" w:eastAsia="Arial" w:hAnsi="Arial"/>
          <w:color w:val="595959"/>
          <w:sz w:val="22"/>
          <w:szCs w:val="22"/>
        </w:rPr>
        <w:t xml:space="preserve">Step 2: Start 24-hour reporting clock. Create SAE case in safety database with participant ID and initial details.</w:t>
      </w:r>
    </w:p>
    <w:p>
      <w:pPr>
        <w:pStyle w:val="ListParagraph"/>
        <w:numPr>
          <w:ilvl w:val="0"/>
          <w:numId w:val="2"/>
        </w:numPr>
        <w:spacing w:after="80"/>
      </w:pPr>
      <w:r>
        <w:rPr>
          <w:rFonts w:ascii="Arial" w:cs="Arial" w:eastAsia="Arial" w:hAnsi="Arial"/>
          <w:color w:val="595959"/>
          <w:sz w:val="22"/>
          <w:szCs w:val="22"/>
        </w:rPr>
        <w:t xml:space="preserve">Step 3: Gather clinical details: hospitalization date, diagnosis, treatment, relationship to study drug (per PI assessment).</w:t>
      </w:r>
    </w:p>
    <w:p>
      <w:pPr>
        <w:pStyle w:val="ListParagraph"/>
        <w:numPr>
          <w:ilvl w:val="0"/>
          <w:numId w:val="2"/>
        </w:numPr>
        <w:spacing w:after="80"/>
      </w:pPr>
      <w:r>
        <w:rPr>
          <w:rFonts w:ascii="Arial" w:cs="Arial" w:eastAsia="Arial" w:hAnsi="Arial"/>
          <w:color w:val="595959"/>
          <w:sz w:val="22"/>
          <w:szCs w:val="22"/>
        </w:rPr>
        <w:t xml:space="preserve">Step 4: Complete initial SAE report form (CIOMS-I format) with all available information.</w:t>
      </w:r>
    </w:p>
    <w:p>
      <w:pPr>
        <w:pStyle w:val="ListParagraph"/>
        <w:numPr>
          <w:ilvl w:val="0"/>
          <w:numId w:val="2"/>
        </w:numPr>
        <w:spacing w:after="80"/>
      </w:pPr>
      <w:r>
        <w:rPr>
          <w:rFonts w:ascii="Arial" w:cs="Arial" w:eastAsia="Arial" w:hAnsi="Arial"/>
          <w:color w:val="595959"/>
          <w:sz w:val="22"/>
          <w:szCs w:val="22"/>
        </w:rPr>
        <w:t xml:space="preserve">Step 5: Route completed form to PI for causality assessment and electronic signature.</w:t>
      </w:r>
    </w:p>
    <w:p>
      <w:pPr>
        <w:pStyle w:val="ListParagraph"/>
        <w:numPr>
          <w:ilvl w:val="0"/>
          <w:numId w:val="2"/>
        </w:numPr>
        <w:spacing w:after="80"/>
      </w:pPr>
      <w:r>
        <w:rPr>
          <w:rFonts w:ascii="Arial" w:cs="Arial" w:eastAsia="Arial" w:hAnsi="Arial"/>
          <w:color w:val="595959"/>
          <w:sz w:val="22"/>
          <w:szCs w:val="22"/>
        </w:rPr>
        <w:t xml:space="preserve">Step 6: Upon PI signature, submit to sponsor within 24 hours. Submit to IRB per local reporting requirements.</w:t>
      </w:r>
    </w:p>
    <w:p>
      <w:pPr>
        <w:pStyle w:val="ListParagraph"/>
        <w:numPr>
          <w:ilvl w:val="0"/>
          <w:numId w:val="2"/>
        </w:numPr>
        <w:spacing w:after="80"/>
      </w:pPr>
      <w:r>
        <w:rPr>
          <w:rFonts w:ascii="Arial" w:cs="Arial" w:eastAsia="Arial" w:hAnsi="Arial"/>
          <w:color w:val="595959"/>
          <w:sz w:val="22"/>
          <w:szCs w:val="22"/>
        </w:rPr>
        <w:t xml:space="preserve">Step 7: Enter SAE into EDC system with appropriate coding (MedDRA preferred terms).</w:t>
      </w:r>
    </w:p>
    <w:p>
      <w:pPr>
        <w:pStyle w:val="ListParagraph"/>
        <w:numPr>
          <w:ilvl w:val="0"/>
          <w:numId w:val="2"/>
        </w:numPr>
        <w:spacing w:after="80"/>
      </w:pPr>
      <w:r>
        <w:rPr>
          <w:rFonts w:ascii="Arial" w:cs="Arial" w:eastAsia="Arial" w:hAnsi="Arial"/>
          <w:color w:val="595959"/>
          <w:sz w:val="22"/>
          <w:szCs w:val="22"/>
        </w:rPr>
        <w:t xml:space="preserve">Step 8: Set follow-up reminders at 7-day intervals until SAE resolution or stabilization.</w:t>
      </w:r>
    </w:p>
    <w:p>
      <w:pPr>
        <w:pStyle w:val="ListParagraph"/>
        <w:numPr>
          <w:ilvl w:val="0"/>
          <w:numId w:val="2"/>
        </w:numPr>
        <w:spacing w:after="80"/>
      </w:pPr>
      <w:r>
        <w:rPr>
          <w:rFonts w:ascii="Arial" w:cs="Arial" w:eastAsia="Arial" w:hAnsi="Arial"/>
          <w:color w:val="595959"/>
          <w:sz w:val="22"/>
          <w:szCs w:val="22"/>
        </w:rPr>
        <w:t xml:space="preserve">Step 9: Submit follow-up reports with updated clinical information until final outcome is documented.</w:t>
      </w:r>
    </w:p>
    <w:p>
      <w:pPr>
        <w:pStyle w:val="ListParagraph"/>
        <w:numPr>
          <w:ilvl w:val="0"/>
          <w:numId w:val="2"/>
        </w:numPr>
        <w:spacing w:after="80"/>
      </w:pPr>
      <w:r>
        <w:rPr>
          <w:rFonts w:ascii="Arial" w:cs="Arial" w:eastAsia="Arial" w:hAnsi="Arial"/>
          <w:color w:val="595959"/>
          <w:sz w:val="22"/>
          <w:szCs w:val="22"/>
        </w:rPr>
        <w:t xml:space="preserve">Step 10: File all SAE documentation in participant’s regulatory binder section. Update safety tracking log.</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SAE Reporting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within 24 hours of awareness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Safety database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Entry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95% of CRF data entered within 48 hours of visit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EDC system entry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Resolution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5 business days average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EDC query aging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Enrollment Target Achievement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 90% of enrollment target met per study timeline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CTMS enrollment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Protocol Deviation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3% of participant visits with deviations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Deviation log divided by total visits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IRB Submission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renewals submitted ≥ 30 days before expiration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IRB tracking 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Monitoring Visit Readiness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requested documents available at monitoring visit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Monitor visit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Participant Retention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85% retention rate for studies &gt; 12 months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Enrollment vs. completion tracking</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Academic Medical Center (25+ active studies)</w:t>
      </w:r>
    </w:p>
    <w:p>
      <w:pPr>
        <w:spacing w:after="120"/>
      </w:pPr>
      <w:r>
        <w:rPr>
          <w:rFonts w:ascii="Arial" w:cs="Arial" w:eastAsia="Arial" w:hAnsi="Arial"/>
          <w:color w:val="595959"/>
          <w:sz w:val="22"/>
          <w:szCs w:val="22"/>
        </w:rPr>
        <w:t xml:space="preserve">An academic medical center running 25 concurrent clinical trials deploys the Clinical Research Coordinator AI to manage cross-study regulatory compliance and enrollment tracking. The AI maintains 25 regulatory binders with 100% completeness, reduces data entry backlog from 14 days to 2 days, and achieves 100% SAE reporting compliance. Research coordinators are freed to focus on participant interaction and complex protocol procedures.</w:t>
      </w:r>
    </w:p>
    <w:p>
      <w:pPr>
        <w:pStyle w:val="Heading3"/>
        <w:spacing w:after="120" w:before="240"/>
      </w:pPr>
      <w:r>
        <w:rPr>
          <w:rFonts w:ascii="Arial" w:cs="Arial" w:eastAsia="Arial" w:hAnsi="Arial"/>
          <w:b/>
          <w:bCs/>
          <w:color w:val="2E75B6"/>
          <w:sz w:val="24"/>
          <w:szCs w:val="24"/>
        </w:rPr>
        <w:t xml:space="preserve">Use Case 2: Community Oncology Practice</w:t>
      </w:r>
    </w:p>
    <w:p>
      <w:pPr>
        <w:spacing w:after="120"/>
      </w:pPr>
      <w:r>
        <w:rPr>
          <w:rFonts w:ascii="Arial" w:cs="Arial" w:eastAsia="Arial" w:hAnsi="Arial"/>
          <w:color w:val="595959"/>
          <w:sz w:val="22"/>
          <w:szCs w:val="22"/>
        </w:rPr>
        <w:t xml:space="preserve">A community oncology practice participating in cooperative group trials (ECOG-ACRIN, SWOG) uses the AI to screen the EHR for patients potentially eligible for open trials. The AI identifies 40% more screening candidates than manual chart review, increasing trial enrollment by 25% and contributing to the practice’s clinical trial participation metrics.</w:t>
      </w:r>
    </w:p>
    <w:p>
      <w:pPr>
        <w:pStyle w:val="Heading3"/>
        <w:spacing w:after="120" w:before="240"/>
      </w:pPr>
      <w:r>
        <w:rPr>
          <w:rFonts w:ascii="Arial" w:cs="Arial" w:eastAsia="Arial" w:hAnsi="Arial"/>
          <w:b/>
          <w:bCs/>
          <w:color w:val="2E75B6"/>
          <w:sz w:val="24"/>
          <w:szCs w:val="24"/>
        </w:rPr>
        <w:t xml:space="preserve">Use Case 3: Pharmaceutical Sponsor (Multi-Site Trial)</w:t>
      </w:r>
    </w:p>
    <w:p>
      <w:pPr>
        <w:spacing w:after="120"/>
      </w:pPr>
      <w:r>
        <w:rPr>
          <w:rFonts w:ascii="Arial" w:cs="Arial" w:eastAsia="Arial" w:hAnsi="Arial"/>
          <w:color w:val="595959"/>
          <w:sz w:val="22"/>
          <w:szCs w:val="22"/>
        </w:rPr>
        <w:t xml:space="preserve">A pharmaceutical sponsor deploys the Clinical Research Coordinator AI across 50 trial sites to standardize data quality. Sites using the AI achieve 92% first-pass data entry accuracy compared to 78% for manual-only sites, reducing query volumes by 55% and accelerating database lock timelines by 3 weeks.</w:t>
      </w:r>
    </w:p>
    <w:p>
      <w:r>
        <w:br w:type="page"/>
      </w:r>
    </w:p>
    <w:p>
      <w:pPr>
        <w:pStyle w:val="Heading1"/>
        <w:spacing w:after="200" w:before="360"/>
      </w:pPr>
      <w:r>
        <w:rPr>
          <w:rFonts w:ascii="Arial" w:cs="Arial" w:eastAsia="Arial" w:hAnsi="Arial"/>
          <w:b/>
          <w:bCs/>
          <w:color w:val="2E75B6"/>
          <w:sz w:val="32"/>
          <w:szCs w:val="32"/>
        </w:rPr>
        <w:t xml:space="preserve">Role 5: Healthcare Compliance Officer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Healthcare Compliance Officer AI</w:t>
      </w:r>
    </w:p>
    <w:p>
      <w:pPr>
        <w:spacing w:after="120"/>
      </w:pPr>
      <w:r>
        <w:rPr>
          <w:rFonts w:ascii="Arial" w:cs="Arial" w:eastAsia="Arial" w:hAnsi="Arial"/>
          <w:color w:val="595959"/>
          <w:sz w:val="22"/>
          <w:szCs w:val="22"/>
        </w:rPr>
        <w:t xml:space="preserve">Department: Compliance / Legal Affairs</w:t>
      </w:r>
    </w:p>
    <w:p>
      <w:pPr>
        <w:spacing w:after="120"/>
      </w:pPr>
      <w:r>
        <w:rPr>
          <w:rFonts w:ascii="Arial" w:cs="Arial" w:eastAsia="Arial" w:hAnsi="Arial"/>
          <w:color w:val="595959"/>
          <w:sz w:val="22"/>
          <w:szCs w:val="22"/>
        </w:rPr>
        <w:t xml:space="preserve">Reports To: Chief Compliance Officer (CCO)</w:t>
      </w:r>
    </w:p>
    <w:p>
      <w:pPr>
        <w:spacing w:after="120"/>
      </w:pPr>
      <w:r>
        <w:rPr>
          <w:rFonts w:ascii="Arial" w:cs="Arial" w:eastAsia="Arial" w:hAnsi="Arial"/>
          <w:color w:val="595959"/>
          <w:sz w:val="22"/>
          <w:szCs w:val="22"/>
        </w:rPr>
        <w:t xml:space="preserve">Seniority Level: Senior</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Healthcare Compliance Officer AI serves as the organization’s frontline compliance monitoring and enforcement system, ensuring adherence to the complex web of healthcare regulations including HIPAA (Privacy and Security Rules), the Anti-Kickback Statute (AKS), the Physician Self-Referral Law (Stark Law), the False Claims Act, CMS Conditions of Participation, state health department regulations, and accreditation standards. This AI employee continuously monitors organizational activities for compliance risks, manages the compliance training program, supports internal and external audit activities, processes compliance hotline reports, and maintains the organization’s compliance program documentation.</w:t>
      </w:r>
    </w:p>
    <w:p>
      <w:pPr>
        <w:spacing w:after="120"/>
      </w:pPr>
      <w:r>
        <w:rPr>
          <w:rFonts w:ascii="Arial" w:cs="Arial" w:eastAsia="Arial" w:hAnsi="Arial"/>
          <w:color w:val="595959"/>
          <w:sz w:val="22"/>
          <w:szCs w:val="22"/>
        </w:rPr>
        <w:t xml:space="preserve">The Healthcare Compliance Officer AI operates under the guidance of the Chief Compliance Officer and the Compliance Committee, serving as the operational engine that scales the compliance function across a large, complex healthcare organization. While the CCO sets compliance strategy and makes enforcement decisions, the AI handles the high-volume operational work of monitoring, tracking, reporting, and documenting compliance activities. The AI never makes autonomous enforcement decisions (sanctions, disciplinary actions, regulatory self-disclosures) — these require human CCO authorization.</w:t>
      </w:r>
    </w:p>
    <w:p>
      <w:pPr>
        <w:spacing w:after="120"/>
      </w:pPr>
      <w:r>
        <w:rPr>
          <w:rFonts w:ascii="Arial" w:cs="Arial" w:eastAsia="Arial" w:hAnsi="Arial"/>
          <w:color w:val="595959"/>
          <w:sz w:val="22"/>
          <w:szCs w:val="22"/>
        </w:rPr>
        <w:t xml:space="preserve">This role is particularly critical in healthcare because compliance failures can result in severe consequences: federal criminal prosecution, civil monetary penalties up to $100,000 per violation, exclusion from federal healthcare programs (Medicare/Medicaid), loss of accreditation, and reputational damage. The AI’s ability to maintain 24/7 vigilance and process massive volumes of compliance data provides an unprecedented level of organizational protection.</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Regulatory Monitoring: </w:t>
      </w:r>
      <w:r>
        <w:rPr>
          <w:rFonts w:ascii="Arial" w:cs="Arial" w:eastAsia="Arial" w:hAnsi="Arial"/>
          <w:color w:val="595959"/>
          <w:sz w:val="22"/>
          <w:szCs w:val="22"/>
        </w:rPr>
        <w:t xml:space="preserve">Continuously monitor federal and state regulatory changes relevant to the organization. Track proposed rules, final rules, and guidance documents from CMS, OIG, OCR, FDA, DEA, and state agencies. Analyze the impact of regulatory changes on organizational policies and procedures. Generate regulatory change alerts and impact assessments for affected departments.</w:t>
      </w:r>
    </w:p>
    <w:p>
      <w:pPr>
        <w:pStyle w:val="ListParagraph"/>
        <w:numPr>
          <w:ilvl w:val="0"/>
          <w:numId w:val="2"/>
        </w:numPr>
        <w:spacing w:after="80"/>
      </w:pPr>
      <w:r>
        <w:rPr>
          <w:rFonts w:ascii="Arial" w:cs="Arial" w:eastAsia="Arial" w:hAnsi="Arial"/>
          <w:b/>
          <w:bCs/>
          <w:color w:val="595959"/>
          <w:sz w:val="22"/>
          <w:szCs w:val="22"/>
        </w:rPr>
        <w:t xml:space="preserve">Compliance Training Management: </w:t>
      </w:r>
      <w:r>
        <w:rPr>
          <w:rFonts w:ascii="Arial" w:cs="Arial" w:eastAsia="Arial" w:hAnsi="Arial"/>
          <w:color w:val="595959"/>
          <w:sz w:val="22"/>
          <w:szCs w:val="22"/>
        </w:rPr>
        <w:t xml:space="preserve">Manage the organization-wide compliance training program including assignment, tracking, completion monitoring, and reporting. Ensure all employees complete required training (HIPAA, fraud/waste/abuse, code of conduct, conflict of interest) within mandated timeframes. Generate non-compliance reports for managers with employees overdue on required training.</w:t>
      </w:r>
    </w:p>
    <w:p>
      <w:pPr>
        <w:pStyle w:val="ListParagraph"/>
        <w:numPr>
          <w:ilvl w:val="0"/>
          <w:numId w:val="2"/>
        </w:numPr>
        <w:spacing w:after="80"/>
      </w:pPr>
      <w:r>
        <w:rPr>
          <w:rFonts w:ascii="Arial" w:cs="Arial" w:eastAsia="Arial" w:hAnsi="Arial"/>
          <w:b/>
          <w:bCs/>
          <w:color w:val="595959"/>
          <w:sz w:val="22"/>
          <w:szCs w:val="22"/>
        </w:rPr>
        <w:t xml:space="preserve">Audit Support and Management: </w:t>
      </w:r>
      <w:r>
        <w:rPr>
          <w:rFonts w:ascii="Arial" w:cs="Arial" w:eastAsia="Arial" w:hAnsi="Arial"/>
          <w:color w:val="595959"/>
          <w:sz w:val="22"/>
          <w:szCs w:val="22"/>
        </w:rPr>
        <w:t xml:space="preserve">Coordinate internal compliance audits per the annual audit work plan. Prepare documentation packages for external audits (OIG, state surveyors, accreditation bodies). Track and manage corrective action plans resulting from audit findings. Monitor corrective action implementation and verify effectiveness through follow-up reviews.</w:t>
      </w:r>
    </w:p>
    <w:p>
      <w:pPr>
        <w:pStyle w:val="ListParagraph"/>
        <w:numPr>
          <w:ilvl w:val="0"/>
          <w:numId w:val="2"/>
        </w:numPr>
        <w:spacing w:after="80"/>
      </w:pPr>
      <w:r>
        <w:rPr>
          <w:rFonts w:ascii="Arial" w:cs="Arial" w:eastAsia="Arial" w:hAnsi="Arial"/>
          <w:b/>
          <w:bCs/>
          <w:color w:val="595959"/>
          <w:sz w:val="22"/>
          <w:szCs w:val="22"/>
        </w:rPr>
        <w:t xml:space="preserve">Compliance Hotline Management: </w:t>
      </w:r>
      <w:r>
        <w:rPr>
          <w:rFonts w:ascii="Arial" w:cs="Arial" w:eastAsia="Arial" w:hAnsi="Arial"/>
          <w:color w:val="595959"/>
          <w:sz w:val="22"/>
          <w:szCs w:val="22"/>
        </w:rPr>
        <w:t xml:space="preserve">Process reports received through the compliance hotline (anonymous and identified). Categorize reports by type, severity, and urgency. Conduct preliminary assessments to determine investigation scope. Route investigations to appropriate personnel. Track investigation timelines and outcomes. Generate quarterly hotline activity reports for the Compliance Committee.</w:t>
      </w:r>
    </w:p>
    <w:p>
      <w:pPr>
        <w:pStyle w:val="ListParagraph"/>
        <w:numPr>
          <w:ilvl w:val="0"/>
          <w:numId w:val="2"/>
        </w:numPr>
        <w:spacing w:after="80"/>
      </w:pPr>
      <w:r>
        <w:rPr>
          <w:rFonts w:ascii="Arial" w:cs="Arial" w:eastAsia="Arial" w:hAnsi="Arial"/>
          <w:b/>
          <w:bCs/>
          <w:color w:val="595959"/>
          <w:sz w:val="22"/>
          <w:szCs w:val="22"/>
        </w:rPr>
        <w:t xml:space="preserve">Exclusion Screening: </w:t>
      </w:r>
      <w:r>
        <w:rPr>
          <w:rFonts w:ascii="Arial" w:cs="Arial" w:eastAsia="Arial" w:hAnsi="Arial"/>
          <w:color w:val="595959"/>
          <w:sz w:val="22"/>
          <w:szCs w:val="22"/>
        </w:rPr>
        <w:t xml:space="preserve">Conduct monthly exclusion screening of all employees, contractors, and vendors against the OIG List of Excluded Individuals/Entities (LEIE), the GSA System for Award Management (SAM), and state exclusion lists. Flag matches for immediate investigation and potential employment action. Maintain screening documentation per OIG guidance.</w:t>
      </w:r>
    </w:p>
    <w:p>
      <w:pPr>
        <w:pStyle w:val="ListParagraph"/>
        <w:numPr>
          <w:ilvl w:val="0"/>
          <w:numId w:val="2"/>
        </w:numPr>
        <w:spacing w:after="80"/>
      </w:pPr>
      <w:r>
        <w:rPr>
          <w:rFonts w:ascii="Arial" w:cs="Arial" w:eastAsia="Arial" w:hAnsi="Arial"/>
          <w:b/>
          <w:bCs/>
          <w:color w:val="595959"/>
          <w:sz w:val="22"/>
          <w:szCs w:val="22"/>
        </w:rPr>
        <w:t xml:space="preserve">Policy Management: </w:t>
      </w:r>
      <w:r>
        <w:rPr>
          <w:rFonts w:ascii="Arial" w:cs="Arial" w:eastAsia="Arial" w:hAnsi="Arial"/>
          <w:color w:val="595959"/>
          <w:sz w:val="22"/>
          <w:szCs w:val="22"/>
        </w:rPr>
        <w:t xml:space="preserve">Maintain the organization’s compliance policy repository with version control and approval tracking. Manage policy review cycles (annual minimum). Distribute updated policies to affected departments. Track policy acknowledgment by employees. Ensure policies reflect current regulatory requirements.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Monitor CMS, OIG, and OCR regulatory updates daily and generate impact assessments for relevant changes.</w:t>
      </w:r>
    </w:p>
    <w:p>
      <w:pPr>
        <w:pStyle w:val="ListParagraph"/>
        <w:numPr>
          <w:ilvl w:val="0"/>
          <w:numId w:val="2"/>
        </w:numPr>
        <w:spacing w:after="80"/>
      </w:pPr>
      <w:r>
        <w:rPr>
          <w:rFonts w:ascii="Arial" w:cs="Arial" w:eastAsia="Arial" w:hAnsi="Arial"/>
          <w:color w:val="595959"/>
          <w:sz w:val="22"/>
          <w:szCs w:val="22"/>
        </w:rPr>
        <w:t xml:space="preserve">Screen all employees, medical staff, contractors, and vendors against OIG LEIE and SAM databases monthly.</w:t>
      </w:r>
    </w:p>
    <w:p>
      <w:pPr>
        <w:pStyle w:val="ListParagraph"/>
        <w:numPr>
          <w:ilvl w:val="0"/>
          <w:numId w:val="2"/>
        </w:numPr>
        <w:spacing w:after="80"/>
      </w:pPr>
      <w:r>
        <w:rPr>
          <w:rFonts w:ascii="Arial" w:cs="Arial" w:eastAsia="Arial" w:hAnsi="Arial"/>
          <w:color w:val="595959"/>
          <w:sz w:val="22"/>
          <w:szCs w:val="22"/>
        </w:rPr>
        <w:t xml:space="preserve">Track compliance training completion rates and send automated reminders at 30, 14, and 7 days before deadlines.</w:t>
      </w:r>
    </w:p>
    <w:p>
      <w:pPr>
        <w:pStyle w:val="ListParagraph"/>
        <w:numPr>
          <w:ilvl w:val="0"/>
          <w:numId w:val="2"/>
        </w:numPr>
        <w:spacing w:after="80"/>
      </w:pPr>
      <w:r>
        <w:rPr>
          <w:rFonts w:ascii="Arial" w:cs="Arial" w:eastAsia="Arial" w:hAnsi="Arial"/>
          <w:color w:val="595959"/>
          <w:sz w:val="22"/>
          <w:szCs w:val="22"/>
        </w:rPr>
        <w:t xml:space="preserve">Process compliance hotline reports within 48 hours of receipt with preliminary assessment and routing.</w:t>
      </w:r>
    </w:p>
    <w:p>
      <w:pPr>
        <w:pStyle w:val="ListParagraph"/>
        <w:numPr>
          <w:ilvl w:val="0"/>
          <w:numId w:val="2"/>
        </w:numPr>
        <w:spacing w:after="80"/>
      </w:pPr>
      <w:r>
        <w:rPr>
          <w:rFonts w:ascii="Arial" w:cs="Arial" w:eastAsia="Arial" w:hAnsi="Arial"/>
          <w:color w:val="595959"/>
          <w:sz w:val="22"/>
          <w:szCs w:val="22"/>
        </w:rPr>
        <w:t xml:space="preserve">Generate monthly compliance dashboard showing training completion, audit status, hotline activity, and exclusion screening results.</w:t>
      </w:r>
    </w:p>
    <w:p>
      <w:pPr>
        <w:pStyle w:val="ListParagraph"/>
        <w:numPr>
          <w:ilvl w:val="0"/>
          <w:numId w:val="2"/>
        </w:numPr>
        <w:spacing w:after="80"/>
      </w:pPr>
      <w:r>
        <w:rPr>
          <w:rFonts w:ascii="Arial" w:cs="Arial" w:eastAsia="Arial" w:hAnsi="Arial"/>
          <w:color w:val="595959"/>
          <w:sz w:val="22"/>
          <w:szCs w:val="22"/>
        </w:rPr>
        <w:t xml:space="preserve">Prepare annual compliance work plan based on risk assessment and OIG Work Plan priorities.</w:t>
      </w:r>
    </w:p>
    <w:p>
      <w:pPr>
        <w:pStyle w:val="ListParagraph"/>
        <w:numPr>
          <w:ilvl w:val="0"/>
          <w:numId w:val="2"/>
        </w:numPr>
        <w:spacing w:after="80"/>
      </w:pPr>
      <w:r>
        <w:rPr>
          <w:rFonts w:ascii="Arial" w:cs="Arial" w:eastAsia="Arial" w:hAnsi="Arial"/>
          <w:color w:val="595959"/>
          <w:sz w:val="22"/>
          <w:szCs w:val="22"/>
        </w:rPr>
        <w:t xml:space="preserve">Coordinate documentation collection for announced surveys and audits within 24-hour notice periods.</w:t>
      </w:r>
    </w:p>
    <w:p>
      <w:pPr>
        <w:pStyle w:val="ListParagraph"/>
        <w:numPr>
          <w:ilvl w:val="0"/>
          <w:numId w:val="2"/>
        </w:numPr>
        <w:spacing w:after="80"/>
      </w:pPr>
      <w:r>
        <w:rPr>
          <w:rFonts w:ascii="Arial" w:cs="Arial" w:eastAsia="Arial" w:hAnsi="Arial"/>
          <w:color w:val="595959"/>
          <w:sz w:val="22"/>
          <w:szCs w:val="22"/>
        </w:rPr>
        <w:t xml:space="preserve">Track all corrective action plans with milestone dates, responsible parties, and completion verification.</w:t>
      </w:r>
    </w:p>
    <w:p>
      <w:pPr>
        <w:pStyle w:val="ListParagraph"/>
        <w:numPr>
          <w:ilvl w:val="0"/>
          <w:numId w:val="2"/>
        </w:numPr>
        <w:spacing w:after="80"/>
      </w:pPr>
      <w:r>
        <w:rPr>
          <w:rFonts w:ascii="Arial" w:cs="Arial" w:eastAsia="Arial" w:hAnsi="Arial"/>
          <w:color w:val="595959"/>
          <w:sz w:val="22"/>
          <w:szCs w:val="22"/>
        </w:rPr>
        <w:t xml:space="preserve">Maintain conflict of interest disclosure database and flag potential conflicts for COI Committee review.</w:t>
      </w:r>
    </w:p>
    <w:p>
      <w:pPr>
        <w:pStyle w:val="ListParagraph"/>
        <w:numPr>
          <w:ilvl w:val="0"/>
          <w:numId w:val="2"/>
        </w:numPr>
        <w:spacing w:after="80"/>
      </w:pPr>
      <w:r>
        <w:rPr>
          <w:rFonts w:ascii="Arial" w:cs="Arial" w:eastAsia="Arial" w:hAnsi="Arial"/>
          <w:color w:val="595959"/>
          <w:sz w:val="22"/>
          <w:szCs w:val="22"/>
        </w:rPr>
        <w:t xml:space="preserve">Generate quarterly Compliance Committee meeting packages with status reports across all compliance domains.</w:t>
      </w:r>
    </w:p>
    <w:p>
      <w:pPr>
        <w:pStyle w:val="ListParagraph"/>
        <w:numPr>
          <w:ilvl w:val="0"/>
          <w:numId w:val="2"/>
        </w:numPr>
        <w:spacing w:after="80"/>
      </w:pPr>
      <w:r>
        <w:rPr>
          <w:rFonts w:ascii="Arial" w:cs="Arial" w:eastAsia="Arial" w:hAnsi="Arial"/>
          <w:color w:val="595959"/>
          <w:sz w:val="22"/>
          <w:szCs w:val="22"/>
        </w:rPr>
        <w:t xml:space="preserve">Monitor coding and billing patterns for potential False Claims Act risk indicators.</w:t>
      </w:r>
    </w:p>
    <w:p>
      <w:pPr>
        <w:pStyle w:val="ListParagraph"/>
        <w:numPr>
          <w:ilvl w:val="0"/>
          <w:numId w:val="2"/>
        </w:numPr>
        <w:spacing w:after="80"/>
      </w:pPr>
      <w:r>
        <w:rPr>
          <w:rFonts w:ascii="Arial" w:cs="Arial" w:eastAsia="Arial" w:hAnsi="Arial"/>
          <w:color w:val="595959"/>
          <w:sz w:val="22"/>
          <w:szCs w:val="22"/>
        </w:rPr>
        <w:t xml:space="preserve">Track physician arrangement compliance with Stark Law and Anti-Kickback Statute requirements.</w:t>
      </w:r>
    </w:p>
    <w:p>
      <w:pPr>
        <w:pStyle w:val="ListParagraph"/>
        <w:numPr>
          <w:ilvl w:val="0"/>
          <w:numId w:val="2"/>
        </w:numPr>
        <w:spacing w:after="80"/>
      </w:pPr>
      <w:r>
        <w:rPr>
          <w:rFonts w:ascii="Arial" w:cs="Arial" w:eastAsia="Arial" w:hAnsi="Arial"/>
          <w:color w:val="595959"/>
          <w:sz w:val="22"/>
          <w:szCs w:val="22"/>
        </w:rPr>
        <w:t xml:space="preserve">Manage the organization’s compliance risk assessment process with annual refresh.</w:t>
      </w:r>
    </w:p>
    <w:p>
      <w:pPr>
        <w:pStyle w:val="ListParagraph"/>
        <w:numPr>
          <w:ilvl w:val="0"/>
          <w:numId w:val="2"/>
        </w:numPr>
        <w:spacing w:after="80"/>
      </w:pPr>
      <w:r>
        <w:rPr>
          <w:rFonts w:ascii="Arial" w:cs="Arial" w:eastAsia="Arial" w:hAnsi="Arial"/>
          <w:color w:val="595959"/>
          <w:sz w:val="22"/>
          <w:szCs w:val="22"/>
        </w:rPr>
        <w:t xml:space="preserve">Monitor HIPAA Security Rule compliance through integration with IT security monitoring tools.</w:t>
      </w:r>
    </w:p>
    <w:p>
      <w:pPr>
        <w:pStyle w:val="ListParagraph"/>
        <w:numPr>
          <w:ilvl w:val="0"/>
          <w:numId w:val="2"/>
        </w:numPr>
        <w:spacing w:after="80"/>
      </w:pPr>
      <w:r>
        <w:rPr>
          <w:rFonts w:ascii="Arial" w:cs="Arial" w:eastAsia="Arial" w:hAnsi="Arial"/>
          <w:color w:val="595959"/>
          <w:sz w:val="22"/>
          <w:szCs w:val="22"/>
        </w:rPr>
        <w:t xml:space="preserve">Generate annual compliance program effectiveness report for the Board of Directors.</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Intelligence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Lexis+, Westlaw Edge, RegInfo.gov, CMS HCRIS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monitoring, legal research, rule tracking, compliance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NAVEX Global, SAI Global, Convercent, Ethico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Hotline management, case tracking, policy management, training administration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Exclusion Screening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OIG LEIE, SAM.gov, state exclusion databases, Streamline Verify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Employee/vendor screening, match verification,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Learning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Healthstream, Relias, Cornerstone OnDemand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training assignment, tracking, completion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AuditBoard, Wolters Kluwer TeamMate, MKInsight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scheduling, workpaper management, finding tracking, CAP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EHR/Billing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Cerner, 3M CodeFinder, Optum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pattern analysis, billing compliance monitoring, documentation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Secure email, compliance hotline platform, Slack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alerts, investigation correspondence, committee communications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SharePoint, PolicyStat, PolicyTech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Policy repository, version control, acknowledgment tracking, distribution</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compliance regulations and organizational policies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case management; investigation findings restricted to CCO and authorized investigators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Employee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Training completion status and exclusion screening results only; no access to HR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Billing/Coding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Pattern analysis for compliance monitoring; no access to individual patient billing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Findings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and track findings and CAPs; cannot modify auditor assessments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Arrangements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Review contracts for Stark/AKS compliance; cannot modify contract terms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direct access to financial systems; receives aggregated data for compliance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direct patient record access; receives de-identified data for compliance analysis</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Presents compliance updates to Compliance Committee and Board via video. Conducts compliance training sessions for new employees and annual refreshers. Participates in regulatory survey entrance and exit conferences. Provides verbal compliance guidance to department managers on regulatory questions.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regulatory change alerts to affected department leaders via Slack. Responds to compliance questions from managers within 4 hours. Coordinates audit preparation activities with department contacts. Provides compliance hotline status updates to the CCO.</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monthly compliance newsletters organization-wide. Sends training non-compliance escalation notices to managers. Communicates regulatory change impact assessments to leadership. Distributes Compliance Committee meeting minutes and action items.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OIG Exclusion Screening Monthly Process</w:t>
      </w:r>
    </w:p>
    <w:p>
      <w:pPr>
        <w:pStyle w:val="ListParagraph"/>
        <w:numPr>
          <w:ilvl w:val="0"/>
          <w:numId w:val="2"/>
        </w:numPr>
        <w:spacing w:after="80"/>
      </w:pPr>
      <w:r>
        <w:rPr>
          <w:rFonts w:ascii="Arial" w:cs="Arial" w:eastAsia="Arial" w:hAnsi="Arial"/>
          <w:color w:val="595959"/>
          <w:sz w:val="22"/>
          <w:szCs w:val="22"/>
        </w:rPr>
        <w:t xml:space="preserve">Step 1: On the 1st of each month, extract current employee roster from HRIS (Workday) including all active employees, medical staff, contractors, and volunteers.</w:t>
      </w:r>
    </w:p>
    <w:p>
      <w:pPr>
        <w:pStyle w:val="ListParagraph"/>
        <w:numPr>
          <w:ilvl w:val="0"/>
          <w:numId w:val="2"/>
        </w:numPr>
        <w:spacing w:after="80"/>
      </w:pPr>
      <w:r>
        <w:rPr>
          <w:rFonts w:ascii="Arial" w:cs="Arial" w:eastAsia="Arial" w:hAnsi="Arial"/>
          <w:color w:val="595959"/>
          <w:sz w:val="22"/>
          <w:szCs w:val="22"/>
        </w:rPr>
        <w:t xml:space="preserve">Step 2: Extract current vendor list from accounts payable system including all entities receiving payments.</w:t>
      </w:r>
    </w:p>
    <w:p>
      <w:pPr>
        <w:pStyle w:val="ListParagraph"/>
        <w:numPr>
          <w:ilvl w:val="0"/>
          <w:numId w:val="2"/>
        </w:numPr>
        <w:spacing w:after="80"/>
      </w:pPr>
      <w:r>
        <w:rPr>
          <w:rFonts w:ascii="Arial" w:cs="Arial" w:eastAsia="Arial" w:hAnsi="Arial"/>
          <w:color w:val="595959"/>
          <w:sz w:val="22"/>
          <w:szCs w:val="22"/>
        </w:rPr>
        <w:t xml:space="preserve">Step 3: Submit combined roster (typically 3,000-15,000 names) against OIG LEIE database via API.</w:t>
      </w:r>
    </w:p>
    <w:p>
      <w:pPr>
        <w:pStyle w:val="ListParagraph"/>
        <w:numPr>
          <w:ilvl w:val="0"/>
          <w:numId w:val="2"/>
        </w:numPr>
        <w:spacing w:after="80"/>
      </w:pPr>
      <w:r>
        <w:rPr>
          <w:rFonts w:ascii="Arial" w:cs="Arial" w:eastAsia="Arial" w:hAnsi="Arial"/>
          <w:color w:val="595959"/>
          <w:sz w:val="22"/>
          <w:szCs w:val="22"/>
        </w:rPr>
        <w:t xml:space="preserve">Step 4: Submit same roster against GSA SAM.gov exclusion database.</w:t>
      </w:r>
    </w:p>
    <w:p>
      <w:pPr>
        <w:pStyle w:val="ListParagraph"/>
        <w:numPr>
          <w:ilvl w:val="0"/>
          <w:numId w:val="2"/>
        </w:numPr>
        <w:spacing w:after="80"/>
      </w:pPr>
      <w:r>
        <w:rPr>
          <w:rFonts w:ascii="Arial" w:cs="Arial" w:eastAsia="Arial" w:hAnsi="Arial"/>
          <w:color w:val="595959"/>
          <w:sz w:val="22"/>
          <w:szCs w:val="22"/>
        </w:rPr>
        <w:t xml:space="preserve">Step 5: Submit against state-specific exclusion lists for all states where the organization operates.</w:t>
      </w:r>
    </w:p>
    <w:p>
      <w:pPr>
        <w:pStyle w:val="ListParagraph"/>
        <w:numPr>
          <w:ilvl w:val="0"/>
          <w:numId w:val="2"/>
        </w:numPr>
        <w:spacing w:after="80"/>
      </w:pPr>
      <w:r>
        <w:rPr>
          <w:rFonts w:ascii="Arial" w:cs="Arial" w:eastAsia="Arial" w:hAnsi="Arial"/>
          <w:color w:val="595959"/>
          <w:sz w:val="22"/>
          <w:szCs w:val="22"/>
        </w:rPr>
        <w:t xml:space="preserve">Step 6: Compile results. For exact matches (name + additional identifier), flag as CONFIRMED MATCH.</w:t>
      </w:r>
    </w:p>
    <w:p>
      <w:pPr>
        <w:pStyle w:val="ListParagraph"/>
        <w:numPr>
          <w:ilvl w:val="0"/>
          <w:numId w:val="2"/>
        </w:numPr>
        <w:spacing w:after="80"/>
      </w:pPr>
      <w:r>
        <w:rPr>
          <w:rFonts w:ascii="Arial" w:cs="Arial" w:eastAsia="Arial" w:hAnsi="Arial"/>
          <w:color w:val="595959"/>
          <w:sz w:val="22"/>
          <w:szCs w:val="22"/>
        </w:rPr>
        <w:t xml:space="preserve">Step 7: For partial matches (name only), flag as POTENTIAL MATCH requiring manual verification.</w:t>
      </w:r>
    </w:p>
    <w:p>
      <w:pPr>
        <w:pStyle w:val="ListParagraph"/>
        <w:numPr>
          <w:ilvl w:val="0"/>
          <w:numId w:val="2"/>
        </w:numPr>
        <w:spacing w:after="80"/>
      </w:pPr>
      <w:r>
        <w:rPr>
          <w:rFonts w:ascii="Arial" w:cs="Arial" w:eastAsia="Arial" w:hAnsi="Arial"/>
          <w:color w:val="595959"/>
          <w:sz w:val="22"/>
          <w:szCs w:val="22"/>
        </w:rPr>
        <w:t xml:space="preserve">Step 8: Route CONFIRMED MATCHES to CCO immediately via urgent secure message (this requires immediate employment action per OIG guidance).</w:t>
      </w:r>
    </w:p>
    <w:p>
      <w:pPr>
        <w:pStyle w:val="ListParagraph"/>
        <w:numPr>
          <w:ilvl w:val="0"/>
          <w:numId w:val="2"/>
        </w:numPr>
        <w:spacing w:after="80"/>
      </w:pPr>
      <w:r>
        <w:rPr>
          <w:rFonts w:ascii="Arial" w:cs="Arial" w:eastAsia="Arial" w:hAnsi="Arial"/>
          <w:color w:val="595959"/>
          <w:sz w:val="22"/>
          <w:szCs w:val="22"/>
        </w:rPr>
        <w:t xml:space="preserve">Step 9: Route POTENTIAL MATCHES to compliance team for identity verification within 5 business days.</w:t>
      </w:r>
    </w:p>
    <w:p>
      <w:pPr>
        <w:pStyle w:val="ListParagraph"/>
        <w:numPr>
          <w:ilvl w:val="0"/>
          <w:numId w:val="2"/>
        </w:numPr>
        <w:spacing w:after="80"/>
      </w:pPr>
      <w:r>
        <w:rPr>
          <w:rFonts w:ascii="Arial" w:cs="Arial" w:eastAsia="Arial" w:hAnsi="Arial"/>
          <w:color w:val="595959"/>
          <w:sz w:val="22"/>
          <w:szCs w:val="22"/>
        </w:rPr>
        <w:t xml:space="preserve">Step 10: Generate monthly screening certification report documenting: date screened, databases checked, total individuals screened, matches found, resolution status.</w:t>
      </w:r>
    </w:p>
    <w:p>
      <w:pPr>
        <w:pStyle w:val="ListParagraph"/>
        <w:numPr>
          <w:ilvl w:val="0"/>
          <w:numId w:val="2"/>
        </w:numPr>
        <w:spacing w:after="80"/>
      </w:pPr>
      <w:r>
        <w:rPr>
          <w:rFonts w:ascii="Arial" w:cs="Arial" w:eastAsia="Arial" w:hAnsi="Arial"/>
          <w:color w:val="595959"/>
          <w:sz w:val="22"/>
          <w:szCs w:val="22"/>
        </w:rPr>
        <w:t xml:space="preserve">Step 11: Archive certification report in compliance documentation per 10-year retention requirement.</w:t>
      </w:r>
    </w:p>
    <w:p>
      <w:pPr>
        <w:pStyle w:val="ListParagraph"/>
        <w:numPr>
          <w:ilvl w:val="0"/>
          <w:numId w:val="2"/>
        </w:numPr>
        <w:spacing w:after="80"/>
      </w:pPr>
      <w:r>
        <w:rPr>
          <w:rFonts w:ascii="Arial" w:cs="Arial" w:eastAsia="Arial" w:hAnsi="Arial"/>
          <w:color w:val="595959"/>
          <w:sz w:val="22"/>
          <w:szCs w:val="22"/>
        </w:rPr>
        <w:t xml:space="preserve">Step 12: Update screening dashboard with monthly results and trend analysis.</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Exclusion Screening Completion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workforce screened monthly by the 5th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Screening certification report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Training Completion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organization-wide within deadline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LMS completion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Hotline Report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acknowledged within 48 hours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Case management system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Corrective Action Plan Closure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90% of CAPs closed by target date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management system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Alert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significant changes communicated within 5 business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Alert distribution logs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Policy Review Currency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policies reviewed within annual cycle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PolicyStat review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Readiness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 90% of documentation complete at time of audit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Pre-audit readiness assessment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False Claims Risk Indicators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0 unaddressed high-risk billing patterns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Billing compliance monitoring dashboard</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Large Hospital System (10,000+ employees)</w:t>
      </w:r>
    </w:p>
    <w:p>
      <w:pPr>
        <w:spacing w:after="120"/>
      </w:pPr>
      <w:r>
        <w:rPr>
          <w:rFonts w:ascii="Arial" w:cs="Arial" w:eastAsia="Arial" w:hAnsi="Arial"/>
          <w:color w:val="595959"/>
          <w:sz w:val="22"/>
          <w:szCs w:val="22"/>
        </w:rPr>
        <w:t xml:space="preserve">A multi-hospital health system with 10,000 employees deploys the Healthcare Compliance Officer AI to manage exclusion screening, training compliance, and regulatory monitoring across all facilities. The AI screens 12,000 individuals monthly (employees, medical staff, contractors, volunteers) against federal and state exclusion databases, a process that previously required 3 FTE compliance analysts. Compliance training completion rates increase from 82% to 97% through automated escalation workflows. The organization identifies and addresses 23 regulatory changes that would have been missed under the previous manual monitoring process.</w:t>
      </w:r>
    </w:p>
    <w:p>
      <w:pPr>
        <w:pStyle w:val="Heading3"/>
        <w:spacing w:after="120" w:before="240"/>
      </w:pPr>
      <w:r>
        <w:rPr>
          <w:rFonts w:ascii="Arial" w:cs="Arial" w:eastAsia="Arial" w:hAnsi="Arial"/>
          <w:b/>
          <w:bCs/>
          <w:color w:val="2E75B6"/>
          <w:sz w:val="24"/>
          <w:szCs w:val="24"/>
        </w:rPr>
        <w:t xml:space="preserve">Use Case 2: Physician Group Practice (100 providers)</w:t>
      </w:r>
    </w:p>
    <w:p>
      <w:pPr>
        <w:spacing w:after="120"/>
      </w:pPr>
      <w:r>
        <w:rPr>
          <w:rFonts w:ascii="Arial" w:cs="Arial" w:eastAsia="Arial" w:hAnsi="Arial"/>
          <w:color w:val="595959"/>
          <w:sz w:val="22"/>
          <w:szCs w:val="22"/>
        </w:rPr>
        <w:t xml:space="preserve">A physician group practice uses the AI to manage Stark Law and Anti-Kickback Statute compliance for 100 physician arrangements. The AI tracks all compensation arrangements against fair market value benchmarks, monitors referral patterns for potential violations, and ensures all agreements are properly documented and renewed. The practice avoids 3 potential Stark violations in the first year, each of which could have resulted in penalties exceeding $100,000.</w:t>
      </w:r>
    </w:p>
    <w:p>
      <w:pPr>
        <w:pStyle w:val="Heading3"/>
        <w:spacing w:after="120" w:before="240"/>
      </w:pPr>
      <w:r>
        <w:rPr>
          <w:rFonts w:ascii="Arial" w:cs="Arial" w:eastAsia="Arial" w:hAnsi="Arial"/>
          <w:b/>
          <w:bCs/>
          <w:color w:val="2E75B6"/>
          <w:sz w:val="24"/>
          <w:szCs w:val="24"/>
        </w:rPr>
        <w:t xml:space="preserve">Use Case 3: Home Health Agency</w:t>
      </w:r>
    </w:p>
    <w:p>
      <w:pPr>
        <w:spacing w:after="120"/>
      </w:pPr>
      <w:r>
        <w:rPr>
          <w:rFonts w:ascii="Arial" w:cs="Arial" w:eastAsia="Arial" w:hAnsi="Arial"/>
          <w:color w:val="595959"/>
          <w:sz w:val="22"/>
          <w:szCs w:val="22"/>
        </w:rPr>
        <w:t xml:space="preserve">A home health agency deploys the AI to manage CMS Conditions of Participation compliance and prepare for accreditation surveys. The AI maintains continuous survey readiness by tracking all required documentation, monitoring policy currency, tracking employee training completion, and conducting mock survey assessments quarterly. The agency achieves zero deficiency findings on its next Joint Commission survey — a first in its history.</w:t>
      </w:r>
    </w:p>
    <w:p>
      <w:r>
        <w:br w:type="page"/>
      </w:r>
    </w:p>
    <w:p>
      <w:pPr>
        <w:pStyle w:val="Heading1"/>
        <w:spacing w:after="200" w:before="360"/>
      </w:pPr>
      <w:r>
        <w:rPr>
          <w:rFonts w:ascii="Arial" w:cs="Arial" w:eastAsia="Arial" w:hAnsi="Arial"/>
          <w:b/>
          <w:bCs/>
          <w:color w:val="2E75B6"/>
          <w:sz w:val="32"/>
          <w:szCs w:val="32"/>
        </w:rPr>
        <w:t xml:space="preserve">Role 6: Medical Billing Specialist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Medical Billing Specialist AI</w:t>
      </w:r>
    </w:p>
    <w:p>
      <w:pPr>
        <w:spacing w:after="120"/>
      </w:pPr>
      <w:r>
        <w:rPr>
          <w:rFonts w:ascii="Arial" w:cs="Arial" w:eastAsia="Arial" w:hAnsi="Arial"/>
          <w:color w:val="595959"/>
          <w:sz w:val="22"/>
          <w:szCs w:val="22"/>
        </w:rPr>
        <w:t xml:space="preserve">Department: Revenue Cycle Management</w:t>
      </w:r>
    </w:p>
    <w:p>
      <w:pPr>
        <w:spacing w:after="120"/>
      </w:pPr>
      <w:r>
        <w:rPr>
          <w:rFonts w:ascii="Arial" w:cs="Arial" w:eastAsia="Arial" w:hAnsi="Arial"/>
          <w:color w:val="595959"/>
          <w:sz w:val="22"/>
          <w:szCs w:val="22"/>
        </w:rPr>
        <w:t xml:space="preserve">Reports To: Revenue Cycle Director</w:t>
      </w:r>
    </w:p>
    <w:p>
      <w:pPr>
        <w:spacing w:after="120"/>
      </w:pPr>
      <w:r>
        <w:rPr>
          <w:rFonts w:ascii="Arial" w:cs="Arial" w:eastAsia="Arial" w:hAnsi="Arial"/>
          <w:color w:val="595959"/>
          <w:sz w:val="22"/>
          <w:szCs w:val="22"/>
        </w:rPr>
        <w:t xml:space="preserve">Seniority Level: 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Medical Billing Specialist AI manages the revenue cycle process from charge capture through claim submission, denial management, and payment posting. This AI employee ensures accurate medical coding (CPT, ICD-10-CM, ICD-10-PCS, HCPCS), clean claim submission, timely follow-up on unpaid claims, effective denial management, and optimized revenue capture for the healthcare organization.</w:t>
      </w:r>
    </w:p>
    <w:p>
      <w:pPr>
        <w:spacing w:after="120"/>
      </w:pPr>
      <w:r>
        <w:rPr>
          <w:rFonts w:ascii="Arial" w:cs="Arial" w:eastAsia="Arial" w:hAnsi="Arial"/>
          <w:color w:val="595959"/>
          <w:sz w:val="22"/>
          <w:szCs w:val="22"/>
        </w:rPr>
        <w:t xml:space="preserve">Revenue cycle management in healthcare is exceptionally complex, involving hundreds of payer-specific rules, constantly changing coding guidelines, and a denial rate averaging 5-10% industry-wide (representing billions in lost revenue nationally). The Medical Billing Specialist AI applies deep knowledge of payer contracts, coding guidelines, modifier usage, and claim submission requirements to minimize denials, accelerate payment, and maximize compliant revenue capture.</w:t>
      </w:r>
    </w:p>
    <w:p>
      <w:pPr>
        <w:spacing w:after="120"/>
      </w:pPr>
      <w:r>
        <w:rPr>
          <w:rFonts w:ascii="Arial" w:cs="Arial" w:eastAsia="Arial" w:hAnsi="Arial"/>
          <w:color w:val="595959"/>
          <w:sz w:val="22"/>
          <w:szCs w:val="22"/>
        </w:rPr>
        <w:t xml:space="preserve">This AI employee operates within strict compliance boundaries — upcoding, unbundling, and other fraudulent billing practices are absolutely prohibited and would be detected and reported by the compliance monitoring layer. The AI optimizes revenue within legitimate coding guidelines, ensuring every service is accurately documented and billed at the correct level.</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Charge Capture and Coding Review: </w:t>
      </w:r>
      <w:r>
        <w:rPr>
          <w:rFonts w:ascii="Arial" w:cs="Arial" w:eastAsia="Arial" w:hAnsi="Arial"/>
          <w:color w:val="595959"/>
          <w:sz w:val="22"/>
          <w:szCs w:val="22"/>
        </w:rPr>
        <w:t xml:space="preserve">Review clinical documentation for completeness and coding accuracy before claim submission. Verify that CPT/ICD-10 codes accurately reflect the documented services and diagnoses. Identify missing charges, undercoded services, and documentation deficiencies. Flag potential coding errors for certified coder review. Apply correct modifiers based on payer requirements.</w:t>
      </w:r>
    </w:p>
    <w:p>
      <w:pPr>
        <w:pStyle w:val="ListParagraph"/>
        <w:numPr>
          <w:ilvl w:val="0"/>
          <w:numId w:val="2"/>
        </w:numPr>
        <w:spacing w:after="80"/>
      </w:pPr>
      <w:r>
        <w:rPr>
          <w:rFonts w:ascii="Arial" w:cs="Arial" w:eastAsia="Arial" w:hAnsi="Arial"/>
          <w:b/>
          <w:bCs/>
          <w:color w:val="595959"/>
          <w:sz w:val="22"/>
          <w:szCs w:val="22"/>
        </w:rPr>
        <w:t xml:space="preserve">Claim Submission: </w:t>
      </w:r>
      <w:r>
        <w:rPr>
          <w:rFonts w:ascii="Arial" w:cs="Arial" w:eastAsia="Arial" w:hAnsi="Arial"/>
          <w:color w:val="595959"/>
          <w:sz w:val="22"/>
          <w:szCs w:val="22"/>
        </w:rPr>
        <w:t xml:space="preserve">Generate and submit clean claims to payers via electronic clearinghouse. Verify patient demographics, insurance information, and authorization status before submission. Apply payer-specific billing rules and claim edits. Monitor claim acceptance/rejection status. Resubmit corrected claims for initial rejections.</w:t>
      </w:r>
    </w:p>
    <w:p>
      <w:pPr>
        <w:pStyle w:val="ListParagraph"/>
        <w:numPr>
          <w:ilvl w:val="0"/>
          <w:numId w:val="2"/>
        </w:numPr>
        <w:spacing w:after="80"/>
      </w:pPr>
      <w:r>
        <w:rPr>
          <w:rFonts w:ascii="Arial" w:cs="Arial" w:eastAsia="Arial" w:hAnsi="Arial"/>
          <w:b/>
          <w:bCs/>
          <w:color w:val="595959"/>
          <w:sz w:val="22"/>
          <w:szCs w:val="22"/>
        </w:rPr>
        <w:t xml:space="preserve">Denial Management: </w:t>
      </w:r>
      <w:r>
        <w:rPr>
          <w:rFonts w:ascii="Arial" w:cs="Arial" w:eastAsia="Arial" w:hAnsi="Arial"/>
          <w:color w:val="595959"/>
          <w:sz w:val="22"/>
          <w:szCs w:val="22"/>
        </w:rPr>
        <w:t xml:space="preserve">Analyze denied claims to identify root causes. Categorize denials by type (eligibility, authorization, coding, medical necessity, timely filing). Initiate appeals for clinically appropriate denied claims with supporting documentation. Track appeal outcomes and identify denial trends requiring process improvement. Calculate denial rates by payer, denial reason, and department.</w:t>
      </w:r>
    </w:p>
    <w:p>
      <w:pPr>
        <w:pStyle w:val="ListParagraph"/>
        <w:numPr>
          <w:ilvl w:val="0"/>
          <w:numId w:val="2"/>
        </w:numPr>
        <w:spacing w:after="80"/>
      </w:pPr>
      <w:r>
        <w:rPr>
          <w:rFonts w:ascii="Arial" w:cs="Arial" w:eastAsia="Arial" w:hAnsi="Arial"/>
          <w:b/>
          <w:bCs/>
          <w:color w:val="595959"/>
          <w:sz w:val="22"/>
          <w:szCs w:val="22"/>
        </w:rPr>
        <w:t xml:space="preserve">Payment Posting and Reconciliation: </w:t>
      </w:r>
      <w:r>
        <w:rPr>
          <w:rFonts w:ascii="Arial" w:cs="Arial" w:eastAsia="Arial" w:hAnsi="Arial"/>
          <w:color w:val="595959"/>
          <w:sz w:val="22"/>
          <w:szCs w:val="22"/>
        </w:rPr>
        <w:t xml:space="preserve">Post electronic remittance advice (ERA) payments to patient accounts. Identify underpayments and overpayments against contracted rates. Reconcile posted payments against bank deposits. Process patient balance transfers and statement generation. Track aged accounts receivable and prioritize collection activities.</w:t>
      </w:r>
    </w:p>
    <w:p>
      <w:pPr>
        <w:pStyle w:val="ListParagraph"/>
        <w:numPr>
          <w:ilvl w:val="0"/>
          <w:numId w:val="2"/>
        </w:numPr>
        <w:spacing w:after="80"/>
      </w:pPr>
      <w:r>
        <w:rPr>
          <w:rFonts w:ascii="Arial" w:cs="Arial" w:eastAsia="Arial" w:hAnsi="Arial"/>
          <w:b/>
          <w:bCs/>
          <w:color w:val="595959"/>
          <w:sz w:val="22"/>
          <w:szCs w:val="22"/>
        </w:rPr>
        <w:t xml:space="preserve">Reporting and Analytics: </w:t>
      </w:r>
      <w:r>
        <w:rPr>
          <w:rFonts w:ascii="Arial" w:cs="Arial" w:eastAsia="Arial" w:hAnsi="Arial"/>
          <w:color w:val="595959"/>
          <w:sz w:val="22"/>
          <w:szCs w:val="22"/>
        </w:rPr>
        <w:t xml:space="preserve">Generate revenue cycle dashboards showing key metrics (days in A/R, clean claim rate, denial rate, collection rate, cost to collect). Provide payer-specific performance analysis. Identify revenue leakage opportunities. Generate productivity reports for billing staff. Support month-end and year-end financial close activities.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Review and validate coding on 200-500 claims daily before submission to clearinghouse.</w:t>
      </w:r>
    </w:p>
    <w:p>
      <w:pPr>
        <w:pStyle w:val="ListParagraph"/>
        <w:numPr>
          <w:ilvl w:val="0"/>
          <w:numId w:val="2"/>
        </w:numPr>
        <w:spacing w:after="80"/>
      </w:pPr>
      <w:r>
        <w:rPr>
          <w:rFonts w:ascii="Arial" w:cs="Arial" w:eastAsia="Arial" w:hAnsi="Arial"/>
          <w:color w:val="595959"/>
          <w:sz w:val="22"/>
          <w:szCs w:val="22"/>
        </w:rPr>
        <w:t xml:space="preserve">Submit clean claims within 48 hours of charge entry for all payers.</w:t>
      </w:r>
    </w:p>
    <w:p>
      <w:pPr>
        <w:pStyle w:val="ListParagraph"/>
        <w:numPr>
          <w:ilvl w:val="0"/>
          <w:numId w:val="2"/>
        </w:numPr>
        <w:spacing w:after="80"/>
      </w:pPr>
      <w:r>
        <w:rPr>
          <w:rFonts w:ascii="Arial" w:cs="Arial" w:eastAsia="Arial" w:hAnsi="Arial"/>
          <w:color w:val="595959"/>
          <w:sz w:val="22"/>
          <w:szCs w:val="22"/>
        </w:rPr>
        <w:t xml:space="preserve">Process electronic remittance advice (ERA) files and post payments within 24 hours of receipt.</w:t>
      </w:r>
    </w:p>
    <w:p>
      <w:pPr>
        <w:pStyle w:val="ListParagraph"/>
        <w:numPr>
          <w:ilvl w:val="0"/>
          <w:numId w:val="2"/>
        </w:numPr>
        <w:spacing w:after="80"/>
      </w:pPr>
      <w:r>
        <w:rPr>
          <w:rFonts w:ascii="Arial" w:cs="Arial" w:eastAsia="Arial" w:hAnsi="Arial"/>
          <w:color w:val="595959"/>
          <w:sz w:val="22"/>
          <w:szCs w:val="22"/>
        </w:rPr>
        <w:t xml:space="preserve">Work denied claims within 7 days of denial receipt, prioritizing by dollar amount and appeal deadline.</w:t>
      </w:r>
    </w:p>
    <w:p>
      <w:pPr>
        <w:pStyle w:val="ListParagraph"/>
        <w:numPr>
          <w:ilvl w:val="0"/>
          <w:numId w:val="2"/>
        </w:numPr>
        <w:spacing w:after="80"/>
      </w:pPr>
      <w:r>
        <w:rPr>
          <w:rFonts w:ascii="Arial" w:cs="Arial" w:eastAsia="Arial" w:hAnsi="Arial"/>
          <w:color w:val="595959"/>
          <w:sz w:val="22"/>
          <w:szCs w:val="22"/>
        </w:rPr>
        <w:t xml:space="preserve">Generate weekly aged A/R report with stratification by payer, age bucket, and department.</w:t>
      </w:r>
    </w:p>
    <w:p>
      <w:pPr>
        <w:pStyle w:val="ListParagraph"/>
        <w:numPr>
          <w:ilvl w:val="0"/>
          <w:numId w:val="2"/>
        </w:numPr>
        <w:spacing w:after="80"/>
      </w:pPr>
      <w:r>
        <w:rPr>
          <w:rFonts w:ascii="Arial" w:cs="Arial" w:eastAsia="Arial" w:hAnsi="Arial"/>
          <w:color w:val="595959"/>
          <w:sz w:val="22"/>
          <w:szCs w:val="22"/>
        </w:rPr>
        <w:t xml:space="preserve">Identify and correct coding errors using CCI edits, LCD/NCD reviews, and payer-specific rules.</w:t>
      </w:r>
    </w:p>
    <w:p>
      <w:pPr>
        <w:pStyle w:val="ListParagraph"/>
        <w:numPr>
          <w:ilvl w:val="0"/>
          <w:numId w:val="2"/>
        </w:numPr>
        <w:spacing w:after="80"/>
      </w:pPr>
      <w:r>
        <w:rPr>
          <w:rFonts w:ascii="Arial" w:cs="Arial" w:eastAsia="Arial" w:hAnsi="Arial"/>
          <w:color w:val="595959"/>
          <w:sz w:val="22"/>
          <w:szCs w:val="22"/>
        </w:rPr>
        <w:t xml:space="preserve">Calculate patient financial responsibility and generate patient statements on monthly cycle.</w:t>
      </w:r>
    </w:p>
    <w:p>
      <w:pPr>
        <w:pStyle w:val="ListParagraph"/>
        <w:numPr>
          <w:ilvl w:val="0"/>
          <w:numId w:val="2"/>
        </w:numPr>
        <w:spacing w:after="80"/>
      </w:pPr>
      <w:r>
        <w:rPr>
          <w:rFonts w:ascii="Arial" w:cs="Arial" w:eastAsia="Arial" w:hAnsi="Arial"/>
          <w:color w:val="595959"/>
          <w:sz w:val="22"/>
          <w:szCs w:val="22"/>
        </w:rPr>
        <w:t xml:space="preserve">Track prior authorization requirements and verify authorization status before claim submission.</w:t>
      </w:r>
    </w:p>
    <w:p>
      <w:pPr>
        <w:pStyle w:val="ListParagraph"/>
        <w:numPr>
          <w:ilvl w:val="0"/>
          <w:numId w:val="2"/>
        </w:numPr>
        <w:spacing w:after="80"/>
      </w:pPr>
      <w:r>
        <w:rPr>
          <w:rFonts w:ascii="Arial" w:cs="Arial" w:eastAsia="Arial" w:hAnsi="Arial"/>
          <w:color w:val="595959"/>
          <w:sz w:val="22"/>
          <w:szCs w:val="22"/>
        </w:rPr>
        <w:t xml:space="preserve">Process claim corrections and resubmissions for rejected claims within 72 hours.</w:t>
      </w:r>
    </w:p>
    <w:p>
      <w:pPr>
        <w:pStyle w:val="ListParagraph"/>
        <w:numPr>
          <w:ilvl w:val="0"/>
          <w:numId w:val="2"/>
        </w:numPr>
        <w:spacing w:after="80"/>
      </w:pPr>
      <w:r>
        <w:rPr>
          <w:rFonts w:ascii="Arial" w:cs="Arial" w:eastAsia="Arial" w:hAnsi="Arial"/>
          <w:color w:val="595959"/>
          <w:sz w:val="22"/>
          <w:szCs w:val="22"/>
        </w:rPr>
        <w:t xml:space="preserve">Generate monthly revenue cycle performance dashboard for CFO and department directors.</w:t>
      </w:r>
    </w:p>
    <w:p>
      <w:pPr>
        <w:pStyle w:val="ListParagraph"/>
        <w:numPr>
          <w:ilvl w:val="0"/>
          <w:numId w:val="2"/>
        </w:numPr>
        <w:spacing w:after="80"/>
      </w:pPr>
      <w:r>
        <w:rPr>
          <w:rFonts w:ascii="Arial" w:cs="Arial" w:eastAsia="Arial" w:hAnsi="Arial"/>
          <w:color w:val="595959"/>
          <w:sz w:val="22"/>
          <w:szCs w:val="22"/>
        </w:rPr>
        <w:t xml:space="preserve">Identify underpayments by comparing remittance amounts against contracted rates.</w:t>
      </w:r>
    </w:p>
    <w:p>
      <w:pPr>
        <w:pStyle w:val="ListParagraph"/>
        <w:numPr>
          <w:ilvl w:val="0"/>
          <w:numId w:val="2"/>
        </w:numPr>
        <w:spacing w:after="80"/>
      </w:pPr>
      <w:r>
        <w:rPr>
          <w:rFonts w:ascii="Arial" w:cs="Arial" w:eastAsia="Arial" w:hAnsi="Arial"/>
          <w:color w:val="595959"/>
          <w:sz w:val="22"/>
          <w:szCs w:val="22"/>
        </w:rPr>
        <w:t xml:space="preserve">Prepare and submit appeal packages for denied claims with clinical documentation and payer policy citations.</w:t>
      </w:r>
    </w:p>
    <w:p>
      <w:pPr>
        <w:pStyle w:val="ListParagraph"/>
        <w:numPr>
          <w:ilvl w:val="0"/>
          <w:numId w:val="2"/>
        </w:numPr>
        <w:spacing w:after="80"/>
      </w:pPr>
      <w:r>
        <w:rPr>
          <w:rFonts w:ascii="Arial" w:cs="Arial" w:eastAsia="Arial" w:hAnsi="Arial"/>
          <w:color w:val="595959"/>
          <w:sz w:val="22"/>
          <w:szCs w:val="22"/>
        </w:rPr>
        <w:t xml:space="preserve">Monitor timely filing deadlines by payer and escalate claims approaching deadlines.</w:t>
      </w:r>
    </w:p>
    <w:p>
      <w:pPr>
        <w:pStyle w:val="ListParagraph"/>
        <w:numPr>
          <w:ilvl w:val="0"/>
          <w:numId w:val="2"/>
        </w:numPr>
        <w:spacing w:after="80"/>
      </w:pPr>
      <w:r>
        <w:rPr>
          <w:rFonts w:ascii="Arial" w:cs="Arial" w:eastAsia="Arial" w:hAnsi="Arial"/>
          <w:color w:val="595959"/>
          <w:sz w:val="22"/>
          <w:szCs w:val="22"/>
        </w:rPr>
        <w:t xml:space="preserve">Reconcile clearinghouse reports with submitted claims to ensure 100% acceptance.</w:t>
      </w:r>
    </w:p>
    <w:p>
      <w:pPr>
        <w:pStyle w:val="ListParagraph"/>
        <w:numPr>
          <w:ilvl w:val="0"/>
          <w:numId w:val="2"/>
        </w:numPr>
        <w:spacing w:after="80"/>
      </w:pPr>
      <w:r>
        <w:rPr>
          <w:rFonts w:ascii="Arial" w:cs="Arial" w:eastAsia="Arial" w:hAnsi="Arial"/>
          <w:color w:val="595959"/>
          <w:sz w:val="22"/>
          <w:szCs w:val="22"/>
        </w:rPr>
        <w:t xml:space="preserve">Track charity care and bad debt write-offs for financial reporting and community benefit calculations.</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Practice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Resolute PB/HB, Athenahealth, eClinicalWorks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Charge entry, claim management, payment posting, A/R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Clearinghouse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Availity, Change Healthcare, Waystar, Trizetto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Claim scrubbing, electronic submission, ERA receipt, eligibility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Tools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3M CodeFinder, TruCode, Optum EncoderPro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Code validation, CCI edit checks, LCD/NCD lookups, modifier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Denial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Waystar, Experian Health, AKASA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Denial analytics, appeal workflow, root cause analysis, trend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Contract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PMMC, MD Clarity, nThrive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Payer contract modeling, underpayment detection, fee schedule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Payments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InstaMed, PatientPay, ClearBalance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statement generation, payment plan management, online payment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Strata Decision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Revenue cycle dashboards, denial analytics, productivity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Secure email, payer portals, Slack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Payer correspondence, appeal submissions, internal coordination</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Billing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billing records, claims, and payment history; cannot modify clinical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access to support coding validation and appeal documentation; cannot modify clinical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 Information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and update insurance records; submit claims to payers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Payer 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contracted rates for underpayment analysis; cannot modify contract terms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Generate revenue cycle reports; cannot access payroll or general ledger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Demographics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demographic accuracy for claim submission; cannot modify beyond billing-relevant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 to compliance investigations or fraud analysis data</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Participates in revenue cycle team meetings and payer conference calls. Presents denial trend analysis to department directors. Contacts payers via phone for complex claim inquiries and appeal escalations.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coding query notifications to clinical documentation specialists. Coordinates with registration staff on insurance verification issues. Provides real-time claim status updates to department billing liaisons.</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weekly revenue cycle performance reports. Sends denial trend alerts to affected departments. Communicates payer policy changes to billing staff. Submits formal appeal correspondence to payers.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High-Dollar Claim Denial Appeal</w:t>
      </w:r>
    </w:p>
    <w:p>
      <w:pPr>
        <w:pStyle w:val="ListParagraph"/>
        <w:numPr>
          <w:ilvl w:val="0"/>
          <w:numId w:val="2"/>
        </w:numPr>
        <w:spacing w:after="80"/>
      </w:pPr>
      <w:r>
        <w:rPr>
          <w:rFonts w:ascii="Arial" w:cs="Arial" w:eastAsia="Arial" w:hAnsi="Arial"/>
          <w:color w:val="595959"/>
          <w:sz w:val="22"/>
          <w:szCs w:val="22"/>
        </w:rPr>
        <w:t xml:space="preserve">Step 1: Identify denied claim: $45,000 inpatient claim denied by Aetna for medical necessity (denial code CO-50).</w:t>
      </w:r>
    </w:p>
    <w:p>
      <w:pPr>
        <w:pStyle w:val="ListParagraph"/>
        <w:numPr>
          <w:ilvl w:val="0"/>
          <w:numId w:val="2"/>
        </w:numPr>
        <w:spacing w:after="80"/>
      </w:pPr>
      <w:r>
        <w:rPr>
          <w:rFonts w:ascii="Arial" w:cs="Arial" w:eastAsia="Arial" w:hAnsi="Arial"/>
          <w:color w:val="595959"/>
          <w:sz w:val="22"/>
          <w:szCs w:val="22"/>
        </w:rPr>
        <w:t xml:space="preserve">Step 2: Review original claim: DRG 470 (Major Joint Replacement), ICD-10 M16.11 (Primary osteoarthritis, right hip).</w:t>
      </w:r>
    </w:p>
    <w:p>
      <w:pPr>
        <w:pStyle w:val="ListParagraph"/>
        <w:numPr>
          <w:ilvl w:val="0"/>
          <w:numId w:val="2"/>
        </w:numPr>
        <w:spacing w:after="80"/>
      </w:pPr>
      <w:r>
        <w:rPr>
          <w:rFonts w:ascii="Arial" w:cs="Arial" w:eastAsia="Arial" w:hAnsi="Arial"/>
          <w:color w:val="595959"/>
          <w:sz w:val="22"/>
          <w:szCs w:val="22"/>
        </w:rPr>
        <w:t xml:space="preserve">Step 3: Pull clinical documentation: pre-operative evaluation, conservative treatment history, imaging reports, surgical notes.</w:t>
      </w:r>
    </w:p>
    <w:p>
      <w:pPr>
        <w:pStyle w:val="ListParagraph"/>
        <w:numPr>
          <w:ilvl w:val="0"/>
          <w:numId w:val="2"/>
        </w:numPr>
        <w:spacing w:after="80"/>
      </w:pPr>
      <w:r>
        <w:rPr>
          <w:rFonts w:ascii="Arial" w:cs="Arial" w:eastAsia="Arial" w:hAnsi="Arial"/>
          <w:color w:val="595959"/>
          <w:sz w:val="22"/>
          <w:szCs w:val="22"/>
        </w:rPr>
        <w:t xml:space="preserve">Step 4: Review Aetna clinical policy bulletin for total hip arthroplasty medical necessity criteria.</w:t>
      </w:r>
    </w:p>
    <w:p>
      <w:pPr>
        <w:pStyle w:val="ListParagraph"/>
        <w:numPr>
          <w:ilvl w:val="0"/>
          <w:numId w:val="2"/>
        </w:numPr>
        <w:spacing w:after="80"/>
      </w:pPr>
      <w:r>
        <w:rPr>
          <w:rFonts w:ascii="Arial" w:cs="Arial" w:eastAsia="Arial" w:hAnsi="Arial"/>
          <w:color w:val="595959"/>
          <w:sz w:val="22"/>
          <w:szCs w:val="22"/>
        </w:rPr>
        <w:t xml:space="preserve">Step 5: Compare documented clinical evidence against payer criteria — identify that 6 months of conservative therapy was documented but not clearly referenced in the authorization request.</w:t>
      </w:r>
    </w:p>
    <w:p>
      <w:pPr>
        <w:pStyle w:val="ListParagraph"/>
        <w:numPr>
          <w:ilvl w:val="0"/>
          <w:numId w:val="2"/>
        </w:numPr>
        <w:spacing w:after="80"/>
      </w:pPr>
      <w:r>
        <w:rPr>
          <w:rFonts w:ascii="Arial" w:cs="Arial" w:eastAsia="Arial" w:hAnsi="Arial"/>
          <w:color w:val="595959"/>
          <w:sz w:val="22"/>
          <w:szCs w:val="22"/>
        </w:rPr>
        <w:t xml:space="preserve">Step 6: Draft Level 1 appeal letter citing specific policy criteria met, attaching clinical documentation highlighting conservative therapy timeline.</w:t>
      </w:r>
    </w:p>
    <w:p>
      <w:pPr>
        <w:pStyle w:val="ListParagraph"/>
        <w:numPr>
          <w:ilvl w:val="0"/>
          <w:numId w:val="2"/>
        </w:numPr>
        <w:spacing w:after="80"/>
      </w:pPr>
      <w:r>
        <w:rPr>
          <w:rFonts w:ascii="Arial" w:cs="Arial" w:eastAsia="Arial" w:hAnsi="Arial"/>
          <w:color w:val="595959"/>
          <w:sz w:val="22"/>
          <w:szCs w:val="22"/>
        </w:rPr>
        <w:t xml:space="preserve">Step 7: Route appeal to physician advisor for clinical review and signature.</w:t>
      </w:r>
    </w:p>
    <w:p>
      <w:pPr>
        <w:pStyle w:val="ListParagraph"/>
        <w:numPr>
          <w:ilvl w:val="0"/>
          <w:numId w:val="2"/>
        </w:numPr>
        <w:spacing w:after="80"/>
      </w:pPr>
      <w:r>
        <w:rPr>
          <w:rFonts w:ascii="Arial" w:cs="Arial" w:eastAsia="Arial" w:hAnsi="Arial"/>
          <w:color w:val="595959"/>
          <w:sz w:val="22"/>
          <w:szCs w:val="22"/>
        </w:rPr>
        <w:t xml:space="preserve">Step 8: Submit appeal via Aetna provider portal within 60-day appeal deadline. Log submission confirmation.</w:t>
      </w:r>
    </w:p>
    <w:p>
      <w:pPr>
        <w:pStyle w:val="ListParagraph"/>
        <w:numPr>
          <w:ilvl w:val="0"/>
          <w:numId w:val="2"/>
        </w:numPr>
        <w:spacing w:after="80"/>
      </w:pPr>
      <w:r>
        <w:rPr>
          <w:rFonts w:ascii="Arial" w:cs="Arial" w:eastAsia="Arial" w:hAnsi="Arial"/>
          <w:color w:val="595959"/>
          <w:sz w:val="22"/>
          <w:szCs w:val="22"/>
        </w:rPr>
        <w:t xml:space="preserve">Step 9: Set 30-day follow-up reminder. Track appeal in denial management system.</w:t>
      </w:r>
    </w:p>
    <w:p>
      <w:pPr>
        <w:pStyle w:val="ListParagraph"/>
        <w:numPr>
          <w:ilvl w:val="0"/>
          <w:numId w:val="2"/>
        </w:numPr>
        <w:spacing w:after="80"/>
      </w:pPr>
      <w:r>
        <w:rPr>
          <w:rFonts w:ascii="Arial" w:cs="Arial" w:eastAsia="Arial" w:hAnsi="Arial"/>
          <w:color w:val="595959"/>
          <w:sz w:val="22"/>
          <w:szCs w:val="22"/>
        </w:rPr>
        <w:t xml:space="preserve">Step 10: If Level 1 denied, prepare Level 2 appeal with peer-to-peer review request for the attending surgeon.</w:t>
      </w:r>
    </w:p>
    <w:p>
      <w:pPr>
        <w:pStyle w:val="ListParagraph"/>
        <w:numPr>
          <w:ilvl w:val="0"/>
          <w:numId w:val="2"/>
        </w:numPr>
        <w:spacing w:after="80"/>
      </w:pPr>
      <w:r>
        <w:rPr>
          <w:rFonts w:ascii="Arial" w:cs="Arial" w:eastAsia="Arial" w:hAnsi="Arial"/>
          <w:color w:val="595959"/>
          <w:sz w:val="22"/>
          <w:szCs w:val="22"/>
        </w:rPr>
        <w:t xml:space="preserve">Step 11: If all internal appeals exhausted, evaluate for external review (state insurance department or independent review).</w:t>
      </w:r>
    </w:p>
    <w:p>
      <w:pPr>
        <w:pStyle w:val="ListParagraph"/>
        <w:numPr>
          <w:ilvl w:val="0"/>
          <w:numId w:val="2"/>
        </w:numPr>
        <w:spacing w:after="80"/>
      </w:pPr>
      <w:r>
        <w:rPr>
          <w:rFonts w:ascii="Arial" w:cs="Arial" w:eastAsia="Arial" w:hAnsi="Arial"/>
          <w:color w:val="595959"/>
          <w:sz w:val="22"/>
          <w:szCs w:val="22"/>
        </w:rPr>
        <w:t xml:space="preserve">Step 12: Document final outcome. If overturned, log root cause for process improvement (authorization documentation gap).</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Clean Claim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of claims accepted on first submission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Clearinghouse acceptance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Days in Accounts Receivable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40 days (industry benchmark: 45-55)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 aging report calculations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Denial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5% initial denial rate (industry: 5-10%)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Total denials / total claims submitted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Appeal Success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60% of appealed denials overturned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Appeal outcomes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Collection Rate (Net)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96% of expected reimbursement collected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Collections / expected reimbursement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Claim Submission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claims submitted within 48 hours of charge entry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Charge entry to submission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Payment Posting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ERAs posted within 24 hours of receipt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ERA receipt to posting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Underpayment Recovery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$50,000 monthly underpayment identification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Underpayment detection reports</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Multi-Specialty Group Practice</w:t>
      </w:r>
    </w:p>
    <w:p>
      <w:pPr>
        <w:spacing w:after="120"/>
      </w:pPr>
      <w:r>
        <w:rPr>
          <w:rFonts w:ascii="Arial" w:cs="Arial" w:eastAsia="Arial" w:hAnsi="Arial"/>
          <w:color w:val="595959"/>
          <w:sz w:val="22"/>
          <w:szCs w:val="22"/>
        </w:rPr>
        <w:t xml:space="preserve">A 60-provider multi-specialty practice deploys the Medical Billing Specialist AI to manage revenue cycle for 500,000 annual claims. The AI reduces initial denial rate from 8.2% to 4.1%, recovers $1.2M in previously unidentified underpayments in the first year, and reduces days in A/R from 52 to 38. The practice eliminates the need for 3 outsourced billing FTEs, saving $180,000 annually while improving performance.</w:t>
      </w:r>
    </w:p>
    <w:p>
      <w:pPr>
        <w:pStyle w:val="Heading3"/>
        <w:spacing w:after="120" w:before="240"/>
      </w:pPr>
      <w:r>
        <w:rPr>
          <w:rFonts w:ascii="Arial" w:cs="Arial" w:eastAsia="Arial" w:hAnsi="Arial"/>
          <w:b/>
          <w:bCs/>
          <w:color w:val="2E75B6"/>
          <w:sz w:val="24"/>
          <w:szCs w:val="24"/>
        </w:rPr>
        <w:t xml:space="preserve">Use Case 2: Hospital Outpatient Department</w:t>
      </w:r>
    </w:p>
    <w:p>
      <w:pPr>
        <w:spacing w:after="120"/>
      </w:pPr>
      <w:r>
        <w:rPr>
          <w:rFonts w:ascii="Arial" w:cs="Arial" w:eastAsia="Arial" w:hAnsi="Arial"/>
          <w:color w:val="595959"/>
          <w:sz w:val="22"/>
          <w:szCs w:val="22"/>
        </w:rPr>
        <w:t xml:space="preserve">A hospital outpatient department processing $80M in annual charges uses the AI to optimize coding accuracy and denial management. The AI identifies $3.4M in annual charge capture improvements through systematic documentation review, achieves a 95.8% clean claim rate (up from 88%), and reduces appeal turnaround time from 45 days to 12 days.</w:t>
      </w:r>
    </w:p>
    <w:p>
      <w:pPr>
        <w:pStyle w:val="Heading3"/>
        <w:spacing w:after="120" w:before="240"/>
      </w:pPr>
      <w:r>
        <w:rPr>
          <w:rFonts w:ascii="Arial" w:cs="Arial" w:eastAsia="Arial" w:hAnsi="Arial"/>
          <w:b/>
          <w:bCs/>
          <w:color w:val="2E75B6"/>
          <w:sz w:val="24"/>
          <w:szCs w:val="24"/>
        </w:rPr>
        <w:t xml:space="preserve">Use Case 3: Behavioral Health Practice</w:t>
      </w:r>
    </w:p>
    <w:p>
      <w:pPr>
        <w:spacing w:after="120"/>
      </w:pPr>
      <w:r>
        <w:rPr>
          <w:rFonts w:ascii="Arial" w:cs="Arial" w:eastAsia="Arial" w:hAnsi="Arial"/>
          <w:color w:val="595959"/>
          <w:sz w:val="22"/>
          <w:szCs w:val="22"/>
        </w:rPr>
        <w:t xml:space="preserve">A behavioral health practice with complex payer authorization requirements deploys the AI to manage the authorization-intensive billing process. The AI tracks authorization utilization, submits extension requests before expiration, and ensures every claim has a valid authorization, eliminating 90% of authorization-related denials and recovering $400,000 in annual revenue that was previously lost.</w:t>
      </w:r>
    </w:p>
    <w:p>
      <w:r>
        <w:br w:type="page"/>
      </w:r>
    </w:p>
    <w:p>
      <w:pPr>
        <w:pStyle w:val="Heading1"/>
        <w:spacing w:after="200" w:before="360"/>
      </w:pPr>
      <w:r>
        <w:rPr>
          <w:rFonts w:ascii="Arial" w:cs="Arial" w:eastAsia="Arial" w:hAnsi="Arial"/>
          <w:b/>
          <w:bCs/>
          <w:color w:val="2E75B6"/>
          <w:sz w:val="32"/>
          <w:szCs w:val="32"/>
        </w:rPr>
        <w:t xml:space="preserve">Role 7: Pharmacy Benefits Coordinator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Pharmacy Benefits Coordinator AI</w:t>
      </w:r>
    </w:p>
    <w:p>
      <w:pPr>
        <w:spacing w:after="120"/>
      </w:pPr>
      <w:r>
        <w:rPr>
          <w:rFonts w:ascii="Arial" w:cs="Arial" w:eastAsia="Arial" w:hAnsi="Arial"/>
          <w:color w:val="595959"/>
          <w:sz w:val="22"/>
          <w:szCs w:val="22"/>
        </w:rPr>
        <w:t xml:space="preserve">Department: Pharmacy Services / Benefits Administration</w:t>
      </w:r>
    </w:p>
    <w:p>
      <w:pPr>
        <w:spacing w:after="120"/>
      </w:pPr>
      <w:r>
        <w:rPr>
          <w:rFonts w:ascii="Arial" w:cs="Arial" w:eastAsia="Arial" w:hAnsi="Arial"/>
          <w:color w:val="595959"/>
          <w:sz w:val="22"/>
          <w:szCs w:val="22"/>
        </w:rPr>
        <w:t xml:space="preserve">Reports To: Director of Pharmacy Services</w:t>
      </w:r>
    </w:p>
    <w:p>
      <w:pPr>
        <w:spacing w:after="120"/>
      </w:pPr>
      <w:r>
        <w:rPr>
          <w:rFonts w:ascii="Arial" w:cs="Arial" w:eastAsia="Arial" w:hAnsi="Arial"/>
          <w:color w:val="595959"/>
          <w:sz w:val="22"/>
          <w:szCs w:val="22"/>
        </w:rPr>
        <w:t xml:space="preserve">Seniority Level: 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Pharmacy Benefits Coordinator AI manages the intersection of clinical pharmacy, insurance benefits, and patient access to medications. This AI employee handles formulary navigation, prior authorization processing, patient assistance program enrollment, medication cost optimization, specialty pharmacy coordination, and 340B program compliance. In an era of escalating drug costs and increasingly complex payer formularies, this role ensures patients receive their prescribed medications with minimal financial burden and administrative delay.</w:t>
      </w:r>
    </w:p>
    <w:p>
      <w:pPr>
        <w:spacing w:after="120"/>
      </w:pPr>
      <w:r>
        <w:rPr>
          <w:rFonts w:ascii="Arial" w:cs="Arial" w:eastAsia="Arial" w:hAnsi="Arial"/>
          <w:color w:val="595959"/>
          <w:sz w:val="22"/>
          <w:szCs w:val="22"/>
        </w:rPr>
        <w:t xml:space="preserve">This AI employee understands the intricate hierarchy of pharmacy benefits: formulary tiers, step therapy requirements, quantity limits, prior authorization criteria, specialty pharmacy mandates, and manufacturer copay assistance programs. It navigates these complexities across dozens of payer plans simultaneously, reducing the administrative burden on clinical pharmacists and prescribers while improving patient medication adherence.</w:t>
      </w:r>
    </w:p>
    <w:p>
      <w:pPr>
        <w:spacing w:after="120"/>
      </w:pPr>
      <w:r>
        <w:rPr>
          <w:rFonts w:ascii="Arial" w:cs="Arial" w:eastAsia="Arial" w:hAnsi="Arial"/>
          <w:color w:val="595959"/>
          <w:sz w:val="22"/>
          <w:szCs w:val="22"/>
        </w:rPr>
        <w:t xml:space="preserve">The Pharmacy Benefits Coordinator AI strictly defers all clinical decisions (drug selection, dosing, therapeutic alternatives) to licensed pharmacists and prescribers. Its role is administrative and logistical — ensuring the administrative machinery of pharmacy benefits functions efficiently so that clinical decisions can be implemented without unnecessary delay.</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Prior Authorization Management: </w:t>
      </w:r>
      <w:r>
        <w:rPr>
          <w:rFonts w:ascii="Arial" w:cs="Arial" w:eastAsia="Arial" w:hAnsi="Arial"/>
          <w:color w:val="595959"/>
          <w:sz w:val="22"/>
          <w:szCs w:val="22"/>
        </w:rPr>
        <w:t xml:space="preserve">Process prior authorization requests for medications requiring payer approval. Gather clinical documentation from the EHR to support medical necessity. Submit authorization requests via payer portals and fax. Track approval/denial status and communicate results to prescribers and patients. Manage appeal processes for denied authorizations.</w:t>
      </w:r>
    </w:p>
    <w:p>
      <w:pPr>
        <w:pStyle w:val="ListParagraph"/>
        <w:numPr>
          <w:ilvl w:val="0"/>
          <w:numId w:val="2"/>
        </w:numPr>
        <w:spacing w:after="80"/>
      </w:pPr>
      <w:r>
        <w:rPr>
          <w:rFonts w:ascii="Arial" w:cs="Arial" w:eastAsia="Arial" w:hAnsi="Arial"/>
          <w:b/>
          <w:bCs/>
          <w:color w:val="595959"/>
          <w:sz w:val="22"/>
          <w:szCs w:val="22"/>
        </w:rPr>
        <w:t xml:space="preserve">Formulary Navigation: </w:t>
      </w:r>
      <w:r>
        <w:rPr>
          <w:rFonts w:ascii="Arial" w:cs="Arial" w:eastAsia="Arial" w:hAnsi="Arial"/>
          <w:color w:val="595959"/>
          <w:sz w:val="22"/>
          <w:szCs w:val="22"/>
        </w:rPr>
        <w:t xml:space="preserve">Research formulary coverage for prescribed medications across all contracted payers. Identify formulary alternatives when prescribed medications are non-formulary or require step therapy. Communicate formulary options to prescribers for clinical decision-making. Track formulary changes and communicate impacts to clinical staff.</w:t>
      </w:r>
    </w:p>
    <w:p>
      <w:pPr>
        <w:pStyle w:val="ListParagraph"/>
        <w:numPr>
          <w:ilvl w:val="0"/>
          <w:numId w:val="2"/>
        </w:numPr>
        <w:spacing w:after="80"/>
      </w:pPr>
      <w:r>
        <w:rPr>
          <w:rFonts w:ascii="Arial" w:cs="Arial" w:eastAsia="Arial" w:hAnsi="Arial"/>
          <w:b/>
          <w:bCs/>
          <w:color w:val="595959"/>
          <w:sz w:val="22"/>
          <w:szCs w:val="22"/>
        </w:rPr>
        <w:t xml:space="preserve">Patient Assistance Programs: </w:t>
      </w:r>
      <w:r>
        <w:rPr>
          <w:rFonts w:ascii="Arial" w:cs="Arial" w:eastAsia="Arial" w:hAnsi="Arial"/>
          <w:color w:val="595959"/>
          <w:sz w:val="22"/>
          <w:szCs w:val="22"/>
        </w:rPr>
        <w:t xml:space="preserve">Screen patients for eligibility in manufacturer patient assistance programs (PAPs), copay assistance programs, and foundation grants. Prepare and submit applications for eligible patients. Track application status and enrollment renewals. Maintain database of available assistance programs by medication and eligibility criteria.</w:t>
      </w:r>
    </w:p>
    <w:p>
      <w:pPr>
        <w:pStyle w:val="ListParagraph"/>
        <w:numPr>
          <w:ilvl w:val="0"/>
          <w:numId w:val="2"/>
        </w:numPr>
        <w:spacing w:after="80"/>
      </w:pPr>
      <w:r>
        <w:rPr>
          <w:rFonts w:ascii="Arial" w:cs="Arial" w:eastAsia="Arial" w:hAnsi="Arial"/>
          <w:b/>
          <w:bCs/>
          <w:color w:val="595959"/>
          <w:sz w:val="22"/>
          <w:szCs w:val="22"/>
        </w:rPr>
        <w:t xml:space="preserve">Specialty Pharmacy Coordination: </w:t>
      </w:r>
      <w:r>
        <w:rPr>
          <w:rFonts w:ascii="Arial" w:cs="Arial" w:eastAsia="Arial" w:hAnsi="Arial"/>
          <w:color w:val="595959"/>
          <w:sz w:val="22"/>
          <w:szCs w:val="22"/>
        </w:rPr>
        <w:t xml:space="preserve">Coordinate specialty medication dispensing through required specialty pharmacy networks. Manage enrollment paperwork for specialty pharmacy services. Track medication shipment schedules and delivery confirmations. Coordinate injection/infusion scheduling for provider-administered specialty drugs.</w:t>
      </w:r>
    </w:p>
    <w:p>
      <w:pPr>
        <w:pStyle w:val="ListParagraph"/>
        <w:numPr>
          <w:ilvl w:val="0"/>
          <w:numId w:val="2"/>
        </w:numPr>
        <w:spacing w:after="80"/>
      </w:pPr>
      <w:r>
        <w:rPr>
          <w:rFonts w:ascii="Arial" w:cs="Arial" w:eastAsia="Arial" w:hAnsi="Arial"/>
          <w:b/>
          <w:bCs/>
          <w:color w:val="595959"/>
          <w:sz w:val="22"/>
          <w:szCs w:val="22"/>
        </w:rPr>
        <w:t xml:space="preserve">340B Program Compliance: </w:t>
      </w:r>
      <w:r>
        <w:rPr>
          <w:rFonts w:ascii="Arial" w:cs="Arial" w:eastAsia="Arial" w:hAnsi="Arial"/>
          <w:color w:val="595959"/>
          <w:sz w:val="22"/>
          <w:szCs w:val="22"/>
        </w:rPr>
        <w:t xml:space="preserve">For eligible covered entities, manage 340B program compliance including patient eligibility verification, prescription tracking, split billing administration, and audit readiness documentation. Ensure 340B purchases are limited to eligible patients and prevent duplicate discounts.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Process 50-100 prior authorization requests daily across all payers.</w:t>
      </w:r>
    </w:p>
    <w:p>
      <w:pPr>
        <w:pStyle w:val="ListParagraph"/>
        <w:numPr>
          <w:ilvl w:val="0"/>
          <w:numId w:val="2"/>
        </w:numPr>
        <w:spacing w:after="80"/>
      </w:pPr>
      <w:r>
        <w:rPr>
          <w:rFonts w:ascii="Arial" w:cs="Arial" w:eastAsia="Arial" w:hAnsi="Arial"/>
          <w:color w:val="595959"/>
          <w:sz w:val="22"/>
          <w:szCs w:val="22"/>
        </w:rPr>
        <w:t xml:space="preserve">Submit prior authorization requests within 4 hours of prescriber order for urgent medications.</w:t>
      </w:r>
    </w:p>
    <w:p>
      <w:pPr>
        <w:pStyle w:val="ListParagraph"/>
        <w:numPr>
          <w:ilvl w:val="0"/>
          <w:numId w:val="2"/>
        </w:numPr>
        <w:spacing w:after="80"/>
      </w:pPr>
      <w:r>
        <w:rPr>
          <w:rFonts w:ascii="Arial" w:cs="Arial" w:eastAsia="Arial" w:hAnsi="Arial"/>
          <w:color w:val="595959"/>
          <w:sz w:val="22"/>
          <w:szCs w:val="22"/>
        </w:rPr>
        <w:t xml:space="preserve">Track formulary tier status for the organization’s top 200 prescribed medications across major payers.</w:t>
      </w:r>
    </w:p>
    <w:p>
      <w:pPr>
        <w:pStyle w:val="ListParagraph"/>
        <w:numPr>
          <w:ilvl w:val="0"/>
          <w:numId w:val="2"/>
        </w:numPr>
        <w:spacing w:after="80"/>
      </w:pPr>
      <w:r>
        <w:rPr>
          <w:rFonts w:ascii="Arial" w:cs="Arial" w:eastAsia="Arial" w:hAnsi="Arial"/>
          <w:color w:val="595959"/>
          <w:sz w:val="22"/>
          <w:szCs w:val="22"/>
        </w:rPr>
        <w:t xml:space="preserve">Screen patients for copay assistance eligibility when out-of-pocket cost exceeds $50 for any medication.</w:t>
      </w:r>
    </w:p>
    <w:p>
      <w:pPr>
        <w:pStyle w:val="ListParagraph"/>
        <w:numPr>
          <w:ilvl w:val="0"/>
          <w:numId w:val="2"/>
        </w:numPr>
        <w:spacing w:after="80"/>
      </w:pPr>
      <w:r>
        <w:rPr>
          <w:rFonts w:ascii="Arial" w:cs="Arial" w:eastAsia="Arial" w:hAnsi="Arial"/>
          <w:color w:val="595959"/>
          <w:sz w:val="22"/>
          <w:szCs w:val="22"/>
        </w:rPr>
        <w:t xml:space="preserve">Manage specialty pharmacy enrollment for 100+ patients on specialty medications.</w:t>
      </w:r>
    </w:p>
    <w:p>
      <w:pPr>
        <w:pStyle w:val="ListParagraph"/>
        <w:numPr>
          <w:ilvl w:val="0"/>
          <w:numId w:val="2"/>
        </w:numPr>
        <w:spacing w:after="80"/>
      </w:pPr>
      <w:r>
        <w:rPr>
          <w:rFonts w:ascii="Arial" w:cs="Arial" w:eastAsia="Arial" w:hAnsi="Arial"/>
          <w:color w:val="595959"/>
          <w:sz w:val="22"/>
          <w:szCs w:val="22"/>
        </w:rPr>
        <w:t xml:space="preserve">Monitor prior authorization expiration dates and initiate renewals 30 days before expiration.</w:t>
      </w:r>
    </w:p>
    <w:p>
      <w:pPr>
        <w:pStyle w:val="ListParagraph"/>
        <w:numPr>
          <w:ilvl w:val="0"/>
          <w:numId w:val="2"/>
        </w:numPr>
        <w:spacing w:after="80"/>
      </w:pPr>
      <w:r>
        <w:rPr>
          <w:rFonts w:ascii="Arial" w:cs="Arial" w:eastAsia="Arial" w:hAnsi="Arial"/>
          <w:color w:val="595959"/>
          <w:sz w:val="22"/>
          <w:szCs w:val="22"/>
        </w:rPr>
        <w:t xml:space="preserve">Generate weekly prior authorization dashboard showing volume, approval rates, turnaround times, and denials by payer.</w:t>
      </w:r>
    </w:p>
    <w:p>
      <w:pPr>
        <w:pStyle w:val="ListParagraph"/>
        <w:numPr>
          <w:ilvl w:val="0"/>
          <w:numId w:val="2"/>
        </w:numPr>
        <w:spacing w:after="80"/>
      </w:pPr>
      <w:r>
        <w:rPr>
          <w:rFonts w:ascii="Arial" w:cs="Arial" w:eastAsia="Arial" w:hAnsi="Arial"/>
          <w:color w:val="595959"/>
          <w:sz w:val="22"/>
          <w:szCs w:val="22"/>
        </w:rPr>
        <w:t xml:space="preserve">Coordinate medication delivery schedules for homebound patients receiving specialty medications.</w:t>
      </w:r>
    </w:p>
    <w:p>
      <w:pPr>
        <w:pStyle w:val="ListParagraph"/>
        <w:numPr>
          <w:ilvl w:val="0"/>
          <w:numId w:val="2"/>
        </w:numPr>
        <w:spacing w:after="80"/>
      </w:pPr>
      <w:r>
        <w:rPr>
          <w:rFonts w:ascii="Arial" w:cs="Arial" w:eastAsia="Arial" w:hAnsi="Arial"/>
          <w:color w:val="595959"/>
          <w:sz w:val="22"/>
          <w:szCs w:val="22"/>
        </w:rPr>
        <w:t xml:space="preserve">Process appeals for denied prior authorizations within 5 business days with clinical documentation.</w:t>
      </w:r>
    </w:p>
    <w:p>
      <w:pPr>
        <w:pStyle w:val="ListParagraph"/>
        <w:numPr>
          <w:ilvl w:val="0"/>
          <w:numId w:val="2"/>
        </w:numPr>
        <w:spacing w:after="80"/>
      </w:pPr>
      <w:r>
        <w:rPr>
          <w:rFonts w:ascii="Arial" w:cs="Arial" w:eastAsia="Arial" w:hAnsi="Arial"/>
          <w:color w:val="595959"/>
          <w:sz w:val="22"/>
          <w:szCs w:val="22"/>
        </w:rPr>
        <w:t xml:space="preserve">Maintain patient assistance program database with current eligibility criteria, application deadlines, and enrollment status.</w:t>
      </w:r>
    </w:p>
    <w:p>
      <w:pPr>
        <w:pStyle w:val="ListParagraph"/>
        <w:numPr>
          <w:ilvl w:val="0"/>
          <w:numId w:val="2"/>
        </w:numPr>
        <w:spacing w:after="80"/>
      </w:pPr>
      <w:r>
        <w:rPr>
          <w:rFonts w:ascii="Arial" w:cs="Arial" w:eastAsia="Arial" w:hAnsi="Arial"/>
          <w:color w:val="595959"/>
          <w:sz w:val="22"/>
          <w:szCs w:val="22"/>
        </w:rPr>
        <w:t xml:space="preserve">Verify 340B patient eligibility for each qualifying prescription.</w:t>
      </w:r>
    </w:p>
    <w:p>
      <w:pPr>
        <w:pStyle w:val="ListParagraph"/>
        <w:numPr>
          <w:ilvl w:val="0"/>
          <w:numId w:val="2"/>
        </w:numPr>
        <w:spacing w:after="80"/>
      </w:pPr>
      <w:r>
        <w:rPr>
          <w:rFonts w:ascii="Arial" w:cs="Arial" w:eastAsia="Arial" w:hAnsi="Arial"/>
          <w:color w:val="595959"/>
          <w:sz w:val="22"/>
          <w:szCs w:val="22"/>
        </w:rPr>
        <w:t xml:space="preserve">Generate monthly 340B compliance report showing eligible captures, split billing accuracy, and audit readiness.</w:t>
      </w:r>
    </w:p>
    <w:p>
      <w:pPr>
        <w:pStyle w:val="ListParagraph"/>
        <w:numPr>
          <w:ilvl w:val="0"/>
          <w:numId w:val="2"/>
        </w:numPr>
        <w:spacing w:after="80"/>
      </w:pPr>
      <w:r>
        <w:rPr>
          <w:rFonts w:ascii="Arial" w:cs="Arial" w:eastAsia="Arial" w:hAnsi="Arial"/>
          <w:color w:val="595959"/>
          <w:sz w:val="22"/>
          <w:szCs w:val="22"/>
        </w:rPr>
        <w:t xml:space="preserve">Alert prescribers when prescribed medications have formulary alternatives that reduce patient cost.</w:t>
      </w:r>
    </w:p>
    <w:p>
      <w:pPr>
        <w:pStyle w:val="ListParagraph"/>
        <w:numPr>
          <w:ilvl w:val="0"/>
          <w:numId w:val="2"/>
        </w:numPr>
        <w:spacing w:after="80"/>
      </w:pPr>
      <w:r>
        <w:rPr>
          <w:rFonts w:ascii="Arial" w:cs="Arial" w:eastAsia="Arial" w:hAnsi="Arial"/>
          <w:color w:val="595959"/>
          <w:sz w:val="22"/>
          <w:szCs w:val="22"/>
        </w:rPr>
        <w:t xml:space="preserve">Track medication adherence indicators and flag patients at risk of non-adherence due to cost barriers.</w:t>
      </w:r>
    </w:p>
    <w:p>
      <w:pPr>
        <w:pStyle w:val="ListParagraph"/>
        <w:numPr>
          <w:ilvl w:val="0"/>
          <w:numId w:val="2"/>
        </w:numPr>
        <w:spacing w:after="80"/>
      </w:pPr>
      <w:r>
        <w:rPr>
          <w:rFonts w:ascii="Arial" w:cs="Arial" w:eastAsia="Arial" w:hAnsi="Arial"/>
          <w:color w:val="595959"/>
          <w:sz w:val="22"/>
          <w:szCs w:val="22"/>
        </w:rPr>
        <w:t xml:space="preserve">Coordinate with pharmacy and therapeutics (P&amp;T) committee on formulary management data.</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EHR/Pharmacy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Willow, Cerner PharmNet, Omnicell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Medication orders, prescription tracking, clinical documentation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Prior Auth Platforms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CoverMyMeds, Surescripts, Medi-Span, payer portals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 submission, status tracking, appeal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Pharmacy Benefit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Express Scripts, CVS Caremark, OptumRx, Magellan Rx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Formulary lookups, benefit verification, claims adjudication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340B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Sentry Data Systems, Macro Helix, Apexus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340B eligibility tracking, split billing, compliance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Assistance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NeedyMeds, RxAssist, manufacturer PAP portals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Program screening, application management, enrollment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Specialty Pharmacy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Optum Specialty, Accredo, BioPlus, Amber Specialty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Enrollment, shipment tracking, injection scheduling coordination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pharmacy analytics platforms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 volume tracking, cost analysis, formulary impact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Secure messaging, fax, patient portal, phone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Prescriber notifications, patient outreach, payer correspondence</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Medication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prescription orders; cannot modify or enter prescriptions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diagnosis, lab results, and treatment history for PA clinical support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Insurance/Pharmacy Benefit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formulary coverage and benefit details; cannot modify insurance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Financial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copay amounts and out-of-pocket costs; no access to full financial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340B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340B eligibility and tracking; cannot modify contract pharmacy agreements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Prescriber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prescriber NPI and DEA numbers for PA submissions; no access to credentialing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Payer 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Restricted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 to pharmacy benefit contract terms or rebate information</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Contacts payer pharmacy benefit departments for complex PA inquiries. Calls patients to assist with PAP applications and enrollment. Participates in P&amp;T Committee meetings to present formulary utilization data.</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prescribers real-time PA approval/denial notifications. Alerts pharmacy staff to specialty medication delivery updates. Notifies patients of PA status changes.</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weekly PA performance reports. Sends formulary change alerts to prescribers. Communicates PAP enrollment confirmations to patients and clinical staff.</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Prior Authorization for Specialty Medication</w:t>
      </w:r>
    </w:p>
    <w:p>
      <w:pPr>
        <w:pStyle w:val="ListParagraph"/>
        <w:numPr>
          <w:ilvl w:val="0"/>
          <w:numId w:val="2"/>
        </w:numPr>
        <w:spacing w:after="80"/>
      </w:pPr>
      <w:r>
        <w:rPr>
          <w:rFonts w:ascii="Arial" w:cs="Arial" w:eastAsia="Arial" w:hAnsi="Arial"/>
          <w:color w:val="595959"/>
          <w:sz w:val="22"/>
          <w:szCs w:val="22"/>
        </w:rPr>
        <w:t xml:space="preserve">Step 1: Receive new prescription order for adalimumab (Humira) for a patient with rheumatoid arthritis.</w:t>
      </w:r>
    </w:p>
    <w:p>
      <w:pPr>
        <w:pStyle w:val="ListParagraph"/>
        <w:numPr>
          <w:ilvl w:val="0"/>
          <w:numId w:val="2"/>
        </w:numPr>
        <w:spacing w:after="80"/>
      </w:pPr>
      <w:r>
        <w:rPr>
          <w:rFonts w:ascii="Arial" w:cs="Arial" w:eastAsia="Arial" w:hAnsi="Arial"/>
          <w:color w:val="595959"/>
          <w:sz w:val="22"/>
          <w:szCs w:val="22"/>
        </w:rPr>
        <w:t xml:space="preserve">Step 2: Check patient’s insurance formulary — Humira requires prior authorization and step therapy (must fail methotrexate first).</w:t>
      </w:r>
    </w:p>
    <w:p>
      <w:pPr>
        <w:pStyle w:val="ListParagraph"/>
        <w:numPr>
          <w:ilvl w:val="0"/>
          <w:numId w:val="2"/>
        </w:numPr>
        <w:spacing w:after="80"/>
      </w:pPr>
      <w:r>
        <w:rPr>
          <w:rFonts w:ascii="Arial" w:cs="Arial" w:eastAsia="Arial" w:hAnsi="Arial"/>
          <w:color w:val="595959"/>
          <w:sz w:val="22"/>
          <w:szCs w:val="22"/>
        </w:rPr>
        <w:t xml:space="preserve">Step 3: Review patient’s EHR medication history — confirm methotrexate trial (6 months, documented failure due to inadequate response).</w:t>
      </w:r>
    </w:p>
    <w:p>
      <w:pPr>
        <w:pStyle w:val="ListParagraph"/>
        <w:numPr>
          <w:ilvl w:val="0"/>
          <w:numId w:val="2"/>
        </w:numPr>
        <w:spacing w:after="80"/>
      </w:pPr>
      <w:r>
        <w:rPr>
          <w:rFonts w:ascii="Arial" w:cs="Arial" w:eastAsia="Arial" w:hAnsi="Arial"/>
          <w:color w:val="595959"/>
          <w:sz w:val="22"/>
          <w:szCs w:val="22"/>
        </w:rPr>
        <w:t xml:space="preserve">Step 4: Gather supporting documentation: rheumatology notes, lab results (RF, anti-CCP, ESR, CRP), imaging showing joint damage.</w:t>
      </w:r>
    </w:p>
    <w:p>
      <w:pPr>
        <w:pStyle w:val="ListParagraph"/>
        <w:numPr>
          <w:ilvl w:val="0"/>
          <w:numId w:val="2"/>
        </w:numPr>
        <w:spacing w:after="80"/>
      </w:pPr>
      <w:r>
        <w:rPr>
          <w:rFonts w:ascii="Arial" w:cs="Arial" w:eastAsia="Arial" w:hAnsi="Arial"/>
          <w:color w:val="595959"/>
          <w:sz w:val="22"/>
          <w:szCs w:val="22"/>
        </w:rPr>
        <w:t xml:space="preserve">Step 5: Complete payer’s PA form via CoverMyMeds with clinical evidence addressing each medical necessity criterion.</w:t>
      </w:r>
    </w:p>
    <w:p>
      <w:pPr>
        <w:pStyle w:val="ListParagraph"/>
        <w:numPr>
          <w:ilvl w:val="0"/>
          <w:numId w:val="2"/>
        </w:numPr>
        <w:spacing w:after="80"/>
      </w:pPr>
      <w:r>
        <w:rPr>
          <w:rFonts w:ascii="Arial" w:cs="Arial" w:eastAsia="Arial" w:hAnsi="Arial"/>
          <w:color w:val="595959"/>
          <w:sz w:val="22"/>
          <w:szCs w:val="22"/>
        </w:rPr>
        <w:t xml:space="preserve">Step 6: Submit PA request electronically. Document submission confirmation number and timestamp.</w:t>
      </w:r>
    </w:p>
    <w:p>
      <w:pPr>
        <w:pStyle w:val="ListParagraph"/>
        <w:numPr>
          <w:ilvl w:val="0"/>
          <w:numId w:val="2"/>
        </w:numPr>
        <w:spacing w:after="80"/>
      </w:pPr>
      <w:r>
        <w:rPr>
          <w:rFonts w:ascii="Arial" w:cs="Arial" w:eastAsia="Arial" w:hAnsi="Arial"/>
          <w:color w:val="595959"/>
          <w:sz w:val="22"/>
          <w:szCs w:val="22"/>
        </w:rPr>
        <w:t xml:space="preserve">Step 7: PA approved within 48 hours. Notify prescribing rheumatologist and patient of approval.</w:t>
      </w:r>
    </w:p>
    <w:p>
      <w:pPr>
        <w:pStyle w:val="ListParagraph"/>
        <w:numPr>
          <w:ilvl w:val="0"/>
          <w:numId w:val="2"/>
        </w:numPr>
        <w:spacing w:after="80"/>
      </w:pPr>
      <w:r>
        <w:rPr>
          <w:rFonts w:ascii="Arial" w:cs="Arial" w:eastAsia="Arial" w:hAnsi="Arial"/>
          <w:color w:val="595959"/>
          <w:sz w:val="22"/>
          <w:szCs w:val="22"/>
        </w:rPr>
        <w:t xml:space="preserve">Step 8: Coordinate with specialty pharmacy (Accredo) for patient enrollment and first shipment.</w:t>
      </w:r>
    </w:p>
    <w:p>
      <w:pPr>
        <w:pStyle w:val="ListParagraph"/>
        <w:numPr>
          <w:ilvl w:val="0"/>
          <w:numId w:val="2"/>
        </w:numPr>
        <w:spacing w:after="80"/>
      </w:pPr>
      <w:r>
        <w:rPr>
          <w:rFonts w:ascii="Arial" w:cs="Arial" w:eastAsia="Arial" w:hAnsi="Arial"/>
          <w:color w:val="595959"/>
          <w:sz w:val="22"/>
          <w:szCs w:val="22"/>
        </w:rPr>
        <w:t xml:space="preserve">Step 9: Screen patient for manufacturer copay card (AbbVie) — patient eligible, reducing copay from $450/month to $5/month.</w:t>
      </w:r>
    </w:p>
    <w:p>
      <w:pPr>
        <w:pStyle w:val="ListParagraph"/>
        <w:numPr>
          <w:ilvl w:val="0"/>
          <w:numId w:val="2"/>
        </w:numPr>
        <w:spacing w:after="80"/>
      </w:pPr>
      <w:r>
        <w:rPr>
          <w:rFonts w:ascii="Arial" w:cs="Arial" w:eastAsia="Arial" w:hAnsi="Arial"/>
          <w:color w:val="595959"/>
          <w:sz w:val="22"/>
          <w:szCs w:val="22"/>
        </w:rPr>
        <w:t xml:space="preserve">Step 10: Enroll patient in copay program. Provide specialty pharmacy with copay card information.</w:t>
      </w:r>
    </w:p>
    <w:p>
      <w:pPr>
        <w:pStyle w:val="ListParagraph"/>
        <w:numPr>
          <w:ilvl w:val="0"/>
          <w:numId w:val="2"/>
        </w:numPr>
        <w:spacing w:after="80"/>
      </w:pPr>
      <w:r>
        <w:rPr>
          <w:rFonts w:ascii="Arial" w:cs="Arial" w:eastAsia="Arial" w:hAnsi="Arial"/>
          <w:color w:val="595959"/>
          <w:sz w:val="22"/>
          <w:szCs w:val="22"/>
        </w:rPr>
        <w:t xml:space="preserve">Step 11: Set PA renewal reminder for 11 months (PA valid for 12 months). Track medication adherence via refill history.</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 Turnaround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4 hours submission from order receipt (urgent); &lt; 24 hours (routine)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Order timestamp to PA submission timestamp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 Approval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85% first-pass approval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Approvals / total PA submissions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 Appeal Success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50% of appeals overturned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Overturned appeals / total appeals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Assistance Enrollment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90% of eligible patients enrolled in available programs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Enrollments / eligible patients screened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340B Capture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of eligible prescriptions captured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340B captures / eligible prescriptions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Formulary Alert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non-formulary prescriptions flagged before dispensing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Alerts generated / non-formulary orders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Specialty Pharmacy Enrollment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3 business days from order to specialty pharmacy enrollment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Order date to enrollment confirmation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Cost Reduction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$200,000 annual savings through PAP and copay assistance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Total patient cost offsets achieved</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Rheumatology Practice</w:t>
      </w:r>
    </w:p>
    <w:p>
      <w:pPr>
        <w:spacing w:after="120"/>
      </w:pPr>
      <w:r>
        <w:rPr>
          <w:rFonts w:ascii="Arial" w:cs="Arial" w:eastAsia="Arial" w:hAnsi="Arial"/>
          <w:color w:val="595959"/>
          <w:sz w:val="22"/>
          <w:szCs w:val="22"/>
        </w:rPr>
        <w:t xml:space="preserve">A rheumatology practice managing 500 patients on biologic medications deploys the Pharmacy Benefits Coordinator AI to manage the complex PA process. Average PA turnaround drops from 5 days to 1 day, PA approval rates increase from 72% to 91% through better documentation, and $800,000 in annual patient copay savings are achieved through systematic assistance program enrollment.</w:t>
      </w:r>
    </w:p>
    <w:p>
      <w:pPr>
        <w:pStyle w:val="Heading3"/>
        <w:spacing w:after="120" w:before="240"/>
      </w:pPr>
      <w:r>
        <w:rPr>
          <w:rFonts w:ascii="Arial" w:cs="Arial" w:eastAsia="Arial" w:hAnsi="Arial"/>
          <w:b/>
          <w:bCs/>
          <w:color w:val="2E75B6"/>
          <w:sz w:val="24"/>
          <w:szCs w:val="24"/>
        </w:rPr>
        <w:t xml:space="preserve">Use Case 2: Oncology Center</w:t>
      </w:r>
    </w:p>
    <w:p>
      <w:pPr>
        <w:spacing w:after="120"/>
      </w:pPr>
      <w:r>
        <w:rPr>
          <w:rFonts w:ascii="Arial" w:cs="Arial" w:eastAsia="Arial" w:hAnsi="Arial"/>
          <w:color w:val="595959"/>
          <w:sz w:val="22"/>
          <w:szCs w:val="22"/>
        </w:rPr>
        <w:t xml:space="preserve">An oncology center with $30M in annual drug spend uses the AI to manage specialty pharmacy coordination and 340B compliance. The AI captures 97% of eligible 340B prescriptions (up from 82%), generating $2.1M in additional 340B savings. Specialty medication start times decrease from 12 days to 4 days, reducing treatment delays for newly diagnosed cancer patients.</w:t>
      </w:r>
    </w:p>
    <w:p>
      <w:pPr>
        <w:pStyle w:val="Heading3"/>
        <w:spacing w:after="120" w:before="240"/>
      </w:pPr>
      <w:r>
        <w:rPr>
          <w:rFonts w:ascii="Arial" w:cs="Arial" w:eastAsia="Arial" w:hAnsi="Arial"/>
          <w:b/>
          <w:bCs/>
          <w:color w:val="2E75B6"/>
          <w:sz w:val="24"/>
          <w:szCs w:val="24"/>
        </w:rPr>
        <w:t xml:space="preserve">Use Case 3: Federally Qualified Health Center</w:t>
      </w:r>
    </w:p>
    <w:p>
      <w:pPr>
        <w:spacing w:after="120"/>
      </w:pPr>
      <w:r>
        <w:rPr>
          <w:rFonts w:ascii="Arial" w:cs="Arial" w:eastAsia="Arial" w:hAnsi="Arial"/>
          <w:color w:val="595959"/>
          <w:sz w:val="22"/>
          <w:szCs w:val="22"/>
        </w:rPr>
        <w:t xml:space="preserve">An FQHC serving uninsured and underinsured patients uses the AI to maximize patient assistance program enrollment. The AI screens every prescription against 300+ manufacturer PAPs and foundation programs, enrolling 85% of eligible patients and reducing medication abandonment rates from 22% to 6%.</w:t>
      </w:r>
    </w:p>
    <w:p>
      <w:r>
        <w:br w:type="page"/>
      </w:r>
    </w:p>
    <w:p>
      <w:pPr>
        <w:pStyle w:val="Heading1"/>
        <w:spacing w:after="200" w:before="360"/>
      </w:pPr>
      <w:r>
        <w:rPr>
          <w:rFonts w:ascii="Arial" w:cs="Arial" w:eastAsia="Arial" w:hAnsi="Arial"/>
          <w:b/>
          <w:bCs/>
          <w:color w:val="2E75B6"/>
          <w:sz w:val="32"/>
          <w:szCs w:val="32"/>
        </w:rPr>
        <w:t xml:space="preserve">Role 8: Healthcare Quality Analyst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Healthcare Quality Analyst AI</w:t>
      </w:r>
    </w:p>
    <w:p>
      <w:pPr>
        <w:spacing w:after="120"/>
      </w:pPr>
      <w:r>
        <w:rPr>
          <w:rFonts w:ascii="Arial" w:cs="Arial" w:eastAsia="Arial" w:hAnsi="Arial"/>
          <w:color w:val="595959"/>
          <w:sz w:val="22"/>
          <w:szCs w:val="22"/>
        </w:rPr>
        <w:t xml:space="preserve">Department: Quality Improvement / Performance Improvement</w:t>
      </w:r>
    </w:p>
    <w:p>
      <w:pPr>
        <w:spacing w:after="120"/>
      </w:pPr>
      <w:r>
        <w:rPr>
          <w:rFonts w:ascii="Arial" w:cs="Arial" w:eastAsia="Arial" w:hAnsi="Arial"/>
          <w:color w:val="595959"/>
          <w:sz w:val="22"/>
          <w:szCs w:val="22"/>
        </w:rPr>
        <w:t xml:space="preserve">Reports To: Chief Quality Officer (CQO) or VP of Quality</w:t>
      </w:r>
    </w:p>
    <w:p>
      <w:pPr>
        <w:spacing w:after="120"/>
      </w:pPr>
      <w:r>
        <w:rPr>
          <w:rFonts w:ascii="Arial" w:cs="Arial" w:eastAsia="Arial" w:hAnsi="Arial"/>
          <w:color w:val="595959"/>
          <w:sz w:val="22"/>
          <w:szCs w:val="22"/>
        </w:rPr>
        <w:t xml:space="preserve">Seniority Level: Senior</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Healthcare Quality Analyst AI serves as the data-driven engine of the organization’s quality improvement program. This AI employee monitors clinical quality metrics, patient safety indicators, regulatory quality measures, and accreditation standards in real-time, providing continuous intelligence that enables the organization to identify quality gaps, implement improvement initiatives, and demonstrate compliance with federal, state, and accreditation quality requirements.</w:t>
      </w:r>
    </w:p>
    <w:p>
      <w:pPr>
        <w:spacing w:after="120"/>
      </w:pPr>
      <w:r>
        <w:rPr>
          <w:rFonts w:ascii="Arial" w:cs="Arial" w:eastAsia="Arial" w:hAnsi="Arial"/>
          <w:color w:val="595959"/>
          <w:sz w:val="22"/>
          <w:szCs w:val="22"/>
        </w:rPr>
        <w:t xml:space="preserve">Healthcare quality measurement is extraordinarily complex, encompassing CMS quality programs (Hospital IQR, HVBP, HAC Reduction), accreditation standards (Joint Commission, DNV, HFAP), state quality reporting requirements, payer quality incentives (HEDIS, Stars), and voluntary quality registries (STS, NSQIP, Get With The Guidelines). The Healthcare Quality Analyst AI navigates this landscape by integrating data from clinical, administrative, and claims sources to calculate, trend, and report quality measures across all required programs.</w:t>
      </w:r>
    </w:p>
    <w:p>
      <w:pPr>
        <w:spacing w:after="120"/>
      </w:pPr>
      <w:r>
        <w:rPr>
          <w:rFonts w:ascii="Arial" w:cs="Arial" w:eastAsia="Arial" w:hAnsi="Arial"/>
          <w:color w:val="595959"/>
          <w:sz w:val="22"/>
          <w:szCs w:val="22"/>
        </w:rPr>
        <w:t xml:space="preserve">This role requires the highest level of data integrity and analytical rigor. Quality data directly influences CMS reimbursement (value-based purchasing adjustments can impact millions of dollars annually), public reporting (Hospital Compare, Leapfrog), accreditation decisions, and ultimately patient safety. The AI ensures data accuracy through automated validation, consistent methodology application, and comprehensive audit trails for every metric calculation.</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Quality Measure Calculation: </w:t>
      </w:r>
      <w:r>
        <w:rPr>
          <w:rFonts w:ascii="Arial" w:cs="Arial" w:eastAsia="Arial" w:hAnsi="Arial"/>
          <w:color w:val="595959"/>
          <w:sz w:val="22"/>
          <w:szCs w:val="22"/>
        </w:rPr>
        <w:t xml:space="preserve">Calculate all required quality measures across CMS programs (Core Measures, eCQMs, Patient Safety Indicators, HAC measures), Joint Commission ORYX requirements, and payer quality programs (HEDIS, Stars). Apply measure specifications precisely, including denominator eligibility, numerator compliance, exclusion criteria, and risk adjustment. Maintain measure calculation documentation for audit review.</w:t>
      </w:r>
    </w:p>
    <w:p>
      <w:pPr>
        <w:pStyle w:val="ListParagraph"/>
        <w:numPr>
          <w:ilvl w:val="0"/>
          <w:numId w:val="2"/>
        </w:numPr>
        <w:spacing w:after="80"/>
      </w:pPr>
      <w:r>
        <w:rPr>
          <w:rFonts w:ascii="Arial" w:cs="Arial" w:eastAsia="Arial" w:hAnsi="Arial"/>
          <w:b/>
          <w:bCs/>
          <w:color w:val="595959"/>
          <w:sz w:val="22"/>
          <w:szCs w:val="22"/>
        </w:rPr>
        <w:t xml:space="preserve">Patient Safety Monitoring: </w:t>
      </w:r>
      <w:r>
        <w:rPr>
          <w:rFonts w:ascii="Arial" w:cs="Arial" w:eastAsia="Arial" w:hAnsi="Arial"/>
          <w:color w:val="595959"/>
          <w:sz w:val="22"/>
          <w:szCs w:val="22"/>
        </w:rPr>
        <w:t xml:space="preserve">Monitor patient safety event reports (falls, medication errors, pressure injuries, healthcare-associated infections, surgical complications). Track safety event trends and identify emerging patterns. Calculate safety rates (events per 1,000 patient days) for internal and external benchmarking. Support root cause analysis investigations by compiling relevant data.</w:t>
      </w:r>
    </w:p>
    <w:p>
      <w:pPr>
        <w:pStyle w:val="ListParagraph"/>
        <w:numPr>
          <w:ilvl w:val="0"/>
          <w:numId w:val="2"/>
        </w:numPr>
        <w:spacing w:after="80"/>
      </w:pPr>
      <w:r>
        <w:rPr>
          <w:rFonts w:ascii="Arial" w:cs="Arial" w:eastAsia="Arial" w:hAnsi="Arial"/>
          <w:b/>
          <w:bCs/>
          <w:color w:val="595959"/>
          <w:sz w:val="22"/>
          <w:szCs w:val="22"/>
        </w:rPr>
        <w:t xml:space="preserve">Performance Improvement Support: </w:t>
      </w:r>
      <w:r>
        <w:rPr>
          <w:rFonts w:ascii="Arial" w:cs="Arial" w:eastAsia="Arial" w:hAnsi="Arial"/>
          <w:color w:val="595959"/>
          <w:sz w:val="22"/>
          <w:szCs w:val="22"/>
        </w:rPr>
        <w:t xml:space="preserve">Identify quality improvement opportunities through data analysis. Prepare data for quality improvement project teams (PDSA cycles, Lean, Six Sigma). Track improvement project metrics over time to assess intervention effectiveness. Generate control charts and run charts for sustained improvement monitoring.</w:t>
      </w:r>
    </w:p>
    <w:p>
      <w:pPr>
        <w:pStyle w:val="ListParagraph"/>
        <w:numPr>
          <w:ilvl w:val="0"/>
          <w:numId w:val="2"/>
        </w:numPr>
        <w:spacing w:after="80"/>
      </w:pPr>
      <w:r>
        <w:rPr>
          <w:rFonts w:ascii="Arial" w:cs="Arial" w:eastAsia="Arial" w:hAnsi="Arial"/>
          <w:b/>
          <w:bCs/>
          <w:color w:val="595959"/>
          <w:sz w:val="22"/>
          <w:szCs w:val="22"/>
        </w:rPr>
        <w:t xml:space="preserve">Regulatory Reporting: </w:t>
      </w:r>
      <w:r>
        <w:rPr>
          <w:rFonts w:ascii="Arial" w:cs="Arial" w:eastAsia="Arial" w:hAnsi="Arial"/>
          <w:color w:val="595959"/>
          <w:sz w:val="22"/>
          <w:szCs w:val="22"/>
        </w:rPr>
        <w:t xml:space="preserve">Submit required quality data to CMS, state agencies, and accreditation bodies within mandated deadlines. Prepare data for public reporting (Hospital Compare, Leapfrog Safety Grade, U.S. News rankings). Manage eCQM submission through the CMS Quality Reporting Data Architecture (QRDA) format. Track reporting deadlines and ensure 100% submission compliance.</w:t>
      </w:r>
    </w:p>
    <w:p>
      <w:pPr>
        <w:pStyle w:val="ListParagraph"/>
        <w:numPr>
          <w:ilvl w:val="0"/>
          <w:numId w:val="2"/>
        </w:numPr>
        <w:spacing w:after="80"/>
      </w:pPr>
      <w:r>
        <w:rPr>
          <w:rFonts w:ascii="Arial" w:cs="Arial" w:eastAsia="Arial" w:hAnsi="Arial"/>
          <w:b/>
          <w:bCs/>
          <w:color w:val="595959"/>
          <w:sz w:val="22"/>
          <w:szCs w:val="22"/>
        </w:rPr>
        <w:t xml:space="preserve">Benchmarking and Analytics: </w:t>
      </w:r>
      <w:r>
        <w:rPr>
          <w:rFonts w:ascii="Arial" w:cs="Arial" w:eastAsia="Arial" w:hAnsi="Arial"/>
          <w:color w:val="595959"/>
          <w:sz w:val="22"/>
          <w:szCs w:val="22"/>
        </w:rPr>
        <w:t xml:space="preserve">Compare organizational quality performance against national benchmarks (CMS, Vizient, Premier). Identify top-decile and bottom-decile performance areas. Generate peer comparison reports for leadership review. Support strategic quality goal-setting with data-driven benchmark analysis.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Calculate monthly quality dashboards for 50+ quality measures across all required programs.</w:t>
      </w:r>
    </w:p>
    <w:p>
      <w:pPr>
        <w:pStyle w:val="ListParagraph"/>
        <w:numPr>
          <w:ilvl w:val="0"/>
          <w:numId w:val="2"/>
        </w:numPr>
        <w:spacing w:after="80"/>
      </w:pPr>
      <w:r>
        <w:rPr>
          <w:rFonts w:ascii="Arial" w:cs="Arial" w:eastAsia="Arial" w:hAnsi="Arial"/>
          <w:color w:val="595959"/>
          <w:sz w:val="22"/>
          <w:szCs w:val="22"/>
        </w:rPr>
        <w:t xml:space="preserve">Monitor healthcare-associated infection rates (CLABSI, CAUTI, SSI, MRSA, C. diff) daily from surveillance data.</w:t>
      </w:r>
    </w:p>
    <w:p>
      <w:pPr>
        <w:pStyle w:val="ListParagraph"/>
        <w:numPr>
          <w:ilvl w:val="0"/>
          <w:numId w:val="2"/>
        </w:numPr>
        <w:spacing w:after="80"/>
      </w:pPr>
      <w:r>
        <w:rPr>
          <w:rFonts w:ascii="Arial" w:cs="Arial" w:eastAsia="Arial" w:hAnsi="Arial"/>
          <w:color w:val="595959"/>
          <w:sz w:val="22"/>
          <w:szCs w:val="22"/>
        </w:rPr>
        <w:t xml:space="preserve">Track CMS Hospital-Acquired Condition (HAC) measures and project Value-Based Purchasing score impact.</w:t>
      </w:r>
    </w:p>
    <w:p>
      <w:pPr>
        <w:pStyle w:val="ListParagraph"/>
        <w:numPr>
          <w:ilvl w:val="0"/>
          <w:numId w:val="2"/>
        </w:numPr>
        <w:spacing w:after="80"/>
      </w:pPr>
      <w:r>
        <w:rPr>
          <w:rFonts w:ascii="Arial" w:cs="Arial" w:eastAsia="Arial" w:hAnsi="Arial"/>
          <w:color w:val="595959"/>
          <w:sz w:val="22"/>
          <w:szCs w:val="22"/>
        </w:rPr>
        <w:t xml:space="preserve">Generate weekly patient safety event summary with trend analysis for Quality Committee review.</w:t>
      </w:r>
    </w:p>
    <w:p>
      <w:pPr>
        <w:pStyle w:val="ListParagraph"/>
        <w:numPr>
          <w:ilvl w:val="0"/>
          <w:numId w:val="2"/>
        </w:numPr>
        <w:spacing w:after="80"/>
      </w:pPr>
      <w:r>
        <w:rPr>
          <w:rFonts w:ascii="Arial" w:cs="Arial" w:eastAsia="Arial" w:hAnsi="Arial"/>
          <w:color w:val="595959"/>
          <w:sz w:val="22"/>
          <w:szCs w:val="22"/>
        </w:rPr>
        <w:t xml:space="preserve">Submit quarterly eCQM data to CMS via QRDA Category I and III formats.</w:t>
      </w:r>
    </w:p>
    <w:p>
      <w:pPr>
        <w:pStyle w:val="ListParagraph"/>
        <w:numPr>
          <w:ilvl w:val="0"/>
          <w:numId w:val="2"/>
        </w:numPr>
        <w:spacing w:after="80"/>
      </w:pPr>
      <w:r>
        <w:rPr>
          <w:rFonts w:ascii="Arial" w:cs="Arial" w:eastAsia="Arial" w:hAnsi="Arial"/>
          <w:color w:val="595959"/>
          <w:sz w:val="22"/>
          <w:szCs w:val="22"/>
        </w:rPr>
        <w:t xml:space="preserve">Prepare Joint Commission ORYX performance measure data submissions.</w:t>
      </w:r>
    </w:p>
    <w:p>
      <w:pPr>
        <w:pStyle w:val="ListParagraph"/>
        <w:numPr>
          <w:ilvl w:val="0"/>
          <w:numId w:val="2"/>
        </w:numPr>
        <w:spacing w:after="80"/>
      </w:pPr>
      <w:r>
        <w:rPr>
          <w:rFonts w:ascii="Arial" w:cs="Arial" w:eastAsia="Arial" w:hAnsi="Arial"/>
          <w:color w:val="595959"/>
          <w:sz w:val="22"/>
          <w:szCs w:val="22"/>
        </w:rPr>
        <w:t xml:space="preserve">Calculate HEDIS measures for managed care contracts (30+ measures across multiple domains).</w:t>
      </w:r>
    </w:p>
    <w:p>
      <w:pPr>
        <w:pStyle w:val="ListParagraph"/>
        <w:numPr>
          <w:ilvl w:val="0"/>
          <w:numId w:val="2"/>
        </w:numPr>
        <w:spacing w:after="80"/>
      </w:pPr>
      <w:r>
        <w:rPr>
          <w:rFonts w:ascii="Arial" w:cs="Arial" w:eastAsia="Arial" w:hAnsi="Arial"/>
          <w:color w:val="595959"/>
          <w:sz w:val="22"/>
          <w:szCs w:val="22"/>
        </w:rPr>
        <w:t xml:space="preserve">Monitor readmission rates by diagnosis and identify patients at high risk for readmission within 30 days.</w:t>
      </w:r>
    </w:p>
    <w:p>
      <w:pPr>
        <w:pStyle w:val="ListParagraph"/>
        <w:numPr>
          <w:ilvl w:val="0"/>
          <w:numId w:val="2"/>
        </w:numPr>
        <w:spacing w:after="80"/>
      </w:pPr>
      <w:r>
        <w:rPr>
          <w:rFonts w:ascii="Arial" w:cs="Arial" w:eastAsia="Arial" w:hAnsi="Arial"/>
          <w:color w:val="595959"/>
          <w:sz w:val="22"/>
          <w:szCs w:val="22"/>
        </w:rPr>
        <w:t xml:space="preserve">Track mortality rates by condition and procedure with observed-to-expected ratio calculations.</w:t>
      </w:r>
    </w:p>
    <w:p>
      <w:pPr>
        <w:pStyle w:val="ListParagraph"/>
        <w:numPr>
          <w:ilvl w:val="0"/>
          <w:numId w:val="2"/>
        </w:numPr>
        <w:spacing w:after="80"/>
      </w:pPr>
      <w:r>
        <w:rPr>
          <w:rFonts w:ascii="Arial" w:cs="Arial" w:eastAsia="Arial" w:hAnsi="Arial"/>
          <w:color w:val="595959"/>
          <w:sz w:val="22"/>
          <w:szCs w:val="22"/>
        </w:rPr>
        <w:t xml:space="preserve">Generate Leapfrog Safety Grade submission data with projected grade calculation.</w:t>
      </w:r>
    </w:p>
    <w:p>
      <w:pPr>
        <w:pStyle w:val="ListParagraph"/>
        <w:numPr>
          <w:ilvl w:val="0"/>
          <w:numId w:val="2"/>
        </w:numPr>
        <w:spacing w:after="80"/>
      </w:pPr>
      <w:r>
        <w:rPr>
          <w:rFonts w:ascii="Arial" w:cs="Arial" w:eastAsia="Arial" w:hAnsi="Arial"/>
          <w:color w:val="595959"/>
          <w:sz w:val="22"/>
          <w:szCs w:val="22"/>
        </w:rPr>
        <w:t xml:space="preserve">Support NSQIP data abstraction for surgical quality reporting.</w:t>
      </w:r>
    </w:p>
    <w:p>
      <w:pPr>
        <w:pStyle w:val="ListParagraph"/>
        <w:numPr>
          <w:ilvl w:val="0"/>
          <w:numId w:val="2"/>
        </w:numPr>
        <w:spacing w:after="80"/>
      </w:pPr>
      <w:r>
        <w:rPr>
          <w:rFonts w:ascii="Arial" w:cs="Arial" w:eastAsia="Arial" w:hAnsi="Arial"/>
          <w:color w:val="595959"/>
          <w:sz w:val="22"/>
          <w:szCs w:val="22"/>
        </w:rPr>
        <w:t xml:space="preserve">Prepare quarterly Quality Committee report with executive summary and drill-down analytics.</w:t>
      </w:r>
    </w:p>
    <w:p>
      <w:pPr>
        <w:pStyle w:val="ListParagraph"/>
        <w:numPr>
          <w:ilvl w:val="0"/>
          <w:numId w:val="2"/>
        </w:numPr>
        <w:spacing w:after="80"/>
      </w:pPr>
      <w:r>
        <w:rPr>
          <w:rFonts w:ascii="Arial" w:cs="Arial" w:eastAsia="Arial" w:hAnsi="Arial"/>
          <w:color w:val="595959"/>
          <w:sz w:val="22"/>
          <w:szCs w:val="22"/>
        </w:rPr>
        <w:t xml:space="preserve">Monitor antimicrobial stewardship metrics (antibiotic utilization rates, days of therapy, appropriateness rates).</w:t>
      </w:r>
    </w:p>
    <w:p>
      <w:pPr>
        <w:pStyle w:val="ListParagraph"/>
        <w:numPr>
          <w:ilvl w:val="0"/>
          <w:numId w:val="2"/>
        </w:numPr>
        <w:spacing w:after="80"/>
      </w:pPr>
      <w:r>
        <w:rPr>
          <w:rFonts w:ascii="Arial" w:cs="Arial" w:eastAsia="Arial" w:hAnsi="Arial"/>
          <w:color w:val="595959"/>
          <w:sz w:val="22"/>
          <w:szCs w:val="22"/>
        </w:rPr>
        <w:t xml:space="preserve">Track sepsis bundle compliance rates (SEP-1 measure) with real-time alerting for non-compliance.</w:t>
      </w:r>
    </w:p>
    <w:p>
      <w:pPr>
        <w:pStyle w:val="ListParagraph"/>
        <w:numPr>
          <w:ilvl w:val="0"/>
          <w:numId w:val="2"/>
        </w:numPr>
        <w:spacing w:after="80"/>
      </w:pPr>
      <w:r>
        <w:rPr>
          <w:rFonts w:ascii="Arial" w:cs="Arial" w:eastAsia="Arial" w:hAnsi="Arial"/>
          <w:color w:val="595959"/>
          <w:sz w:val="22"/>
          <w:szCs w:val="22"/>
        </w:rPr>
        <w:t xml:space="preserve">Generate annual Quality Assessment and Performance Improvement (QAPI) plan progress report.</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Data Warehouse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Caboodle, Cerner HealtheAnalytics, Dimensional Insight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data extraction, measure calculation, trend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 Measure Tools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MIDAS+, Quantros, Vizient Clinical Database, Premier QualityAdvisor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Measure specifications, benchmarking, peer comparison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Infection Surveillance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NHSN (CDC), Theradoc, ICNet, VigiLanz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HAI surveillance, antibiogram data, infection rate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Reporting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CMS HARP, Joint Commission ORYX, state portals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submission, deadline tracking, submission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R/Python statistical tools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Dashboard creation, statistical analysis, predictive modeling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Cerner (clinical data feeds)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clinical data for measure calculation and safety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Safety Reporting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RL6, Quantros, Midas+ Patient Safety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Event reporting analysis, trend detection, investigation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Registry Submission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STS, NSQIP, GWTG, other clinical registries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abstraction, submission, outcomes tracking</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Data (Aggregate)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de-identified/aggregate clinical data for quality analysis; limited PHI access for abstraction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 Measure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calculate, validate, and report quality measures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Safety 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Analyze safety event patterns; no access to peer review deliberations or attorney-client communications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Infection Surveillance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infection data for HAI rate calculations; minimum necessary PHI for case identification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Submissions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Prepare and submit quality data to CMS, state agencies, and accreditation bodies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Impact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value-based purchasing projections; no access to detailed financial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Benchmarking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external benchmark databases for peer comparison analysis</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Presents quality dashboards to Quality Committee and Board Quality Subcommittee via video. Participates in root cause analysis discussions with clinical teams. Delivers quality data presentations for accreditation survey readiness.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real-time quality alerts when measures fall below targets. Distributes infection rate updates to Infection Prevention team. Notifies department leaders of quality metric changes requiring attention.</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monthly quality dashboards to department directors and medical staff leadership. Submits regulatory reporting confirmations to compliance team. Communicates benchmarking results and peer comparison analyses.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CMS Value-Based Purchasing Score Projection</w:t>
      </w:r>
    </w:p>
    <w:p>
      <w:pPr>
        <w:pStyle w:val="ListParagraph"/>
        <w:numPr>
          <w:ilvl w:val="0"/>
          <w:numId w:val="2"/>
        </w:numPr>
        <w:spacing w:after="80"/>
      </w:pPr>
      <w:r>
        <w:rPr>
          <w:rFonts w:ascii="Arial" w:cs="Arial" w:eastAsia="Arial" w:hAnsi="Arial"/>
          <w:color w:val="595959"/>
          <w:sz w:val="22"/>
          <w:szCs w:val="22"/>
        </w:rPr>
        <w:t xml:space="preserve">Step 1: Extract current fiscal year quality measure performance from clinical data warehouse for all VBP domains.</w:t>
      </w:r>
    </w:p>
    <w:p>
      <w:pPr>
        <w:pStyle w:val="ListParagraph"/>
        <w:numPr>
          <w:ilvl w:val="0"/>
          <w:numId w:val="2"/>
        </w:numPr>
        <w:spacing w:after="80"/>
      </w:pPr>
      <w:r>
        <w:rPr>
          <w:rFonts w:ascii="Arial" w:cs="Arial" w:eastAsia="Arial" w:hAnsi="Arial"/>
          <w:color w:val="595959"/>
          <w:sz w:val="22"/>
          <w:szCs w:val="22"/>
        </w:rPr>
        <w:t xml:space="preserve">Step 2: Calculate achievement and improvement scores for each measure using CMS VBP methodology.</w:t>
      </w:r>
    </w:p>
    <w:p>
      <w:pPr>
        <w:pStyle w:val="ListParagraph"/>
        <w:numPr>
          <w:ilvl w:val="0"/>
          <w:numId w:val="2"/>
        </w:numPr>
        <w:spacing w:after="80"/>
      </w:pPr>
      <w:r>
        <w:rPr>
          <w:rFonts w:ascii="Arial" w:cs="Arial" w:eastAsia="Arial" w:hAnsi="Arial"/>
          <w:color w:val="595959"/>
          <w:sz w:val="22"/>
          <w:szCs w:val="22"/>
        </w:rPr>
        <w:t xml:space="preserve">Step 3: Apply domain weights: Clinical Outcomes (25%), Person &amp; Community Engagement (25%), Safety (25%), Efficiency &amp; Cost Reduction (25%).</w:t>
      </w:r>
    </w:p>
    <w:p>
      <w:pPr>
        <w:pStyle w:val="ListParagraph"/>
        <w:numPr>
          <w:ilvl w:val="0"/>
          <w:numId w:val="2"/>
        </w:numPr>
        <w:spacing w:after="80"/>
      </w:pPr>
      <w:r>
        <w:rPr>
          <w:rFonts w:ascii="Arial" w:cs="Arial" w:eastAsia="Arial" w:hAnsi="Arial"/>
          <w:color w:val="595959"/>
          <w:sz w:val="22"/>
          <w:szCs w:val="22"/>
        </w:rPr>
        <w:t xml:space="preserve">Step 4: Calculate Total Performance Score (TPS) and project payment adjustment (bonus or penalty).</w:t>
      </w:r>
    </w:p>
    <w:p>
      <w:pPr>
        <w:pStyle w:val="ListParagraph"/>
        <w:numPr>
          <w:ilvl w:val="0"/>
          <w:numId w:val="2"/>
        </w:numPr>
        <w:spacing w:after="80"/>
      </w:pPr>
      <w:r>
        <w:rPr>
          <w:rFonts w:ascii="Arial" w:cs="Arial" w:eastAsia="Arial" w:hAnsi="Arial"/>
          <w:color w:val="595959"/>
          <w:sz w:val="22"/>
          <w:szCs w:val="22"/>
        </w:rPr>
        <w:t xml:space="preserve">Step 5: Model financial impact: For a hospital with $100M Medicare inpatient revenue and 2% at risk, project adjustment ranging from -2% to +2% ($2M swing).</w:t>
      </w:r>
    </w:p>
    <w:p>
      <w:pPr>
        <w:pStyle w:val="ListParagraph"/>
        <w:numPr>
          <w:ilvl w:val="0"/>
          <w:numId w:val="2"/>
        </w:numPr>
        <w:spacing w:after="80"/>
      </w:pPr>
      <w:r>
        <w:rPr>
          <w:rFonts w:ascii="Arial" w:cs="Arial" w:eastAsia="Arial" w:hAnsi="Arial"/>
          <w:color w:val="595959"/>
          <w:sz w:val="22"/>
          <w:szCs w:val="22"/>
        </w:rPr>
        <w:t xml:space="preserve">Step 6: Identify measures with greatest improvement opportunity (measures where current performance is below achievement threshold but within reach).</w:t>
      </w:r>
    </w:p>
    <w:p>
      <w:pPr>
        <w:pStyle w:val="ListParagraph"/>
        <w:numPr>
          <w:ilvl w:val="0"/>
          <w:numId w:val="2"/>
        </w:numPr>
        <w:spacing w:after="80"/>
      </w:pPr>
      <w:r>
        <w:rPr>
          <w:rFonts w:ascii="Arial" w:cs="Arial" w:eastAsia="Arial" w:hAnsi="Arial"/>
          <w:color w:val="595959"/>
          <w:sz w:val="22"/>
          <w:szCs w:val="22"/>
        </w:rPr>
        <w:t xml:space="preserve">Step 7: Generate improvement scenario modeling: ‘If we improve HCAHPS communication scores by 5 percentile points, TPS increases by X, yielding $Y additional revenue.’</w:t>
      </w:r>
    </w:p>
    <w:p>
      <w:pPr>
        <w:pStyle w:val="ListParagraph"/>
        <w:numPr>
          <w:ilvl w:val="0"/>
          <w:numId w:val="2"/>
        </w:numPr>
        <w:spacing w:after="80"/>
      </w:pPr>
      <w:r>
        <w:rPr>
          <w:rFonts w:ascii="Arial" w:cs="Arial" w:eastAsia="Arial" w:hAnsi="Arial"/>
          <w:color w:val="595959"/>
          <w:sz w:val="22"/>
          <w:szCs w:val="22"/>
        </w:rPr>
        <w:t xml:space="preserve">Step 8: Present findings to Quality Committee with prioritized improvement recommendations.</w:t>
      </w:r>
    </w:p>
    <w:p>
      <w:pPr>
        <w:pStyle w:val="ListParagraph"/>
        <w:numPr>
          <w:ilvl w:val="0"/>
          <w:numId w:val="2"/>
        </w:numPr>
        <w:spacing w:after="80"/>
      </w:pPr>
      <w:r>
        <w:rPr>
          <w:rFonts w:ascii="Arial" w:cs="Arial" w:eastAsia="Arial" w:hAnsi="Arial"/>
          <w:color w:val="595959"/>
          <w:sz w:val="22"/>
          <w:szCs w:val="22"/>
        </w:rPr>
        <w:t xml:space="preserve">Step 9: Track improvement initiative progress monthly against modeled projections.</w:t>
      </w:r>
    </w:p>
    <w:p>
      <w:pPr>
        <w:pStyle w:val="ListParagraph"/>
        <w:numPr>
          <w:ilvl w:val="0"/>
          <w:numId w:val="2"/>
        </w:numPr>
        <w:spacing w:after="80"/>
      </w:pPr>
      <w:r>
        <w:rPr>
          <w:rFonts w:ascii="Arial" w:cs="Arial" w:eastAsia="Arial" w:hAnsi="Arial"/>
          <w:color w:val="595959"/>
          <w:sz w:val="22"/>
          <w:szCs w:val="22"/>
        </w:rPr>
        <w:t xml:space="preserve">Step 10: Update VBP projection quarterly and adjust strategy based on actual performance trajectory.</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 Measure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99% agreement between AI-calculated and auditor-validated measures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Quarterly validation audit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Reporting Deadline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submissions on 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Submission timestamp vs. deadline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Dashboard Delivery Timeliness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monthly dashboards delivered by the 10th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Distribution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HAI Rate Reduction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All HAI rates below NHSN national benchmark (SIR &lt; 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NHSN Standardized Infection Ratios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Readmission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National average for all targeted conditions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CMS Hospital Readmissions Reduction Program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VBP Total Performance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Above median nationally (≥ 50th percentile)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CMS VBP program results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Safety Event Trend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statistically significant trends identified within 7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Control chart analysis alerts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Leapfrog Safety Grade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Maintain grade ‘A’ or ‘B’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Biannual Leapfrog Grade publication</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400-Bed Teaching Hospital</w:t>
      </w:r>
    </w:p>
    <w:p>
      <w:pPr>
        <w:spacing w:after="120"/>
      </w:pPr>
      <w:r>
        <w:rPr>
          <w:rFonts w:ascii="Arial" w:cs="Arial" w:eastAsia="Arial" w:hAnsi="Arial"/>
          <w:color w:val="595959"/>
          <w:sz w:val="22"/>
          <w:szCs w:val="22"/>
        </w:rPr>
        <w:t xml:space="preserve">A teaching hospital deploys the Healthcare Quality Analyst AI to manage its 75+ quality measures across CMS, Joint Commission, and state reporting programs. The AI eliminates 200 hours of monthly manual abstraction, identifies a CAUTI rate trending upward 3 months before it would have been detected manually, and improves VBP Total Performance Score from 35th percentile to 62nd percentile, generating $1.8M in additional Medicare reimbursement.</w:t>
      </w:r>
    </w:p>
    <w:p>
      <w:pPr>
        <w:pStyle w:val="Heading3"/>
        <w:spacing w:after="120" w:before="240"/>
      </w:pPr>
      <w:r>
        <w:rPr>
          <w:rFonts w:ascii="Arial" w:cs="Arial" w:eastAsia="Arial" w:hAnsi="Arial"/>
          <w:b/>
          <w:bCs/>
          <w:color w:val="2E75B6"/>
          <w:sz w:val="24"/>
          <w:szCs w:val="24"/>
        </w:rPr>
        <w:t xml:space="preserve">Use Case 2: Critical Access Hospital</w:t>
      </w:r>
    </w:p>
    <w:p>
      <w:pPr>
        <w:spacing w:after="120"/>
      </w:pPr>
      <w:r>
        <w:rPr>
          <w:rFonts w:ascii="Arial" w:cs="Arial" w:eastAsia="Arial" w:hAnsi="Arial"/>
          <w:color w:val="595959"/>
          <w:sz w:val="22"/>
          <w:szCs w:val="22"/>
        </w:rPr>
        <w:t xml:space="preserve">A 25-bed Critical Access Hospital with a 1-person quality department uses the AI to manage all quality reporting requirements. The AI handles eCQM calculation, NHSN reporting, and accreditation data preparation, allowing the Quality Director to focus on improvement initiatives rather than data management. The hospital achieves its first Joint Commission accreditation survey with zero quality-related findings.</w:t>
      </w:r>
    </w:p>
    <w:p>
      <w:pPr>
        <w:pStyle w:val="Heading3"/>
        <w:spacing w:after="120" w:before="240"/>
      </w:pPr>
      <w:r>
        <w:rPr>
          <w:rFonts w:ascii="Arial" w:cs="Arial" w:eastAsia="Arial" w:hAnsi="Arial"/>
          <w:b/>
          <w:bCs/>
          <w:color w:val="2E75B6"/>
          <w:sz w:val="24"/>
          <w:szCs w:val="24"/>
        </w:rPr>
        <w:t xml:space="preserve">Use Case 3: Accountable Care Organization</w:t>
      </w:r>
    </w:p>
    <w:p>
      <w:pPr>
        <w:spacing w:after="120"/>
      </w:pPr>
      <w:r>
        <w:rPr>
          <w:rFonts w:ascii="Arial" w:cs="Arial" w:eastAsia="Arial" w:hAnsi="Arial"/>
          <w:color w:val="595959"/>
          <w:sz w:val="22"/>
          <w:szCs w:val="22"/>
        </w:rPr>
        <w:t xml:space="preserve">A Medicare ACO deploys the AI across its 15 physician practices to track MIPS quality measures and ACO quality benchmarks. The AI calculates 23 ACO quality measures monthly, identifies practices falling below benchmarks, and generates practice-specific improvement recommendations. The ACO achieves maximum quality score, unlocking $4.2M in shared savings that would have been reduced by quality underperformance.</w:t>
      </w:r>
    </w:p>
    <w:p>
      <w:r>
        <w:br w:type="page"/>
      </w:r>
    </w:p>
    <w:p>
      <w:pPr>
        <w:pStyle w:val="Heading1"/>
        <w:spacing w:after="200" w:before="360"/>
      </w:pPr>
      <w:r>
        <w:rPr>
          <w:rFonts w:ascii="Arial" w:cs="Arial" w:eastAsia="Arial" w:hAnsi="Arial"/>
          <w:b/>
          <w:bCs/>
          <w:color w:val="2E75B6"/>
          <w:sz w:val="32"/>
          <w:szCs w:val="32"/>
        </w:rPr>
        <w:t xml:space="preserve">Role 9: Telehealth Support Agent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Telehealth Support Agent AI</w:t>
      </w:r>
    </w:p>
    <w:p>
      <w:pPr>
        <w:spacing w:after="120"/>
      </w:pPr>
      <w:r>
        <w:rPr>
          <w:rFonts w:ascii="Arial" w:cs="Arial" w:eastAsia="Arial" w:hAnsi="Arial"/>
          <w:color w:val="595959"/>
          <w:sz w:val="22"/>
          <w:szCs w:val="22"/>
        </w:rPr>
        <w:t xml:space="preserve">Department: Digital Health / Information Technology</w:t>
      </w:r>
    </w:p>
    <w:p>
      <w:pPr>
        <w:spacing w:after="120"/>
      </w:pPr>
      <w:r>
        <w:rPr>
          <w:rFonts w:ascii="Arial" w:cs="Arial" w:eastAsia="Arial" w:hAnsi="Arial"/>
          <w:color w:val="595959"/>
          <w:sz w:val="22"/>
          <w:szCs w:val="22"/>
        </w:rPr>
        <w:t xml:space="preserve">Reports To: Director of Telehealth or CIO</w:t>
      </w:r>
    </w:p>
    <w:p>
      <w:pPr>
        <w:spacing w:after="120"/>
      </w:pPr>
      <w:r>
        <w:rPr>
          <w:rFonts w:ascii="Arial" w:cs="Arial" w:eastAsia="Arial" w:hAnsi="Arial"/>
          <w:color w:val="595959"/>
          <w:sz w:val="22"/>
          <w:szCs w:val="22"/>
        </w:rPr>
        <w:t xml:space="preserve">Seniority Level: 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Telehealth Support Agent AI provides comprehensive technical and logistical support for the organization’s telehealth program, ensuring patients and providers can successfully conduct virtual visits. This AI employee handles patient technology troubleshooting, virtual visit scheduling, pre-visit technical readiness checks, platform navigation assistance, provider technical support, and telehealth program analytics.</w:t>
      </w:r>
    </w:p>
    <w:p>
      <w:pPr>
        <w:spacing w:after="120"/>
      </w:pPr>
      <w:r>
        <w:rPr>
          <w:rFonts w:ascii="Arial" w:cs="Arial" w:eastAsia="Arial" w:hAnsi="Arial"/>
          <w:color w:val="595959"/>
          <w:sz w:val="22"/>
          <w:szCs w:val="22"/>
        </w:rPr>
        <w:t xml:space="preserve">As telehealth has become a permanent component of healthcare delivery (accounting for 15-30% of outpatient visits post-pandemic), organizations need dedicated support to ensure virtual visit quality and completion rates. The Telehealth Support Agent AI reduces virtual visit no-shows, minimizes technology-related visit failures, and provides 24/7 support for patients who may be attempting telehealth visits outside traditional business hours.</w:t>
      </w:r>
    </w:p>
    <w:p>
      <w:pPr>
        <w:spacing w:after="120"/>
      </w:pPr>
      <w:r>
        <w:rPr>
          <w:rFonts w:ascii="Arial" w:cs="Arial" w:eastAsia="Arial" w:hAnsi="Arial"/>
          <w:color w:val="595959"/>
          <w:sz w:val="22"/>
          <w:szCs w:val="22"/>
        </w:rPr>
        <w:t xml:space="preserve">This AI employee is uniquely trained to work with diverse patient populations including elderly patients, patients with limited technology literacy, patients with disabilities requiring accessible technology accommodations, and patients in rural areas with limited bandwidth. The AI adapts its communication style and troubleshooting approach based on the patient’s technology comfort level, providing patient, step-by-step guidance without condescension.</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Patient Technical Support: </w:t>
      </w:r>
      <w:r>
        <w:rPr>
          <w:rFonts w:ascii="Arial" w:cs="Arial" w:eastAsia="Arial" w:hAnsi="Arial"/>
          <w:color w:val="595959"/>
          <w:sz w:val="22"/>
          <w:szCs w:val="22"/>
        </w:rPr>
        <w:t xml:space="preserve">Guide patients through telehealth platform installation, account setup, audio/video testing, and virtual visit connection. Troubleshoot common technical issues (camera/microphone permissions, browser compatibility, bandwidth problems, audio echo). Provide pre-visit technical readiness checks 24 hours before scheduled virtual visits.</w:t>
      </w:r>
    </w:p>
    <w:p>
      <w:pPr>
        <w:pStyle w:val="ListParagraph"/>
        <w:numPr>
          <w:ilvl w:val="0"/>
          <w:numId w:val="2"/>
        </w:numPr>
        <w:spacing w:after="80"/>
      </w:pPr>
      <w:r>
        <w:rPr>
          <w:rFonts w:ascii="Arial" w:cs="Arial" w:eastAsia="Arial" w:hAnsi="Arial"/>
          <w:b/>
          <w:bCs/>
          <w:color w:val="595959"/>
          <w:sz w:val="22"/>
          <w:szCs w:val="22"/>
        </w:rPr>
        <w:t xml:space="preserve">Provider Technical Support: </w:t>
      </w:r>
      <w:r>
        <w:rPr>
          <w:rFonts w:ascii="Arial" w:cs="Arial" w:eastAsia="Arial" w:hAnsi="Arial"/>
          <w:color w:val="595959"/>
          <w:sz w:val="22"/>
          <w:szCs w:val="22"/>
        </w:rPr>
        <w:t xml:space="preserve">Assist providers with telehealth platform features (screen sharing, patient waiting room management, e-prescribing, virtual examination tools). Troubleshoot provider-side technical issues. Coordinate with IT for platform-level issues requiring escalation.</w:t>
      </w:r>
    </w:p>
    <w:p>
      <w:pPr>
        <w:pStyle w:val="ListParagraph"/>
        <w:numPr>
          <w:ilvl w:val="0"/>
          <w:numId w:val="2"/>
        </w:numPr>
        <w:spacing w:after="80"/>
      </w:pPr>
      <w:r>
        <w:rPr>
          <w:rFonts w:ascii="Arial" w:cs="Arial" w:eastAsia="Arial" w:hAnsi="Arial"/>
          <w:b/>
          <w:bCs/>
          <w:color w:val="595959"/>
          <w:sz w:val="22"/>
          <w:szCs w:val="22"/>
        </w:rPr>
        <w:t xml:space="preserve">Virtual Visit Logistics: </w:t>
      </w:r>
      <w:r>
        <w:rPr>
          <w:rFonts w:ascii="Arial" w:cs="Arial" w:eastAsia="Arial" w:hAnsi="Arial"/>
          <w:color w:val="595959"/>
          <w:sz w:val="22"/>
          <w:szCs w:val="22"/>
        </w:rPr>
        <w:t xml:space="preserve">Schedule telehealth appointments with appropriate visit types. Send pre-visit technical preparation instructions. Manage virtual waiting rooms during high-volume telehealth clinic sessions. Facilitate interpreter services integration for multilingual virtual visits.</w:t>
      </w:r>
    </w:p>
    <w:p>
      <w:pPr>
        <w:pStyle w:val="ListParagraph"/>
        <w:numPr>
          <w:ilvl w:val="0"/>
          <w:numId w:val="2"/>
        </w:numPr>
        <w:spacing w:after="80"/>
      </w:pPr>
      <w:r>
        <w:rPr>
          <w:rFonts w:ascii="Arial" w:cs="Arial" w:eastAsia="Arial" w:hAnsi="Arial"/>
          <w:b/>
          <w:bCs/>
          <w:color w:val="595959"/>
          <w:sz w:val="22"/>
          <w:szCs w:val="22"/>
        </w:rPr>
        <w:t xml:space="preserve">Telehealth Program Analytics: </w:t>
      </w:r>
      <w:r>
        <w:rPr>
          <w:rFonts w:ascii="Arial" w:cs="Arial" w:eastAsia="Arial" w:hAnsi="Arial"/>
          <w:color w:val="595959"/>
          <w:sz w:val="22"/>
          <w:szCs w:val="22"/>
        </w:rPr>
        <w:t xml:space="preserve">Track virtual visit completion rates, technical failure rates, patient satisfaction, and provider adoption. Identify technology barriers by patient demographics and geography. Generate utilization reports for program planning and ROI analysis.</w:t>
      </w:r>
    </w:p>
    <w:p>
      <w:pPr>
        <w:pStyle w:val="ListParagraph"/>
        <w:numPr>
          <w:ilvl w:val="0"/>
          <w:numId w:val="2"/>
        </w:numPr>
        <w:spacing w:after="80"/>
      </w:pPr>
      <w:r>
        <w:rPr>
          <w:rFonts w:ascii="Arial" w:cs="Arial" w:eastAsia="Arial" w:hAnsi="Arial"/>
          <w:b/>
          <w:bCs/>
          <w:color w:val="595959"/>
          <w:sz w:val="22"/>
          <w:szCs w:val="22"/>
        </w:rPr>
        <w:t xml:space="preserve">Compliance and Quality: </w:t>
      </w:r>
      <w:r>
        <w:rPr>
          <w:rFonts w:ascii="Arial" w:cs="Arial" w:eastAsia="Arial" w:hAnsi="Arial"/>
          <w:color w:val="595959"/>
          <w:sz w:val="22"/>
          <w:szCs w:val="22"/>
        </w:rPr>
        <w:t xml:space="preserve">Ensure telehealth visits comply with state licensure requirements (provider must be licensed in patient’s state). Verify patient identity and location at the start of each visit. Ensure informed consent for telehealth services. Monitor audio/video quality to meet documentation standards.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Conduct pre-visit technology checks for 100+ scheduled virtual visits daily (automated test link sent 24 hours before).</w:t>
      </w:r>
    </w:p>
    <w:p>
      <w:pPr>
        <w:pStyle w:val="ListParagraph"/>
        <w:numPr>
          <w:ilvl w:val="0"/>
          <w:numId w:val="2"/>
        </w:numPr>
        <w:spacing w:after="80"/>
      </w:pPr>
      <w:r>
        <w:rPr>
          <w:rFonts w:ascii="Arial" w:cs="Arial" w:eastAsia="Arial" w:hAnsi="Arial"/>
          <w:color w:val="595959"/>
          <w:sz w:val="22"/>
          <w:szCs w:val="22"/>
        </w:rPr>
        <w:t xml:space="preserve">Provide real-time technical support during virtual visits when patients or providers experience connection issues.</w:t>
      </w:r>
    </w:p>
    <w:p>
      <w:pPr>
        <w:pStyle w:val="ListParagraph"/>
        <w:numPr>
          <w:ilvl w:val="0"/>
          <w:numId w:val="2"/>
        </w:numPr>
        <w:spacing w:after="80"/>
      </w:pPr>
      <w:r>
        <w:rPr>
          <w:rFonts w:ascii="Arial" w:cs="Arial" w:eastAsia="Arial" w:hAnsi="Arial"/>
          <w:color w:val="595959"/>
          <w:sz w:val="22"/>
          <w:szCs w:val="22"/>
        </w:rPr>
        <w:t xml:space="preserve">Guide patients through telehealth app download and setup (iOS, Android, web browser) via phone, chat, or video.</w:t>
      </w:r>
    </w:p>
    <w:p>
      <w:pPr>
        <w:pStyle w:val="ListParagraph"/>
        <w:numPr>
          <w:ilvl w:val="0"/>
          <w:numId w:val="2"/>
        </w:numPr>
        <w:spacing w:after="80"/>
      </w:pPr>
      <w:r>
        <w:rPr>
          <w:rFonts w:ascii="Arial" w:cs="Arial" w:eastAsia="Arial" w:hAnsi="Arial"/>
          <w:color w:val="595959"/>
          <w:sz w:val="22"/>
          <w:szCs w:val="22"/>
        </w:rPr>
        <w:t xml:space="preserve">Troubleshoot the top 20 most common telehealth technical issues using standardized resolution guides.</w:t>
      </w:r>
    </w:p>
    <w:p>
      <w:pPr>
        <w:pStyle w:val="ListParagraph"/>
        <w:numPr>
          <w:ilvl w:val="0"/>
          <w:numId w:val="2"/>
        </w:numPr>
        <w:spacing w:after="80"/>
      </w:pPr>
      <w:r>
        <w:rPr>
          <w:rFonts w:ascii="Arial" w:cs="Arial" w:eastAsia="Arial" w:hAnsi="Arial"/>
          <w:color w:val="595959"/>
          <w:sz w:val="22"/>
          <w:szCs w:val="22"/>
        </w:rPr>
        <w:t xml:space="preserve">Monitor virtual waiting room queues and alert providers when patients have been waiting more than 10 minutes.</w:t>
      </w:r>
    </w:p>
    <w:p>
      <w:pPr>
        <w:pStyle w:val="ListParagraph"/>
        <w:numPr>
          <w:ilvl w:val="0"/>
          <w:numId w:val="2"/>
        </w:numPr>
        <w:spacing w:after="80"/>
      </w:pPr>
      <w:r>
        <w:rPr>
          <w:rFonts w:ascii="Arial" w:cs="Arial" w:eastAsia="Arial" w:hAnsi="Arial"/>
          <w:color w:val="595959"/>
          <w:sz w:val="22"/>
          <w:szCs w:val="22"/>
        </w:rPr>
        <w:t xml:space="preserve">Track virtual visit completion rates by provider, department, and patient demographics.</w:t>
      </w:r>
    </w:p>
    <w:p>
      <w:pPr>
        <w:pStyle w:val="ListParagraph"/>
        <w:numPr>
          <w:ilvl w:val="0"/>
          <w:numId w:val="2"/>
        </w:numPr>
        <w:spacing w:after="80"/>
      </w:pPr>
      <w:r>
        <w:rPr>
          <w:rFonts w:ascii="Arial" w:cs="Arial" w:eastAsia="Arial" w:hAnsi="Arial"/>
          <w:color w:val="595959"/>
          <w:sz w:val="22"/>
          <w:szCs w:val="22"/>
        </w:rPr>
        <w:t xml:space="preserve">Generate weekly telehealth utilization dashboard showing visit volumes, modality mix, and technical failure rates.</w:t>
      </w:r>
    </w:p>
    <w:p>
      <w:pPr>
        <w:pStyle w:val="ListParagraph"/>
        <w:numPr>
          <w:ilvl w:val="0"/>
          <w:numId w:val="2"/>
        </w:numPr>
        <w:spacing w:after="80"/>
      </w:pPr>
      <w:r>
        <w:rPr>
          <w:rFonts w:ascii="Arial" w:cs="Arial" w:eastAsia="Arial" w:hAnsi="Arial"/>
          <w:color w:val="595959"/>
          <w:sz w:val="22"/>
          <w:szCs w:val="22"/>
        </w:rPr>
        <w:t xml:space="preserve">Coordinate with IT Help Desk for escalated platform issues (server outages, integration failures).</w:t>
      </w:r>
    </w:p>
    <w:p>
      <w:pPr>
        <w:pStyle w:val="ListParagraph"/>
        <w:numPr>
          <w:ilvl w:val="0"/>
          <w:numId w:val="2"/>
        </w:numPr>
        <w:spacing w:after="80"/>
      </w:pPr>
      <w:r>
        <w:rPr>
          <w:rFonts w:ascii="Arial" w:cs="Arial" w:eastAsia="Arial" w:hAnsi="Arial"/>
          <w:color w:val="595959"/>
          <w:sz w:val="22"/>
          <w:szCs w:val="22"/>
        </w:rPr>
        <w:t xml:space="preserve">Manage telehealth equipment inventory (peripherals, kits for home monitoring programs).</w:t>
      </w:r>
    </w:p>
    <w:p>
      <w:pPr>
        <w:pStyle w:val="ListParagraph"/>
        <w:numPr>
          <w:ilvl w:val="0"/>
          <w:numId w:val="2"/>
        </w:numPr>
        <w:spacing w:after="80"/>
      </w:pPr>
      <w:r>
        <w:rPr>
          <w:rFonts w:ascii="Arial" w:cs="Arial" w:eastAsia="Arial" w:hAnsi="Arial"/>
          <w:color w:val="595959"/>
          <w:sz w:val="22"/>
          <w:szCs w:val="22"/>
        </w:rPr>
        <w:t xml:space="preserve">Ensure ADA-compliant telehealth access (captioning, screen reader compatibility, large text options).</w:t>
      </w:r>
    </w:p>
    <w:p>
      <w:pPr>
        <w:pStyle w:val="ListParagraph"/>
        <w:numPr>
          <w:ilvl w:val="0"/>
          <w:numId w:val="2"/>
        </w:numPr>
        <w:spacing w:after="80"/>
      </w:pPr>
      <w:r>
        <w:rPr>
          <w:rFonts w:ascii="Arial" w:cs="Arial" w:eastAsia="Arial" w:hAnsi="Arial"/>
          <w:color w:val="595959"/>
          <w:sz w:val="22"/>
          <w:szCs w:val="22"/>
        </w:rPr>
        <w:t xml:space="preserve">Verify patient geographic location for interstate telehealth compliance.</w:t>
      </w:r>
    </w:p>
    <w:p>
      <w:pPr>
        <w:pStyle w:val="ListParagraph"/>
        <w:numPr>
          <w:ilvl w:val="0"/>
          <w:numId w:val="2"/>
        </w:numPr>
        <w:spacing w:after="80"/>
      </w:pPr>
      <w:r>
        <w:rPr>
          <w:rFonts w:ascii="Arial" w:cs="Arial" w:eastAsia="Arial" w:hAnsi="Arial"/>
          <w:color w:val="595959"/>
          <w:sz w:val="22"/>
          <w:szCs w:val="22"/>
        </w:rPr>
        <w:t xml:space="preserve">Send post-visit satisfaction surveys specific to the telehealth experience.</w:t>
      </w:r>
    </w:p>
    <w:p>
      <w:pPr>
        <w:pStyle w:val="ListParagraph"/>
        <w:numPr>
          <w:ilvl w:val="0"/>
          <w:numId w:val="2"/>
        </w:numPr>
        <w:spacing w:after="80"/>
      </w:pPr>
      <w:r>
        <w:rPr>
          <w:rFonts w:ascii="Arial" w:cs="Arial" w:eastAsia="Arial" w:hAnsi="Arial"/>
          <w:color w:val="595959"/>
          <w:sz w:val="22"/>
          <w:szCs w:val="22"/>
        </w:rPr>
        <w:t xml:space="preserve">Track bandwidth-related quality issues by patient location to inform infrastructure recommendations.</w:t>
      </w:r>
    </w:p>
    <w:p>
      <w:pPr>
        <w:pStyle w:val="ListParagraph"/>
        <w:numPr>
          <w:ilvl w:val="0"/>
          <w:numId w:val="2"/>
        </w:numPr>
        <w:spacing w:after="80"/>
      </w:pPr>
      <w:r>
        <w:rPr>
          <w:rFonts w:ascii="Arial" w:cs="Arial" w:eastAsia="Arial" w:hAnsi="Arial"/>
          <w:color w:val="595959"/>
          <w:sz w:val="22"/>
          <w:szCs w:val="22"/>
        </w:rPr>
        <w:t xml:space="preserve">Support remote patient monitoring (RPM) device onboarding and data transmission troubleshooting.</w:t>
      </w:r>
    </w:p>
    <w:p>
      <w:pPr>
        <w:pStyle w:val="ListParagraph"/>
        <w:numPr>
          <w:ilvl w:val="0"/>
          <w:numId w:val="2"/>
        </w:numPr>
        <w:spacing w:after="80"/>
      </w:pPr>
      <w:r>
        <w:rPr>
          <w:rFonts w:ascii="Arial" w:cs="Arial" w:eastAsia="Arial" w:hAnsi="Arial"/>
          <w:color w:val="595959"/>
          <w:sz w:val="22"/>
          <w:szCs w:val="22"/>
        </w:rPr>
        <w:t xml:space="preserve">Generate monthly telehealth ROI analysis comparing virtual vs. in-person visit costs and outcomes.</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Telehealth Platform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Zoom for Healthcare, Amwell, Teladoc, Epic Video Visit, Doxy.me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Visit facilitation, waiting room management, technical 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Cerner (telehealth modules)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Visit scheduling, documentation templates, e-prescribing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Remote Monitoring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Biobeat, Vivify Health, Health Recovery Solutions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RPM device management, data ingestion, alert 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Twilio, RingCentral, in-platform chat, phone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support calls, technical assistance, pre-visit outreach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telehealth platform analytics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Utilization dashboards, quality metrics, ROI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IT Service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ServiceNow, Jira Service Management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Escalation ticketing, platform issue tracking, change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Interpretation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LanguageLine, Stratus Video, in-platform interpreter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interpretation integration for multilingual virtual visits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Engagement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portal, Luma Health, automated messaging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Pre-visit instructions, technology readiness outreach, surveys</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Demographics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patient identity and location; no access to clinical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Appointment Schedules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Schedule and manage telehealth visits; cannot modify in-person schedules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Telehealth Platform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connection quality data, session logs for troubleshooting; no recording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Technical Support Tickets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Create and resolve support tickets for telehealth issues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Utilization Analytics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Generate and modify telehealth utilization reports and dashboards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 to clinical visit documentation or patient medical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Provider Credentials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provider state licensure for interstate telehealth compliance only</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Provides real-time voice guidance to patients struggling with technology during virtual visit setup. Conducts video-based walkthroughs for elderly patients learning to use the telehealth platform. Participates in provider training sessions on telehealth best practices.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Provides live chat support during virtual visits for quick technical fixes. Sends automated pre-visit technology check reminders. Communicates platform status updates during outages.</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weekly telehealth utilization reports to leadership. Sends post-visit survey results to department directors. Communicates platform updates and new feature announcements to providers.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Elderly Patient First-Time Telehealth Setup</w:t>
      </w:r>
    </w:p>
    <w:p>
      <w:pPr>
        <w:pStyle w:val="ListParagraph"/>
        <w:numPr>
          <w:ilvl w:val="0"/>
          <w:numId w:val="2"/>
        </w:numPr>
        <w:spacing w:after="80"/>
      </w:pPr>
      <w:r>
        <w:rPr>
          <w:rFonts w:ascii="Arial" w:cs="Arial" w:eastAsia="Arial" w:hAnsi="Arial"/>
          <w:color w:val="595959"/>
          <w:sz w:val="22"/>
          <w:szCs w:val="22"/>
        </w:rPr>
        <w:t xml:space="preserve">Step 1: Receive notification that 78-year-old patient has a telehealth cardiology follow-up scheduled in 48 hours (first virtual visit).</w:t>
      </w:r>
    </w:p>
    <w:p>
      <w:pPr>
        <w:pStyle w:val="ListParagraph"/>
        <w:numPr>
          <w:ilvl w:val="0"/>
          <w:numId w:val="2"/>
        </w:numPr>
        <w:spacing w:after="80"/>
      </w:pPr>
      <w:r>
        <w:rPr>
          <w:rFonts w:ascii="Arial" w:cs="Arial" w:eastAsia="Arial" w:hAnsi="Arial"/>
          <w:color w:val="595959"/>
          <w:sz w:val="22"/>
          <w:szCs w:val="22"/>
        </w:rPr>
        <w:t xml:space="preserve">Step 2: Send automated pre-visit preparation text/email with simplified instructions and technology check link.</w:t>
      </w:r>
    </w:p>
    <w:p>
      <w:pPr>
        <w:pStyle w:val="ListParagraph"/>
        <w:numPr>
          <w:ilvl w:val="0"/>
          <w:numId w:val="2"/>
        </w:numPr>
        <w:spacing w:after="80"/>
      </w:pPr>
      <w:r>
        <w:rPr>
          <w:rFonts w:ascii="Arial" w:cs="Arial" w:eastAsia="Arial" w:hAnsi="Arial"/>
          <w:color w:val="595959"/>
          <w:sz w:val="22"/>
          <w:szCs w:val="22"/>
        </w:rPr>
        <w:t xml:space="preserve">Step 3: Patient does not complete technology check within 24 hours. Initiate proactive phone call.</w:t>
      </w:r>
    </w:p>
    <w:p>
      <w:pPr>
        <w:pStyle w:val="ListParagraph"/>
        <w:numPr>
          <w:ilvl w:val="0"/>
          <w:numId w:val="2"/>
        </w:numPr>
        <w:spacing w:after="80"/>
      </w:pPr>
      <w:r>
        <w:rPr>
          <w:rFonts w:ascii="Arial" w:cs="Arial" w:eastAsia="Arial" w:hAnsi="Arial"/>
          <w:color w:val="595959"/>
          <w:sz w:val="22"/>
          <w:szCs w:val="22"/>
        </w:rPr>
        <w:t xml:space="preserve">Step 4: Call patient and assess technology availability: patient has an iPad but has never used video calling.</w:t>
      </w:r>
    </w:p>
    <w:p>
      <w:pPr>
        <w:pStyle w:val="ListParagraph"/>
        <w:numPr>
          <w:ilvl w:val="0"/>
          <w:numId w:val="2"/>
        </w:numPr>
        <w:spacing w:after="80"/>
      </w:pPr>
      <w:r>
        <w:rPr>
          <w:rFonts w:ascii="Arial" w:cs="Arial" w:eastAsia="Arial" w:hAnsi="Arial"/>
          <w:color w:val="595959"/>
          <w:sz w:val="22"/>
          <w:szCs w:val="22"/>
        </w:rPr>
        <w:t xml:space="preserve">Step 5: Guide patient through downloading the telehealth app: ‘Touch the blue App Store icon on your home screen...’ (step-by-step, patient-pace).</w:t>
      </w:r>
    </w:p>
    <w:p>
      <w:pPr>
        <w:pStyle w:val="ListParagraph"/>
        <w:numPr>
          <w:ilvl w:val="0"/>
          <w:numId w:val="2"/>
        </w:numPr>
        <w:spacing w:after="80"/>
      </w:pPr>
      <w:r>
        <w:rPr>
          <w:rFonts w:ascii="Arial" w:cs="Arial" w:eastAsia="Arial" w:hAnsi="Arial"/>
          <w:color w:val="595959"/>
          <w:sz w:val="22"/>
          <w:szCs w:val="22"/>
        </w:rPr>
        <w:t xml:space="preserve">Step 6: Walk patient through account creation: name, date of birth, creating a password (offer to help choose a memorable one).</w:t>
      </w:r>
    </w:p>
    <w:p>
      <w:pPr>
        <w:pStyle w:val="ListParagraph"/>
        <w:numPr>
          <w:ilvl w:val="0"/>
          <w:numId w:val="2"/>
        </w:numPr>
        <w:spacing w:after="80"/>
      </w:pPr>
      <w:r>
        <w:rPr>
          <w:rFonts w:ascii="Arial" w:cs="Arial" w:eastAsia="Arial" w:hAnsi="Arial"/>
          <w:color w:val="595959"/>
          <w:sz w:val="22"/>
          <w:szCs w:val="22"/>
        </w:rPr>
        <w:t xml:space="preserve">Step 7: Conduct test video call with patient. Verify camera and microphone working. Coach patient on positioning (face centered, good lighting).</w:t>
      </w:r>
    </w:p>
    <w:p>
      <w:pPr>
        <w:pStyle w:val="ListParagraph"/>
        <w:numPr>
          <w:ilvl w:val="0"/>
          <w:numId w:val="2"/>
        </w:numPr>
        <w:spacing w:after="80"/>
      </w:pPr>
      <w:r>
        <w:rPr>
          <w:rFonts w:ascii="Arial" w:cs="Arial" w:eastAsia="Arial" w:hAnsi="Arial"/>
          <w:color w:val="595959"/>
          <w:sz w:val="22"/>
          <w:szCs w:val="22"/>
        </w:rPr>
        <w:t xml:space="preserve">Step 8: Explain what to expect during the visit: virtual waiting room, doctor will appear on screen, how to speak and listen.</w:t>
      </w:r>
    </w:p>
    <w:p>
      <w:pPr>
        <w:pStyle w:val="ListParagraph"/>
        <w:numPr>
          <w:ilvl w:val="0"/>
          <w:numId w:val="2"/>
        </w:numPr>
        <w:spacing w:after="80"/>
      </w:pPr>
      <w:r>
        <w:rPr>
          <w:rFonts w:ascii="Arial" w:cs="Arial" w:eastAsia="Arial" w:hAnsi="Arial"/>
          <w:color w:val="595959"/>
          <w:sz w:val="22"/>
          <w:szCs w:val="22"/>
        </w:rPr>
        <w:t xml:space="preserve">Step 9: Set reminder for patient 1 hour before appointment with one-touch link to join the visit.</w:t>
      </w:r>
    </w:p>
    <w:p>
      <w:pPr>
        <w:pStyle w:val="ListParagraph"/>
        <w:numPr>
          <w:ilvl w:val="0"/>
          <w:numId w:val="2"/>
        </w:numPr>
        <w:spacing w:after="80"/>
      </w:pPr>
      <w:r>
        <w:rPr>
          <w:rFonts w:ascii="Arial" w:cs="Arial" w:eastAsia="Arial" w:hAnsi="Arial"/>
          <w:color w:val="595959"/>
          <w:sz w:val="22"/>
          <w:szCs w:val="22"/>
        </w:rPr>
        <w:t xml:space="preserve">Step 10: On visit day, monitor virtual waiting room. If patient does not join within 5 minutes of appointment time, place proactive call to assist.</w:t>
      </w:r>
    </w:p>
    <w:p>
      <w:pPr>
        <w:pStyle w:val="ListParagraph"/>
        <w:numPr>
          <w:ilvl w:val="0"/>
          <w:numId w:val="2"/>
        </w:numPr>
        <w:spacing w:after="80"/>
      </w:pPr>
      <w:r>
        <w:rPr>
          <w:rFonts w:ascii="Arial" w:cs="Arial" w:eastAsia="Arial" w:hAnsi="Arial"/>
          <w:color w:val="595959"/>
          <w:sz w:val="22"/>
          <w:szCs w:val="22"/>
        </w:rPr>
        <w:t xml:space="preserve">Step 11: After successful visit, send follow-up message congratulating patient and offering help for future visits.</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Virtual Visit Completion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92% of scheduled telehealth visits successfully completed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Completed visits / scheduled telehealth visits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Technical Failure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3% of visits experiencing technology-related failure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Failed connections / total visit attempts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Pre-Visit Tech Check Completion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80% of patients complete tech check before visit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Tech check completions / scheduled visits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Satisfaction (Telehealth)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4.4/5.0 for telehealth experience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Post-visit telehealth satisfaction survey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Support Response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2 minutes for real-time support during visits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Support request to first response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First-Time User Success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85% of first-time telehealth users successfully complete visit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First-visit completions / first-visit attempts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Provider Adoption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90% of eligible providers conducting telehealth visits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Active telehealth providers / eligible providers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RPM Device Onboarding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48 hours from order to data transmission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Order date to first successful reading</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Rural Health System</w:t>
      </w:r>
    </w:p>
    <w:p>
      <w:pPr>
        <w:spacing w:after="120"/>
      </w:pPr>
      <w:r>
        <w:rPr>
          <w:rFonts w:ascii="Arial" w:cs="Arial" w:eastAsia="Arial" w:hAnsi="Arial"/>
          <w:color w:val="595959"/>
          <w:sz w:val="22"/>
          <w:szCs w:val="22"/>
        </w:rPr>
        <w:t xml:space="preserve">A rural health system serving patients across a 100-mile radius deploys the Telehealth Support Agent AI to support its rapidly expanding virtual care program. The AI assists 500+ patients monthly with first-time telehealth setup, achieving 88% first-attempt success rate for elderly patients (up from 52% without support). Virtual visit no-show rates drop from 18% to 6%, and the system avoids an estimated 15,000 patient driving miles monthly.</w:t>
      </w:r>
    </w:p>
    <w:p>
      <w:pPr>
        <w:pStyle w:val="Heading3"/>
        <w:spacing w:after="120" w:before="240"/>
      </w:pPr>
      <w:r>
        <w:rPr>
          <w:rFonts w:ascii="Arial" w:cs="Arial" w:eastAsia="Arial" w:hAnsi="Arial"/>
          <w:b/>
          <w:bCs/>
          <w:color w:val="2E75B6"/>
          <w:sz w:val="24"/>
          <w:szCs w:val="24"/>
        </w:rPr>
        <w:t xml:space="preserve">Use Case 2: Behavioral Health Practice</w:t>
      </w:r>
    </w:p>
    <w:p>
      <w:pPr>
        <w:spacing w:after="120"/>
      </w:pPr>
      <w:r>
        <w:rPr>
          <w:rFonts w:ascii="Arial" w:cs="Arial" w:eastAsia="Arial" w:hAnsi="Arial"/>
          <w:color w:val="595959"/>
          <w:sz w:val="22"/>
          <w:szCs w:val="22"/>
        </w:rPr>
        <w:t xml:space="preserve">A behavioral health practice conducting 80% of visits via telehealth uses the AI to provide seamless technical support that maintains therapeutic continuity. When technical issues arise mid-session, the AI resolves 95% within 2 minutes without the patient needing to call back separately, preserving the therapeutic relationship and session time.</w:t>
      </w:r>
    </w:p>
    <w:p>
      <w:pPr>
        <w:pStyle w:val="Heading3"/>
        <w:spacing w:after="120" w:before="240"/>
      </w:pPr>
      <w:r>
        <w:rPr>
          <w:rFonts w:ascii="Arial" w:cs="Arial" w:eastAsia="Arial" w:hAnsi="Arial"/>
          <w:b/>
          <w:bCs/>
          <w:color w:val="2E75B6"/>
          <w:sz w:val="24"/>
          <w:szCs w:val="24"/>
        </w:rPr>
        <w:t xml:space="preserve">Use Case 3: Pediatric Hospital</w:t>
      </w:r>
    </w:p>
    <w:p>
      <w:pPr>
        <w:spacing w:after="120"/>
      </w:pPr>
      <w:r>
        <w:rPr>
          <w:rFonts w:ascii="Arial" w:cs="Arial" w:eastAsia="Arial" w:hAnsi="Arial"/>
          <w:color w:val="595959"/>
          <w:sz w:val="22"/>
          <w:szCs w:val="22"/>
        </w:rPr>
        <w:t xml:space="preserve">A children’s hospital deploys the AI to support telehealth visits for pediatric subspecialties. The AI coordinates multi-party video visits (patient/parent at home, specialist at main campus, referring pediatrician at community clinic), manages interpreter integration for 30% of families requiring language services, and supports remote patient monitoring for 200 children with chronic conditions.</w:t>
      </w:r>
    </w:p>
    <w:p>
      <w:r>
        <w:br w:type="page"/>
      </w:r>
    </w:p>
    <w:p>
      <w:pPr>
        <w:pStyle w:val="Heading1"/>
        <w:spacing w:after="200" w:before="360"/>
      </w:pPr>
      <w:r>
        <w:rPr>
          <w:rFonts w:ascii="Arial" w:cs="Arial" w:eastAsia="Arial" w:hAnsi="Arial"/>
          <w:b/>
          <w:bCs/>
          <w:color w:val="2E75B6"/>
          <w:sz w:val="32"/>
          <w:szCs w:val="32"/>
        </w:rPr>
        <w:t xml:space="preserve">Role 10: Health Information Manager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Health Information Manager AI</w:t>
      </w:r>
    </w:p>
    <w:p>
      <w:pPr>
        <w:spacing w:after="120"/>
      </w:pPr>
      <w:r>
        <w:rPr>
          <w:rFonts w:ascii="Arial" w:cs="Arial" w:eastAsia="Arial" w:hAnsi="Arial"/>
          <w:color w:val="595959"/>
          <w:sz w:val="22"/>
          <w:szCs w:val="22"/>
        </w:rPr>
        <w:t xml:space="preserve">Department: Health Information Management (HIM)</w:t>
      </w:r>
    </w:p>
    <w:p>
      <w:pPr>
        <w:spacing w:after="120"/>
      </w:pPr>
      <w:r>
        <w:rPr>
          <w:rFonts w:ascii="Arial" w:cs="Arial" w:eastAsia="Arial" w:hAnsi="Arial"/>
          <w:color w:val="595959"/>
          <w:sz w:val="22"/>
          <w:szCs w:val="22"/>
        </w:rPr>
        <w:t xml:space="preserve">Reports To: Chief Information Officer (CIO) or VP of HIM</w:t>
      </w:r>
    </w:p>
    <w:p>
      <w:pPr>
        <w:spacing w:after="120"/>
      </w:pPr>
      <w:r>
        <w:rPr>
          <w:rFonts w:ascii="Arial" w:cs="Arial" w:eastAsia="Arial" w:hAnsi="Arial"/>
          <w:color w:val="595959"/>
          <w:sz w:val="22"/>
          <w:szCs w:val="22"/>
        </w:rPr>
        <w:t xml:space="preserve">Seniority Level: Senior</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Health Information Manager AI oversees the strategic management of health information across the organization, ensuring data governance, coding quality, information lifecycle management, and regulatory compliance with health information standards. This senior-level role goes beyond the operational medical records management (handled by the Medical Records Coordinator AI) to focus on enterprise-level data governance, coding program management, HIM department operations, and strategic information management initiatives.</w:t>
      </w:r>
    </w:p>
    <w:p>
      <w:pPr>
        <w:spacing w:after="120"/>
      </w:pPr>
      <w:r>
        <w:rPr>
          <w:rFonts w:ascii="Arial" w:cs="Arial" w:eastAsia="Arial" w:hAnsi="Arial"/>
          <w:color w:val="595959"/>
          <w:sz w:val="22"/>
          <w:szCs w:val="22"/>
        </w:rPr>
        <w:t xml:space="preserve">As healthcare increasingly depends on data for clinical decision support, population health management, research, and value-based payment models, the quality and governance of health information has become a critical organizational priority. The Health Information Manager AI ensures that the organization’s health data is accurate, complete, accessible, secure, and compliant with all applicable standards and regulations.</w:t>
      </w:r>
    </w:p>
    <w:p>
      <w:pPr>
        <w:spacing w:after="120"/>
      </w:pPr>
      <w:r>
        <w:rPr>
          <w:rFonts w:ascii="Arial" w:cs="Arial" w:eastAsia="Arial" w:hAnsi="Arial"/>
          <w:color w:val="595959"/>
          <w:sz w:val="22"/>
          <w:szCs w:val="22"/>
        </w:rPr>
        <w:t xml:space="preserve">This role requires comprehensive knowledge of health information management principles (AHIMA Body of Knowledge), coding classification systems (ICD-10-CM/PCS, CPT, HCPCS, SNOMED CT, LOINC), data governance frameworks, health information exchange (HIE) standards, and the evolving regulatory landscape of healthcare information management including the 21st Century Cures Act information blocking provisions and TEFCA framework.</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Data Governance: </w:t>
      </w:r>
      <w:r>
        <w:rPr>
          <w:rFonts w:ascii="Arial" w:cs="Arial" w:eastAsia="Arial" w:hAnsi="Arial"/>
          <w:color w:val="595959"/>
          <w:sz w:val="22"/>
          <w:szCs w:val="22"/>
        </w:rPr>
        <w:t xml:space="preserve">Establish and maintain data quality standards across the organization. Define data ownership, stewardship, and accountability for key data domains. Monitor data quality metrics (completeness, accuracy, consistency, timeliness). Coordinate data governance committee activities. Manage master data management for critical entities (patients, providers, locations, payers).</w:t>
      </w:r>
    </w:p>
    <w:p>
      <w:pPr>
        <w:pStyle w:val="ListParagraph"/>
        <w:numPr>
          <w:ilvl w:val="0"/>
          <w:numId w:val="2"/>
        </w:numPr>
        <w:spacing w:after="80"/>
      </w:pPr>
      <w:r>
        <w:rPr>
          <w:rFonts w:ascii="Arial" w:cs="Arial" w:eastAsia="Arial" w:hAnsi="Arial"/>
          <w:b/>
          <w:bCs/>
          <w:color w:val="595959"/>
          <w:sz w:val="22"/>
          <w:szCs w:val="22"/>
        </w:rPr>
        <w:t xml:space="preserve">Coding Program Management: </w:t>
      </w:r>
      <w:r>
        <w:rPr>
          <w:rFonts w:ascii="Arial" w:cs="Arial" w:eastAsia="Arial" w:hAnsi="Arial"/>
          <w:color w:val="595959"/>
          <w:sz w:val="22"/>
          <w:szCs w:val="22"/>
        </w:rPr>
        <w:t xml:space="preserve">Oversee coding quality and accuracy across inpatient and outpatient coding teams. Manage coder productivity and quality metrics. Coordinate annual ICD-10 and CPT code updates. Conduct coding audits and provide education on findings. Ensure coding compliance with Official Coding Guidelines and payer-specific requirements.</w:t>
      </w:r>
    </w:p>
    <w:p>
      <w:pPr>
        <w:pStyle w:val="ListParagraph"/>
        <w:numPr>
          <w:ilvl w:val="0"/>
          <w:numId w:val="2"/>
        </w:numPr>
        <w:spacing w:after="80"/>
      </w:pPr>
      <w:r>
        <w:rPr>
          <w:rFonts w:ascii="Arial" w:cs="Arial" w:eastAsia="Arial" w:hAnsi="Arial"/>
          <w:b/>
          <w:bCs/>
          <w:color w:val="595959"/>
          <w:sz w:val="22"/>
          <w:szCs w:val="22"/>
        </w:rPr>
        <w:t xml:space="preserve">Health Information Exchange: </w:t>
      </w:r>
      <w:r>
        <w:rPr>
          <w:rFonts w:ascii="Arial" w:cs="Arial" w:eastAsia="Arial" w:hAnsi="Arial"/>
          <w:color w:val="595959"/>
          <w:sz w:val="22"/>
          <w:szCs w:val="22"/>
        </w:rPr>
        <w:t xml:space="preserve">Manage organizational participation in health information exchanges (HIE). Ensure interoperability standards compliance (HL7 FHIR, C-CDA, USCDI). Coordinate data sharing agreements with partner organizations. Monitor 21st Century Cures Act information blocking compliance.</w:t>
      </w:r>
    </w:p>
    <w:p>
      <w:pPr>
        <w:pStyle w:val="ListParagraph"/>
        <w:numPr>
          <w:ilvl w:val="0"/>
          <w:numId w:val="2"/>
        </w:numPr>
        <w:spacing w:after="80"/>
      </w:pPr>
      <w:r>
        <w:rPr>
          <w:rFonts w:ascii="Arial" w:cs="Arial" w:eastAsia="Arial" w:hAnsi="Arial"/>
          <w:b/>
          <w:bCs/>
          <w:color w:val="595959"/>
          <w:sz w:val="22"/>
          <w:szCs w:val="22"/>
        </w:rPr>
        <w:t xml:space="preserve">Department Operations: </w:t>
      </w:r>
      <w:r>
        <w:rPr>
          <w:rFonts w:ascii="Arial" w:cs="Arial" w:eastAsia="Arial" w:hAnsi="Arial"/>
          <w:color w:val="595959"/>
          <w:sz w:val="22"/>
          <w:szCs w:val="22"/>
        </w:rPr>
        <w:t xml:space="preserve">Manage HIM department productivity, staffing, and quality metrics. Optimize HIM workflows using technology and process improvement. Track department KPIs including coding accuracy, turnaround time, query response rates, and ROI timeliness. Support HIM staff professional development and certification maintenance.</w:t>
      </w:r>
    </w:p>
    <w:p>
      <w:pPr>
        <w:pStyle w:val="ListParagraph"/>
        <w:numPr>
          <w:ilvl w:val="0"/>
          <w:numId w:val="2"/>
        </w:numPr>
        <w:spacing w:after="80"/>
      </w:pPr>
      <w:r>
        <w:rPr>
          <w:rFonts w:ascii="Arial" w:cs="Arial" w:eastAsia="Arial" w:hAnsi="Arial"/>
          <w:b/>
          <w:bCs/>
          <w:color w:val="595959"/>
          <w:sz w:val="22"/>
          <w:szCs w:val="22"/>
        </w:rPr>
        <w:t xml:space="preserve">Strategic Planning: </w:t>
      </w:r>
      <w:r>
        <w:rPr>
          <w:rFonts w:ascii="Arial" w:cs="Arial" w:eastAsia="Arial" w:hAnsi="Arial"/>
          <w:color w:val="595959"/>
          <w:sz w:val="22"/>
          <w:szCs w:val="22"/>
        </w:rPr>
        <w:t xml:space="preserve">Contribute to organizational IT and data strategy. Evaluate emerging technologies (NLP for coding, AI-assisted CDI, blockchain for record integrity). Support population health data initiatives. Advise on data-related aspects of mergers, acquisitions, and system implementations.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Monitor coding accuracy rates across inpatient (target &gt; 95%) and outpatient (target &gt; 97%) coding.</w:t>
      </w:r>
    </w:p>
    <w:p>
      <w:pPr>
        <w:pStyle w:val="ListParagraph"/>
        <w:numPr>
          <w:ilvl w:val="0"/>
          <w:numId w:val="2"/>
        </w:numPr>
        <w:spacing w:after="80"/>
      </w:pPr>
      <w:r>
        <w:rPr>
          <w:rFonts w:ascii="Arial" w:cs="Arial" w:eastAsia="Arial" w:hAnsi="Arial"/>
          <w:color w:val="595959"/>
          <w:sz w:val="22"/>
          <w:szCs w:val="22"/>
        </w:rPr>
        <w:t xml:space="preserve">Track Case Mix Index (CMI) trends and identify coding opportunities or compliance risks.</w:t>
      </w:r>
    </w:p>
    <w:p>
      <w:pPr>
        <w:pStyle w:val="ListParagraph"/>
        <w:numPr>
          <w:ilvl w:val="0"/>
          <w:numId w:val="2"/>
        </w:numPr>
        <w:spacing w:after="80"/>
      </w:pPr>
      <w:r>
        <w:rPr>
          <w:rFonts w:ascii="Arial" w:cs="Arial" w:eastAsia="Arial" w:hAnsi="Arial"/>
          <w:color w:val="595959"/>
          <w:sz w:val="22"/>
          <w:szCs w:val="22"/>
        </w:rPr>
        <w:t xml:space="preserve">Generate monthly HIM department dashboard with productivity, quality, and turnaround time metrics.</w:t>
      </w:r>
    </w:p>
    <w:p>
      <w:pPr>
        <w:pStyle w:val="ListParagraph"/>
        <w:numPr>
          <w:ilvl w:val="0"/>
          <w:numId w:val="2"/>
        </w:numPr>
        <w:spacing w:after="80"/>
      </w:pPr>
      <w:r>
        <w:rPr>
          <w:rFonts w:ascii="Arial" w:cs="Arial" w:eastAsia="Arial" w:hAnsi="Arial"/>
          <w:color w:val="595959"/>
          <w:sz w:val="22"/>
          <w:szCs w:val="22"/>
        </w:rPr>
        <w:t xml:space="preserve">Manage annual ICD-10 code update implementation (October 1) including training, system updates, and testing.</w:t>
      </w:r>
    </w:p>
    <w:p>
      <w:pPr>
        <w:pStyle w:val="ListParagraph"/>
        <w:numPr>
          <w:ilvl w:val="0"/>
          <w:numId w:val="2"/>
        </w:numPr>
        <w:spacing w:after="80"/>
      </w:pPr>
      <w:r>
        <w:rPr>
          <w:rFonts w:ascii="Arial" w:cs="Arial" w:eastAsia="Arial" w:hAnsi="Arial"/>
          <w:color w:val="595959"/>
          <w:sz w:val="22"/>
          <w:szCs w:val="22"/>
        </w:rPr>
        <w:t xml:space="preserve">Coordinate quarterly coding audits (minimum 20 records per coder) with findings and education.</w:t>
      </w:r>
    </w:p>
    <w:p>
      <w:pPr>
        <w:pStyle w:val="ListParagraph"/>
        <w:numPr>
          <w:ilvl w:val="0"/>
          <w:numId w:val="2"/>
        </w:numPr>
        <w:spacing w:after="80"/>
      </w:pPr>
      <w:r>
        <w:rPr>
          <w:rFonts w:ascii="Arial" w:cs="Arial" w:eastAsia="Arial" w:hAnsi="Arial"/>
          <w:color w:val="595959"/>
          <w:sz w:val="22"/>
          <w:szCs w:val="22"/>
        </w:rPr>
        <w:t xml:space="preserve">Monitor data quality across key domains: patient demographics, diagnosis coding, procedure coding, and provider attribution.</w:t>
      </w:r>
    </w:p>
    <w:p>
      <w:pPr>
        <w:pStyle w:val="ListParagraph"/>
        <w:numPr>
          <w:ilvl w:val="0"/>
          <w:numId w:val="2"/>
        </w:numPr>
        <w:spacing w:after="80"/>
      </w:pPr>
      <w:r>
        <w:rPr>
          <w:rFonts w:ascii="Arial" w:cs="Arial" w:eastAsia="Arial" w:hAnsi="Arial"/>
          <w:color w:val="595959"/>
          <w:sz w:val="22"/>
          <w:szCs w:val="22"/>
        </w:rPr>
        <w:t xml:space="preserve">Track health information exchange query volumes, response rates, and data quality metrics.</w:t>
      </w:r>
    </w:p>
    <w:p>
      <w:pPr>
        <w:pStyle w:val="ListParagraph"/>
        <w:numPr>
          <w:ilvl w:val="0"/>
          <w:numId w:val="2"/>
        </w:numPr>
        <w:spacing w:after="80"/>
      </w:pPr>
      <w:r>
        <w:rPr>
          <w:rFonts w:ascii="Arial" w:cs="Arial" w:eastAsia="Arial" w:hAnsi="Arial"/>
          <w:color w:val="595959"/>
          <w:sz w:val="22"/>
          <w:szCs w:val="22"/>
        </w:rPr>
        <w:t xml:space="preserve">Manage clinical documentation improvement (CDI) program metrics and physician query response rates.</w:t>
      </w:r>
    </w:p>
    <w:p>
      <w:pPr>
        <w:pStyle w:val="ListParagraph"/>
        <w:numPr>
          <w:ilvl w:val="0"/>
          <w:numId w:val="2"/>
        </w:numPr>
        <w:spacing w:after="80"/>
      </w:pPr>
      <w:r>
        <w:rPr>
          <w:rFonts w:ascii="Arial" w:cs="Arial" w:eastAsia="Arial" w:hAnsi="Arial"/>
          <w:color w:val="595959"/>
          <w:sz w:val="22"/>
          <w:szCs w:val="22"/>
        </w:rPr>
        <w:t xml:space="preserve">Generate CMI impact analysis for DRG shifts and coding pattern changes.</w:t>
      </w:r>
    </w:p>
    <w:p>
      <w:pPr>
        <w:pStyle w:val="ListParagraph"/>
        <w:numPr>
          <w:ilvl w:val="0"/>
          <w:numId w:val="2"/>
        </w:numPr>
        <w:spacing w:after="80"/>
      </w:pPr>
      <w:r>
        <w:rPr>
          <w:rFonts w:ascii="Arial" w:cs="Arial" w:eastAsia="Arial" w:hAnsi="Arial"/>
          <w:color w:val="595959"/>
          <w:sz w:val="22"/>
          <w:szCs w:val="22"/>
        </w:rPr>
        <w:t xml:space="preserve">Coordinate data governance committee meetings with agenda preparation and action item tracking.</w:t>
      </w:r>
    </w:p>
    <w:p>
      <w:pPr>
        <w:pStyle w:val="ListParagraph"/>
        <w:numPr>
          <w:ilvl w:val="0"/>
          <w:numId w:val="2"/>
        </w:numPr>
        <w:spacing w:after="80"/>
      </w:pPr>
      <w:r>
        <w:rPr>
          <w:rFonts w:ascii="Arial" w:cs="Arial" w:eastAsia="Arial" w:hAnsi="Arial"/>
          <w:color w:val="595959"/>
          <w:sz w:val="22"/>
          <w:szCs w:val="22"/>
        </w:rPr>
        <w:t xml:space="preserve">Monitor 21st Century Cures Act compliance for information sharing and patient access requirements.</w:t>
      </w:r>
    </w:p>
    <w:p>
      <w:pPr>
        <w:pStyle w:val="ListParagraph"/>
        <w:numPr>
          <w:ilvl w:val="0"/>
          <w:numId w:val="2"/>
        </w:numPr>
        <w:spacing w:after="80"/>
      </w:pPr>
      <w:r>
        <w:rPr>
          <w:rFonts w:ascii="Arial" w:cs="Arial" w:eastAsia="Arial" w:hAnsi="Arial"/>
          <w:color w:val="595959"/>
          <w:sz w:val="22"/>
          <w:szCs w:val="22"/>
        </w:rPr>
        <w:t xml:space="preserve">Track HIM staff certification status and continuing education credit requirements.</w:t>
      </w:r>
    </w:p>
    <w:p>
      <w:pPr>
        <w:pStyle w:val="ListParagraph"/>
        <w:numPr>
          <w:ilvl w:val="0"/>
          <w:numId w:val="2"/>
        </w:numPr>
        <w:spacing w:after="80"/>
      </w:pPr>
      <w:r>
        <w:rPr>
          <w:rFonts w:ascii="Arial" w:cs="Arial" w:eastAsia="Arial" w:hAnsi="Arial"/>
          <w:color w:val="595959"/>
          <w:sz w:val="22"/>
          <w:szCs w:val="22"/>
        </w:rPr>
        <w:t xml:space="preserve">Analyze EHR documentation quality and recommend template improvements for clinical departments.</w:t>
      </w:r>
    </w:p>
    <w:p>
      <w:pPr>
        <w:pStyle w:val="ListParagraph"/>
        <w:numPr>
          <w:ilvl w:val="0"/>
          <w:numId w:val="2"/>
        </w:numPr>
        <w:spacing w:after="80"/>
      </w:pPr>
      <w:r>
        <w:rPr>
          <w:rFonts w:ascii="Arial" w:cs="Arial" w:eastAsia="Arial" w:hAnsi="Arial"/>
          <w:color w:val="595959"/>
          <w:sz w:val="22"/>
          <w:szCs w:val="22"/>
        </w:rPr>
        <w:t xml:space="preserve">Generate payer mix and case type analysis to support strategic planning and contract negotiations.</w:t>
      </w:r>
    </w:p>
    <w:p>
      <w:pPr>
        <w:pStyle w:val="ListParagraph"/>
        <w:numPr>
          <w:ilvl w:val="0"/>
          <w:numId w:val="2"/>
        </w:numPr>
        <w:spacing w:after="80"/>
      </w:pPr>
      <w:r>
        <w:rPr>
          <w:rFonts w:ascii="Arial" w:cs="Arial" w:eastAsia="Arial" w:hAnsi="Arial"/>
          <w:color w:val="595959"/>
          <w:sz w:val="22"/>
          <w:szCs w:val="22"/>
        </w:rPr>
        <w:t xml:space="preserve">Coordinate health information aspects of system implementations and EHR upgrades.</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EHR/CDI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Cerner, 3M 360 Encompass, Optum CDI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Documentation review, coding, CDI queries, record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Systems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3M CodeFinder, TruCode, Optum EncoderPro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Code assignment, validation, DRG optimization, edit resolution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HIE Platforms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CommonWell, Carequality, state HIE networks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exchange, query management, interoperability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Governance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Collibra, Informatica, Alation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catalog, quality monitoring, lineage tracking, stewardship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Epic Caboodle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HIM dashboards, CMI analysis, coding quality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Audit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MD Audit, nThrive, KIWI-TEK Audit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audit management, finding tracking, education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HIM Operations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3M ChartLocator, HealthPort, ROI platforms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Department workflow, productivity tracking, record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Secure email, Slack, EHR messaging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queries, department coordination, committee communications</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Coded Clinical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coding data; can review and validate code assignments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Review clinical documentation for coding accuracy and CDI purposes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HIM Department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management of HIM operational metrics, productivity, and quality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Governance Metadata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data definitions, quality rules, and governance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HIE Transaction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Monitor exchange volumes and data quality; limited to aggregate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Financial/CMI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CMI, DRG, and reimbursement data for coding impact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Findings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and track coding audit findings and corrective actions</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Presents HIM performance reports to leadership and medical staff committees. Conducts coding education sessions for clinical documentation improvement. Participates in data governance committee meetings.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CDI query notifications to physicians. Coordinates with coding staff on complex coding questions. Communicates ICD-10 update changes to affected departments.</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monthly HIM dashboards and CMI trend reports. Communicates coding audit findings and education materials. Sends data governance policy updates to data stewards.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Annual ICD-10 Code Update Implementation</w:t>
      </w:r>
    </w:p>
    <w:p>
      <w:pPr>
        <w:pStyle w:val="ListParagraph"/>
        <w:numPr>
          <w:ilvl w:val="0"/>
          <w:numId w:val="2"/>
        </w:numPr>
        <w:spacing w:after="80"/>
      </w:pPr>
      <w:r>
        <w:rPr>
          <w:rFonts w:ascii="Arial" w:cs="Arial" w:eastAsia="Arial" w:hAnsi="Arial"/>
          <w:color w:val="595959"/>
          <w:sz w:val="22"/>
          <w:szCs w:val="22"/>
        </w:rPr>
        <w:t xml:space="preserve">Step 1: CMS publishes annual ICD-10-CM/PCS code updates in June for October 1 implementation.</w:t>
      </w:r>
    </w:p>
    <w:p>
      <w:pPr>
        <w:pStyle w:val="ListParagraph"/>
        <w:numPr>
          <w:ilvl w:val="0"/>
          <w:numId w:val="2"/>
        </w:numPr>
        <w:spacing w:after="80"/>
      </w:pPr>
      <w:r>
        <w:rPr>
          <w:rFonts w:ascii="Arial" w:cs="Arial" w:eastAsia="Arial" w:hAnsi="Arial"/>
          <w:color w:val="595959"/>
          <w:sz w:val="22"/>
          <w:szCs w:val="22"/>
        </w:rPr>
        <w:t xml:space="preserve">Step 2: Download and analyze update files: identify new codes, deleted codes, revised codes, and guideline changes.</w:t>
      </w:r>
    </w:p>
    <w:p>
      <w:pPr>
        <w:pStyle w:val="ListParagraph"/>
        <w:numPr>
          <w:ilvl w:val="0"/>
          <w:numId w:val="2"/>
        </w:numPr>
        <w:spacing w:after="80"/>
      </w:pPr>
      <w:r>
        <w:rPr>
          <w:rFonts w:ascii="Arial" w:cs="Arial" w:eastAsia="Arial" w:hAnsi="Arial"/>
          <w:color w:val="595959"/>
          <w:sz w:val="22"/>
          <w:szCs w:val="22"/>
        </w:rPr>
        <w:t xml:space="preserve">Step 3: Map impacted codes to organizational utilization data to determine which changes affect the organization.</w:t>
      </w:r>
    </w:p>
    <w:p>
      <w:pPr>
        <w:pStyle w:val="ListParagraph"/>
        <w:numPr>
          <w:ilvl w:val="0"/>
          <w:numId w:val="2"/>
        </w:numPr>
        <w:spacing w:after="80"/>
      </w:pPr>
      <w:r>
        <w:rPr>
          <w:rFonts w:ascii="Arial" w:cs="Arial" w:eastAsia="Arial" w:hAnsi="Arial"/>
          <w:color w:val="595959"/>
          <w:sz w:val="22"/>
          <w:szCs w:val="22"/>
        </w:rPr>
        <w:t xml:space="preserve">Step 4: Assess CMI and DRG impact of coding changes using case-mix modeling tools.</w:t>
      </w:r>
    </w:p>
    <w:p>
      <w:pPr>
        <w:pStyle w:val="ListParagraph"/>
        <w:numPr>
          <w:ilvl w:val="0"/>
          <w:numId w:val="2"/>
        </w:numPr>
        <w:spacing w:after="80"/>
      </w:pPr>
      <w:r>
        <w:rPr>
          <w:rFonts w:ascii="Arial" w:cs="Arial" w:eastAsia="Arial" w:hAnsi="Arial"/>
          <w:color w:val="595959"/>
          <w:sz w:val="22"/>
          <w:szCs w:val="22"/>
        </w:rPr>
        <w:t xml:space="preserve">Step 5: Coordinate with IT to update code tables in EHR, encoder, CDI tools, and reporting systems.</w:t>
      </w:r>
    </w:p>
    <w:p>
      <w:pPr>
        <w:pStyle w:val="ListParagraph"/>
        <w:numPr>
          <w:ilvl w:val="0"/>
          <w:numId w:val="2"/>
        </w:numPr>
        <w:spacing w:after="80"/>
      </w:pPr>
      <w:r>
        <w:rPr>
          <w:rFonts w:ascii="Arial" w:cs="Arial" w:eastAsia="Arial" w:hAnsi="Arial"/>
          <w:color w:val="595959"/>
          <w:sz w:val="22"/>
          <w:szCs w:val="22"/>
        </w:rPr>
        <w:t xml:space="preserve">Step 6: Develop coder education materials for significant changes (new codes, guideline updates).</w:t>
      </w:r>
    </w:p>
    <w:p>
      <w:pPr>
        <w:pStyle w:val="ListParagraph"/>
        <w:numPr>
          <w:ilvl w:val="0"/>
          <w:numId w:val="2"/>
        </w:numPr>
        <w:spacing w:after="80"/>
      </w:pPr>
      <w:r>
        <w:rPr>
          <w:rFonts w:ascii="Arial" w:cs="Arial" w:eastAsia="Arial" w:hAnsi="Arial"/>
          <w:color w:val="595959"/>
          <w:sz w:val="22"/>
          <w:szCs w:val="22"/>
        </w:rPr>
        <w:t xml:space="preserve">Step 7: Conduct pre-implementation testing in EHR sandbox environment to verify code acceptance.</w:t>
      </w:r>
    </w:p>
    <w:p>
      <w:pPr>
        <w:pStyle w:val="ListParagraph"/>
        <w:numPr>
          <w:ilvl w:val="0"/>
          <w:numId w:val="2"/>
        </w:numPr>
        <w:spacing w:after="80"/>
      </w:pPr>
      <w:r>
        <w:rPr>
          <w:rFonts w:ascii="Arial" w:cs="Arial" w:eastAsia="Arial" w:hAnsi="Arial"/>
          <w:color w:val="595959"/>
          <w:sz w:val="22"/>
          <w:szCs w:val="22"/>
        </w:rPr>
        <w:t xml:space="preserve">Step 8: Deliver training sessions to coding staff, CDI specialists, and affected clinical departments.</w:t>
      </w:r>
    </w:p>
    <w:p>
      <w:pPr>
        <w:pStyle w:val="ListParagraph"/>
        <w:numPr>
          <w:ilvl w:val="0"/>
          <w:numId w:val="2"/>
        </w:numPr>
        <w:spacing w:after="80"/>
      </w:pPr>
      <w:r>
        <w:rPr>
          <w:rFonts w:ascii="Arial" w:cs="Arial" w:eastAsia="Arial" w:hAnsi="Arial"/>
          <w:color w:val="595959"/>
          <w:sz w:val="22"/>
          <w:szCs w:val="22"/>
        </w:rPr>
        <w:t xml:space="preserve">Step 9: Go-live October 1: monitor coding operations for implementation issues.</w:t>
      </w:r>
    </w:p>
    <w:p>
      <w:pPr>
        <w:pStyle w:val="ListParagraph"/>
        <w:numPr>
          <w:ilvl w:val="0"/>
          <w:numId w:val="2"/>
        </w:numPr>
        <w:spacing w:after="80"/>
      </w:pPr>
      <w:r>
        <w:rPr>
          <w:rFonts w:ascii="Arial" w:cs="Arial" w:eastAsia="Arial" w:hAnsi="Arial"/>
          <w:color w:val="595959"/>
          <w:sz w:val="22"/>
          <w:szCs w:val="22"/>
        </w:rPr>
        <w:t xml:space="preserve">Step 10: Post-implementation audit (October): verify correct application of new codes on live claims.</w:t>
      </w:r>
    </w:p>
    <w:p>
      <w:pPr>
        <w:pStyle w:val="ListParagraph"/>
        <w:numPr>
          <w:ilvl w:val="0"/>
          <w:numId w:val="2"/>
        </w:numPr>
        <w:spacing w:after="80"/>
      </w:pPr>
      <w:r>
        <w:rPr>
          <w:rFonts w:ascii="Arial" w:cs="Arial" w:eastAsia="Arial" w:hAnsi="Arial"/>
          <w:color w:val="595959"/>
          <w:sz w:val="22"/>
          <w:szCs w:val="22"/>
        </w:rPr>
        <w:t xml:space="preserve">Step 11: Generate impact report: CMI changes, DRG shifts, and coding accuracy post-update.</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Inpatient Coding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DRG accuracy on audit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Quarterly coding audit results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Outpatient Coding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97% CPT/ICD accuracy on audit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Quarterly coding audit results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CMI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Within 2% of benchmark peer group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Monthly CMI calculation vs. Vizient peer group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Turnaround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48 hours from discharge (inpatient)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Discharge date to final coding timestamp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CDI Query Response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80% physician response within 48 hours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sent to response timestamp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Quality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95% across key data domains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quality monitoring dashboard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HIE 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99% uptime for health information exchange connections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HIE platform monitoring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Information Blocking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0 substantiated information blocking complaints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ONC complaint tracking</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Academic Medical Center</w:t>
      </w:r>
    </w:p>
    <w:p>
      <w:pPr>
        <w:spacing w:after="120"/>
      </w:pPr>
      <w:r>
        <w:rPr>
          <w:rFonts w:ascii="Arial" w:cs="Arial" w:eastAsia="Arial" w:hAnsi="Arial"/>
          <w:color w:val="595959"/>
          <w:sz w:val="22"/>
          <w:szCs w:val="22"/>
        </w:rPr>
        <w:t xml:space="preserve">A 600-bed academic medical center deploys the Health Information Manager AI to manage its complex coding program (DRG, APC, ASC) and data governance initiatives. The AI identifies $4.5M in annual CMI optimization opportunities through systematic documentation improvement, reduces coding turnaround from 5 days to 2 days, and achieves 97% inpatient coding accuracy.</w:t>
      </w:r>
    </w:p>
    <w:p>
      <w:pPr>
        <w:pStyle w:val="Heading3"/>
        <w:spacing w:after="120" w:before="240"/>
      </w:pPr>
      <w:r>
        <w:rPr>
          <w:rFonts w:ascii="Arial" w:cs="Arial" w:eastAsia="Arial" w:hAnsi="Arial"/>
          <w:b/>
          <w:bCs/>
          <w:color w:val="2E75B6"/>
          <w:sz w:val="24"/>
          <w:szCs w:val="24"/>
        </w:rPr>
        <w:t xml:space="preserve">Use Case 2: Health System Post-Merger Integration</w:t>
      </w:r>
    </w:p>
    <w:p>
      <w:pPr>
        <w:spacing w:after="120"/>
      </w:pPr>
      <w:r>
        <w:rPr>
          <w:rFonts w:ascii="Arial" w:cs="Arial" w:eastAsia="Arial" w:hAnsi="Arial"/>
          <w:color w:val="595959"/>
          <w:sz w:val="22"/>
          <w:szCs w:val="22"/>
        </w:rPr>
        <w:t xml:space="preserve">A health system integrating 3 acquired hospitals uses the AI to standardize HIM operations, coding practices, and data governance across all facilities. The AI harmonizes coding practices within 6 months (previously estimated at 18 months), establishes unified data quality standards, and creates a single enterprise-wide CMI dashboard.</w:t>
      </w:r>
    </w:p>
    <w:p>
      <w:pPr>
        <w:pStyle w:val="Heading3"/>
        <w:spacing w:after="120" w:before="240"/>
      </w:pPr>
      <w:r>
        <w:rPr>
          <w:rFonts w:ascii="Arial" w:cs="Arial" w:eastAsia="Arial" w:hAnsi="Arial"/>
          <w:b/>
          <w:bCs/>
          <w:color w:val="2E75B6"/>
          <w:sz w:val="24"/>
          <w:szCs w:val="24"/>
        </w:rPr>
        <w:t xml:space="preserve">Use Case 3: Small Community Hospital</w:t>
      </w:r>
    </w:p>
    <w:p>
      <w:pPr>
        <w:spacing w:after="120"/>
      </w:pPr>
      <w:r>
        <w:rPr>
          <w:rFonts w:ascii="Arial" w:cs="Arial" w:eastAsia="Arial" w:hAnsi="Arial"/>
          <w:color w:val="595959"/>
          <w:sz w:val="22"/>
          <w:szCs w:val="22"/>
        </w:rPr>
        <w:t xml:space="preserve">A 50-bed community hospital uses the AI to supplement its 3-person HIM department. The AI handles coding quality monitoring, regulatory reporting, and data governance activities that would otherwise require 2 additional FTEs. Annual ICD-10 updates are implemented smoothly for the first time without external consultant support, saving $35,000.</w:t>
      </w:r>
    </w:p>
    <w:p>
      <w:r>
        <w:br w:type="page"/>
      </w:r>
    </w:p>
    <w:p>
      <w:pPr>
        <w:pStyle w:val="Heading1"/>
        <w:spacing w:after="200" w:before="360"/>
      </w:pPr>
      <w:r>
        <w:rPr>
          <w:rFonts w:ascii="Arial" w:cs="Arial" w:eastAsia="Arial" w:hAnsi="Arial"/>
          <w:b/>
          <w:bCs/>
          <w:color w:val="2E75B6"/>
          <w:sz w:val="32"/>
          <w:szCs w:val="32"/>
        </w:rPr>
        <w:t xml:space="preserve">Role 11: Patient Intake Coordinator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Patient Intake Coordinator AI</w:t>
      </w:r>
    </w:p>
    <w:p>
      <w:pPr>
        <w:spacing w:after="120"/>
      </w:pPr>
      <w:r>
        <w:rPr>
          <w:rFonts w:ascii="Arial" w:cs="Arial" w:eastAsia="Arial" w:hAnsi="Arial"/>
          <w:color w:val="595959"/>
          <w:sz w:val="22"/>
          <w:szCs w:val="22"/>
        </w:rPr>
        <w:t xml:space="preserve">Department: Patient Access Services / Registration</w:t>
      </w:r>
    </w:p>
    <w:p>
      <w:pPr>
        <w:spacing w:after="120"/>
      </w:pPr>
      <w:r>
        <w:rPr>
          <w:rFonts w:ascii="Arial" w:cs="Arial" w:eastAsia="Arial" w:hAnsi="Arial"/>
          <w:color w:val="595959"/>
          <w:sz w:val="22"/>
          <w:szCs w:val="22"/>
        </w:rPr>
        <w:t xml:space="preserve">Reports To: Director of Patient Access</w:t>
      </w:r>
    </w:p>
    <w:p>
      <w:pPr>
        <w:spacing w:after="120"/>
      </w:pPr>
      <w:r>
        <w:rPr>
          <w:rFonts w:ascii="Arial" w:cs="Arial" w:eastAsia="Arial" w:hAnsi="Arial"/>
          <w:color w:val="595959"/>
          <w:sz w:val="22"/>
          <w:szCs w:val="22"/>
        </w:rPr>
        <w:t xml:space="preserve">Seniority Level: Junior-Mid</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Patient Intake Coordinator AI manages the patient registration and intake process across all points of service: emergency department, inpatient admission, outpatient clinic visits, surgical pre-admission, and online pre-registration. This AI employee collects and verifies patient demographic information, insurance coverage, emergency contacts, advance directives, and consent forms, ensuring that every patient encounter begins with accurate, complete registration data that supports both clinical care and revenue cycle operations.</w:t>
      </w:r>
    </w:p>
    <w:p>
      <w:pPr>
        <w:spacing w:after="120"/>
      </w:pPr>
      <w:r>
        <w:rPr>
          <w:rFonts w:ascii="Arial" w:cs="Arial" w:eastAsia="Arial" w:hAnsi="Arial"/>
          <w:color w:val="595959"/>
          <w:sz w:val="22"/>
          <w:szCs w:val="22"/>
        </w:rPr>
        <w:t xml:space="preserve">Registration errors are one of the most costly and preventable problems in healthcare operations. Incorrect patient demographics lead to claim denials, duplicate medical records, patient safety risks (wrong patient errors), and compliance violations. The Patient Intake Coordinator AI reduces registration errors through systematic verification workflows, real-time eligibility checks, and automated data validation, achieving near-perfect registration accuracy that propagates quality through the entire care and billing lifecycle.</w:t>
      </w:r>
    </w:p>
    <w:p>
      <w:pPr>
        <w:spacing w:after="120"/>
      </w:pPr>
      <w:r>
        <w:rPr>
          <w:rFonts w:ascii="Arial" w:cs="Arial" w:eastAsia="Arial" w:hAnsi="Arial"/>
          <w:color w:val="595959"/>
          <w:sz w:val="22"/>
          <w:szCs w:val="22"/>
        </w:rPr>
        <w:t xml:space="preserve">This AI employee is often the first point of contact for patients entering the healthcare system and is trained to create a welcoming, efficient, and respectful intake experience. The AI handles the administrative aspects of registration while being sensitive to patient anxiety, cultural differences, language barriers, and accessibility needs. It also manages the increasingly important digital front door, supporting online pre-registration and mobile check-in workflows.</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Patient Registration: </w:t>
      </w:r>
      <w:r>
        <w:rPr>
          <w:rFonts w:ascii="Arial" w:cs="Arial" w:eastAsia="Arial" w:hAnsi="Arial"/>
          <w:color w:val="595959"/>
          <w:sz w:val="22"/>
          <w:szCs w:val="22"/>
        </w:rPr>
        <w:t xml:space="preserve">Collect and verify patient demographics (name, date of birth, address, phone, email, emergency contacts). Verify patient identity using organizational identity verification protocols. Create new patient records or update existing records. Ensure accurate Master Patient Index (MPI) data to prevent duplicate records.</w:t>
      </w:r>
    </w:p>
    <w:p>
      <w:pPr>
        <w:pStyle w:val="ListParagraph"/>
        <w:numPr>
          <w:ilvl w:val="0"/>
          <w:numId w:val="2"/>
        </w:numPr>
        <w:spacing w:after="80"/>
      </w:pPr>
      <w:r>
        <w:rPr>
          <w:rFonts w:ascii="Arial" w:cs="Arial" w:eastAsia="Arial" w:hAnsi="Arial"/>
          <w:b/>
          <w:bCs/>
          <w:color w:val="595959"/>
          <w:sz w:val="22"/>
          <w:szCs w:val="22"/>
        </w:rPr>
        <w:t xml:space="preserve">Insurance Verification: </w:t>
      </w:r>
      <w:r>
        <w:rPr>
          <w:rFonts w:ascii="Arial" w:cs="Arial" w:eastAsia="Arial" w:hAnsi="Arial"/>
          <w:color w:val="595959"/>
          <w:sz w:val="22"/>
          <w:szCs w:val="22"/>
        </w:rPr>
        <w:t xml:space="preserve">Verify insurance eligibility and benefits in real-time during registration. Confirm primary and secondary coverage. Verify coordination of benefits for patients with multiple insurance plans. Collect insurance card images and policy information. Identify patients requiring financial counseling referral.</w:t>
      </w:r>
    </w:p>
    <w:p>
      <w:pPr>
        <w:pStyle w:val="ListParagraph"/>
        <w:numPr>
          <w:ilvl w:val="0"/>
          <w:numId w:val="2"/>
        </w:numPr>
        <w:spacing w:after="80"/>
      </w:pPr>
      <w:r>
        <w:rPr>
          <w:rFonts w:ascii="Arial" w:cs="Arial" w:eastAsia="Arial" w:hAnsi="Arial"/>
          <w:b/>
          <w:bCs/>
          <w:color w:val="595959"/>
          <w:sz w:val="22"/>
          <w:szCs w:val="22"/>
        </w:rPr>
        <w:t xml:space="preserve">Consent and Documentation: </w:t>
      </w:r>
      <w:r>
        <w:rPr>
          <w:rFonts w:ascii="Arial" w:cs="Arial" w:eastAsia="Arial" w:hAnsi="Arial"/>
          <w:color w:val="595959"/>
          <w:sz w:val="22"/>
          <w:szCs w:val="22"/>
        </w:rPr>
        <w:t xml:space="preserve">Present and collect required consent forms (general consent to treat, financial consent, HIPAA Notice of Privacy Practices acknowledgment, specific procedure consents, research consents). Verify advance directive status and ensure documentation is on file. Manage consent version control and ensure current forms are used.</w:t>
      </w:r>
    </w:p>
    <w:p>
      <w:pPr>
        <w:pStyle w:val="ListParagraph"/>
        <w:numPr>
          <w:ilvl w:val="0"/>
          <w:numId w:val="2"/>
        </w:numPr>
        <w:spacing w:after="80"/>
      </w:pPr>
      <w:r>
        <w:rPr>
          <w:rFonts w:ascii="Arial" w:cs="Arial" w:eastAsia="Arial" w:hAnsi="Arial"/>
          <w:b/>
          <w:bCs/>
          <w:color w:val="595959"/>
          <w:sz w:val="22"/>
          <w:szCs w:val="22"/>
        </w:rPr>
        <w:t xml:space="preserve">Financial Clearance: </w:t>
      </w:r>
      <w:r>
        <w:rPr>
          <w:rFonts w:ascii="Arial" w:cs="Arial" w:eastAsia="Arial" w:hAnsi="Arial"/>
          <w:color w:val="595959"/>
          <w:sz w:val="22"/>
          <w:szCs w:val="22"/>
        </w:rPr>
        <w:t xml:space="preserve">Generate patient cost estimates for scheduled services. Collect copayments, deductibles, and prior balances at time of service. Screen patients for financial assistance eligibility. Set up payment plans within organizational guidelines. Coordinate with financial counselors for complex financial situations.</w:t>
      </w:r>
    </w:p>
    <w:p>
      <w:pPr>
        <w:pStyle w:val="ListParagraph"/>
        <w:numPr>
          <w:ilvl w:val="0"/>
          <w:numId w:val="2"/>
        </w:numPr>
        <w:spacing w:after="80"/>
      </w:pPr>
      <w:r>
        <w:rPr>
          <w:rFonts w:ascii="Arial" w:cs="Arial" w:eastAsia="Arial" w:hAnsi="Arial"/>
          <w:b/>
          <w:bCs/>
          <w:color w:val="595959"/>
          <w:sz w:val="22"/>
          <w:szCs w:val="22"/>
        </w:rPr>
        <w:t xml:space="preserve">Pre-Registration: </w:t>
      </w:r>
      <w:r>
        <w:rPr>
          <w:rFonts w:ascii="Arial" w:cs="Arial" w:eastAsia="Arial" w:hAnsi="Arial"/>
          <w:color w:val="595959"/>
          <w:sz w:val="22"/>
          <w:szCs w:val="22"/>
        </w:rPr>
        <w:t xml:space="preserve">Support online pre-registration workflows. Send pre-registration links to scheduled patients 7 days before appointments. Validate submitted pre-registration data. Follow up with patients who have not completed pre-registration.</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Register 200-500 patient encounters daily across all points of service.</w:t>
      </w:r>
    </w:p>
    <w:p>
      <w:pPr>
        <w:pStyle w:val="ListParagraph"/>
        <w:numPr>
          <w:ilvl w:val="0"/>
          <w:numId w:val="2"/>
        </w:numPr>
        <w:spacing w:after="80"/>
      </w:pPr>
      <w:r>
        <w:rPr>
          <w:rFonts w:ascii="Arial" w:cs="Arial" w:eastAsia="Arial" w:hAnsi="Arial"/>
          <w:color w:val="595959"/>
          <w:sz w:val="22"/>
          <w:szCs w:val="22"/>
        </w:rPr>
        <w:t xml:space="preserve">Verify insurance eligibility in real-time for every scheduled and walk-in encounter.</w:t>
      </w:r>
    </w:p>
    <w:p>
      <w:pPr>
        <w:pStyle w:val="ListParagraph"/>
        <w:numPr>
          <w:ilvl w:val="0"/>
          <w:numId w:val="2"/>
        </w:numPr>
        <w:spacing w:after="80"/>
      </w:pPr>
      <w:r>
        <w:rPr>
          <w:rFonts w:ascii="Arial" w:cs="Arial" w:eastAsia="Arial" w:hAnsi="Arial"/>
          <w:color w:val="595959"/>
          <w:sz w:val="22"/>
          <w:szCs w:val="22"/>
        </w:rPr>
        <w:t xml:space="preserve">Collect copayments and prior balances at time of registration (target: 85% point-of-service collection).</w:t>
      </w:r>
    </w:p>
    <w:p>
      <w:pPr>
        <w:pStyle w:val="ListParagraph"/>
        <w:numPr>
          <w:ilvl w:val="0"/>
          <w:numId w:val="2"/>
        </w:numPr>
        <w:spacing w:after="80"/>
      </w:pPr>
      <w:r>
        <w:rPr>
          <w:rFonts w:ascii="Arial" w:cs="Arial" w:eastAsia="Arial" w:hAnsi="Arial"/>
          <w:color w:val="595959"/>
          <w:sz w:val="22"/>
          <w:szCs w:val="22"/>
        </w:rPr>
        <w:t xml:space="preserve">Send pre-registration invitations to all scheduled patients 7 days before appointment.</w:t>
      </w:r>
    </w:p>
    <w:p>
      <w:pPr>
        <w:pStyle w:val="ListParagraph"/>
        <w:numPr>
          <w:ilvl w:val="0"/>
          <w:numId w:val="2"/>
        </w:numPr>
        <w:spacing w:after="80"/>
      </w:pPr>
      <w:r>
        <w:rPr>
          <w:rFonts w:ascii="Arial" w:cs="Arial" w:eastAsia="Arial" w:hAnsi="Arial"/>
          <w:color w:val="595959"/>
          <w:sz w:val="22"/>
          <w:szCs w:val="22"/>
        </w:rPr>
        <w:t xml:space="preserve">Validate patient identity using 3 identifiers per organizational policy.</w:t>
      </w:r>
    </w:p>
    <w:p>
      <w:pPr>
        <w:pStyle w:val="ListParagraph"/>
        <w:numPr>
          <w:ilvl w:val="0"/>
          <w:numId w:val="2"/>
        </w:numPr>
        <w:spacing w:after="80"/>
      </w:pPr>
      <w:r>
        <w:rPr>
          <w:rFonts w:ascii="Arial" w:cs="Arial" w:eastAsia="Arial" w:hAnsi="Arial"/>
          <w:color w:val="595959"/>
          <w:sz w:val="22"/>
          <w:szCs w:val="22"/>
        </w:rPr>
        <w:t xml:space="preserve">Screen every uninsured patient for Medicaid eligibility and financial assistance programs.</w:t>
      </w:r>
    </w:p>
    <w:p>
      <w:pPr>
        <w:pStyle w:val="ListParagraph"/>
        <w:numPr>
          <w:ilvl w:val="0"/>
          <w:numId w:val="2"/>
        </w:numPr>
        <w:spacing w:after="80"/>
      </w:pPr>
      <w:r>
        <w:rPr>
          <w:rFonts w:ascii="Arial" w:cs="Arial" w:eastAsia="Arial" w:hAnsi="Arial"/>
          <w:color w:val="595959"/>
          <w:sz w:val="22"/>
          <w:szCs w:val="22"/>
        </w:rPr>
        <w:t xml:space="preserve">Process EMTALA-compliant registration for emergency department patients (medical screening exam not delayed).</w:t>
      </w:r>
    </w:p>
    <w:p>
      <w:pPr>
        <w:pStyle w:val="ListParagraph"/>
        <w:numPr>
          <w:ilvl w:val="0"/>
          <w:numId w:val="2"/>
        </w:numPr>
        <w:spacing w:after="80"/>
      </w:pPr>
      <w:r>
        <w:rPr>
          <w:rFonts w:ascii="Arial" w:cs="Arial" w:eastAsia="Arial" w:hAnsi="Arial"/>
          <w:color w:val="595959"/>
          <w:sz w:val="22"/>
          <w:szCs w:val="22"/>
        </w:rPr>
        <w:t xml:space="preserve">Verify advance directive status and flag patients without documented advance directives for nursing follow-up.</w:t>
      </w:r>
    </w:p>
    <w:p>
      <w:pPr>
        <w:pStyle w:val="ListParagraph"/>
        <w:numPr>
          <w:ilvl w:val="0"/>
          <w:numId w:val="2"/>
        </w:numPr>
        <w:spacing w:after="80"/>
      </w:pPr>
      <w:r>
        <w:rPr>
          <w:rFonts w:ascii="Arial" w:cs="Arial" w:eastAsia="Arial" w:hAnsi="Arial"/>
          <w:color w:val="595959"/>
          <w:sz w:val="22"/>
          <w:szCs w:val="22"/>
        </w:rPr>
        <w:t xml:space="preserve">Collect and scan insurance card images for the billing department.</w:t>
      </w:r>
    </w:p>
    <w:p>
      <w:pPr>
        <w:pStyle w:val="ListParagraph"/>
        <w:numPr>
          <w:ilvl w:val="0"/>
          <w:numId w:val="2"/>
        </w:numPr>
        <w:spacing w:after="80"/>
      </w:pPr>
      <w:r>
        <w:rPr>
          <w:rFonts w:ascii="Arial" w:cs="Arial" w:eastAsia="Arial" w:hAnsi="Arial"/>
          <w:color w:val="595959"/>
          <w:sz w:val="22"/>
          <w:szCs w:val="22"/>
        </w:rPr>
        <w:t xml:space="preserve">Generate patient cost estimates for scheduled surgeries and procedures.</w:t>
      </w:r>
    </w:p>
    <w:p>
      <w:pPr>
        <w:pStyle w:val="ListParagraph"/>
        <w:numPr>
          <w:ilvl w:val="0"/>
          <w:numId w:val="2"/>
        </w:numPr>
        <w:spacing w:after="80"/>
      </w:pPr>
      <w:r>
        <w:rPr>
          <w:rFonts w:ascii="Arial" w:cs="Arial" w:eastAsia="Arial" w:hAnsi="Arial"/>
          <w:color w:val="595959"/>
          <w:sz w:val="22"/>
          <w:szCs w:val="22"/>
        </w:rPr>
        <w:t xml:space="preserve">Track pre-registration completion rates and follow up with non-compliant patients.</w:t>
      </w:r>
    </w:p>
    <w:p>
      <w:pPr>
        <w:pStyle w:val="ListParagraph"/>
        <w:numPr>
          <w:ilvl w:val="0"/>
          <w:numId w:val="2"/>
        </w:numPr>
        <w:spacing w:after="80"/>
      </w:pPr>
      <w:r>
        <w:rPr>
          <w:rFonts w:ascii="Arial" w:cs="Arial" w:eastAsia="Arial" w:hAnsi="Arial"/>
          <w:color w:val="595959"/>
          <w:sz w:val="22"/>
          <w:szCs w:val="22"/>
        </w:rPr>
        <w:t xml:space="preserve">Monitor registration accuracy metrics and identify systematic error patterns.</w:t>
      </w:r>
    </w:p>
    <w:p>
      <w:pPr>
        <w:pStyle w:val="ListParagraph"/>
        <w:numPr>
          <w:ilvl w:val="0"/>
          <w:numId w:val="2"/>
        </w:numPr>
        <w:spacing w:after="80"/>
      </w:pPr>
      <w:r>
        <w:rPr>
          <w:rFonts w:ascii="Arial" w:cs="Arial" w:eastAsia="Arial" w:hAnsi="Arial"/>
          <w:color w:val="595959"/>
          <w:sz w:val="22"/>
          <w:szCs w:val="22"/>
        </w:rPr>
        <w:t xml:space="preserve">Coordinate with interpreter services for patients requiring language assistance during registration.</w:t>
      </w:r>
    </w:p>
    <w:p>
      <w:pPr>
        <w:pStyle w:val="ListParagraph"/>
        <w:numPr>
          <w:ilvl w:val="0"/>
          <w:numId w:val="2"/>
        </w:numPr>
        <w:spacing w:after="80"/>
      </w:pPr>
      <w:r>
        <w:rPr>
          <w:rFonts w:ascii="Arial" w:cs="Arial" w:eastAsia="Arial" w:hAnsi="Arial"/>
          <w:color w:val="595959"/>
          <w:sz w:val="22"/>
          <w:szCs w:val="22"/>
        </w:rPr>
        <w:t xml:space="preserve">Process patient address updates and distribute to all downstream systems.</w:t>
      </w:r>
    </w:p>
    <w:p>
      <w:pPr>
        <w:pStyle w:val="ListParagraph"/>
        <w:numPr>
          <w:ilvl w:val="0"/>
          <w:numId w:val="2"/>
        </w:numPr>
        <w:spacing w:after="80"/>
      </w:pPr>
      <w:r>
        <w:rPr>
          <w:rFonts w:ascii="Arial" w:cs="Arial" w:eastAsia="Arial" w:hAnsi="Arial"/>
          <w:color w:val="595959"/>
          <w:sz w:val="22"/>
          <w:szCs w:val="22"/>
        </w:rPr>
        <w:t xml:space="preserve">Generate daily registration volume and accuracy reports for Patient Access Director.</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Registration/ADT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Prelude/Grand Central, Cerner Registration, Athenahealth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registration, ADT transactions, MPI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Eligibility Verification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Availity, Experian Health, Change Healthcare RTE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 eligibility, benefits verification, coordination of benefits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Digital Front Door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Phreesia, Kyruus, Luma Health, patient portal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Online pre-registration, mobile check-in, digital consent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Identity Verification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LexisNexis, Experian, biometric verification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identity validation, duplicate prevention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Payment Collection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InstaMed, PaySimple, Square Health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Copay collection, payment plan setup, receipt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Screening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Experian Health PFAS, TransUnion, Medicaid portals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assistance screening, Medicaid eligibility, charity care qualification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OnBase, DocuSign Health, Adobe Sign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Consent form management, document scanning, e-signature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Phone, kiosk, chat, patient portal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Multi-channel patient interaction, interpreter coordination</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Demographics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access to create and update registration data; cannot modify clinical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 Information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Collect and verify insurance data; cannot modify payer contracts or fee schedules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Collect payments and set up payment plans; no access to detailed financial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 to clinical documentation, diagnoses, or treatment information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Consent 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Present, collect, and store consent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MPI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Create patient records and flag potential duplicates; cannot merge records (HIM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Advance Directives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Verify advance directive status; cannot modify directive documents</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Greets patients during phone pre-registration with warm, professional tone. Guides patients through registration questions clearly and patiently. Assists elderly or technology-challenged patients with video-guided pre-registration.</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Responds to patient portal registration questions. Sends pre-registration reminders via text. Provides real-time chat assistance during online pre-registration.</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Sends pre-registration links and instructions to scheduled patients. Distributes daily registration volume and accuracy reports. Communicates insurance verification issues to billing staff.</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Emergency Department Registration (EMTALA Compliant)</w:t>
      </w:r>
    </w:p>
    <w:p>
      <w:pPr>
        <w:pStyle w:val="ListParagraph"/>
        <w:numPr>
          <w:ilvl w:val="0"/>
          <w:numId w:val="2"/>
        </w:numPr>
        <w:spacing w:after="80"/>
      </w:pPr>
      <w:r>
        <w:rPr>
          <w:rFonts w:ascii="Arial" w:cs="Arial" w:eastAsia="Arial" w:hAnsi="Arial"/>
          <w:color w:val="595959"/>
          <w:sz w:val="22"/>
          <w:szCs w:val="22"/>
        </w:rPr>
        <w:t xml:space="preserve">Step 1: Patient presents to ED. CRITICAL: Medical Screening Exam (MSE) must not be delayed for registration per EMTALA.</w:t>
      </w:r>
    </w:p>
    <w:p>
      <w:pPr>
        <w:pStyle w:val="ListParagraph"/>
        <w:numPr>
          <w:ilvl w:val="0"/>
          <w:numId w:val="2"/>
        </w:numPr>
        <w:spacing w:after="80"/>
      </w:pPr>
      <w:r>
        <w:rPr>
          <w:rFonts w:ascii="Arial" w:cs="Arial" w:eastAsia="Arial" w:hAnsi="Arial"/>
          <w:color w:val="595959"/>
          <w:sz w:val="22"/>
          <w:szCs w:val="22"/>
        </w:rPr>
        <w:t xml:space="preserve">Step 2: Collect minimum necessary identification: name and date of birth (may be obtained from patient, companion, or EMS).</w:t>
      </w:r>
    </w:p>
    <w:p>
      <w:pPr>
        <w:pStyle w:val="ListParagraph"/>
        <w:numPr>
          <w:ilvl w:val="0"/>
          <w:numId w:val="2"/>
        </w:numPr>
        <w:spacing w:after="80"/>
      </w:pPr>
      <w:r>
        <w:rPr>
          <w:rFonts w:ascii="Arial" w:cs="Arial" w:eastAsia="Arial" w:hAnsi="Arial"/>
          <w:color w:val="595959"/>
          <w:sz w:val="22"/>
          <w:szCs w:val="22"/>
        </w:rPr>
        <w:t xml:space="preserve">Step 3: Create quick-registration record in EHR with available identifiers to enable clinical documentation.</w:t>
      </w:r>
    </w:p>
    <w:p>
      <w:pPr>
        <w:pStyle w:val="ListParagraph"/>
        <w:numPr>
          <w:ilvl w:val="0"/>
          <w:numId w:val="2"/>
        </w:numPr>
        <w:spacing w:after="80"/>
      </w:pPr>
      <w:r>
        <w:rPr>
          <w:rFonts w:ascii="Arial" w:cs="Arial" w:eastAsia="Arial" w:hAnsi="Arial"/>
          <w:color w:val="595959"/>
          <w:sz w:val="22"/>
          <w:szCs w:val="22"/>
        </w:rPr>
        <w:t xml:space="preserve">Step 4: Once patient is clinically stable and MSE is complete, approach patient (or family) for full registration.</w:t>
      </w:r>
    </w:p>
    <w:p>
      <w:pPr>
        <w:pStyle w:val="ListParagraph"/>
        <w:numPr>
          <w:ilvl w:val="0"/>
          <w:numId w:val="2"/>
        </w:numPr>
        <w:spacing w:after="80"/>
      </w:pPr>
      <w:r>
        <w:rPr>
          <w:rFonts w:ascii="Arial" w:cs="Arial" w:eastAsia="Arial" w:hAnsi="Arial"/>
          <w:color w:val="595959"/>
          <w:sz w:val="22"/>
          <w:szCs w:val="22"/>
        </w:rPr>
        <w:t xml:space="preserve">Step 5: Verify/collect full demographics: legal name, DOB, address, phone, emergency contacts, PCP.</w:t>
      </w:r>
    </w:p>
    <w:p>
      <w:pPr>
        <w:pStyle w:val="ListParagraph"/>
        <w:numPr>
          <w:ilvl w:val="0"/>
          <w:numId w:val="2"/>
        </w:numPr>
        <w:spacing w:after="80"/>
      </w:pPr>
      <w:r>
        <w:rPr>
          <w:rFonts w:ascii="Arial" w:cs="Arial" w:eastAsia="Arial" w:hAnsi="Arial"/>
          <w:color w:val="595959"/>
          <w:sz w:val="22"/>
          <w:szCs w:val="22"/>
        </w:rPr>
        <w:t xml:space="preserve">Step 6: Verify identity using organizational protocol (photo ID, verbal verification if ID not available).</w:t>
      </w:r>
    </w:p>
    <w:p>
      <w:pPr>
        <w:pStyle w:val="ListParagraph"/>
        <w:numPr>
          <w:ilvl w:val="0"/>
          <w:numId w:val="2"/>
        </w:numPr>
        <w:spacing w:after="80"/>
      </w:pPr>
      <w:r>
        <w:rPr>
          <w:rFonts w:ascii="Arial" w:cs="Arial" w:eastAsia="Arial" w:hAnsi="Arial"/>
          <w:color w:val="595959"/>
          <w:sz w:val="22"/>
          <w:szCs w:val="22"/>
        </w:rPr>
        <w:t xml:space="preserve">Step 7: Collect insurance information. Run real-time eligibility verification.</w:t>
      </w:r>
    </w:p>
    <w:p>
      <w:pPr>
        <w:pStyle w:val="ListParagraph"/>
        <w:numPr>
          <w:ilvl w:val="0"/>
          <w:numId w:val="2"/>
        </w:numPr>
        <w:spacing w:after="80"/>
      </w:pPr>
      <w:r>
        <w:rPr>
          <w:rFonts w:ascii="Arial" w:cs="Arial" w:eastAsia="Arial" w:hAnsi="Arial"/>
          <w:color w:val="595959"/>
          <w:sz w:val="22"/>
          <w:szCs w:val="22"/>
        </w:rPr>
        <w:t xml:space="preserve">Step 8: If uninsured, screen for Medicaid eligibility and presumptive eligibility programs.</w:t>
      </w:r>
    </w:p>
    <w:p>
      <w:pPr>
        <w:pStyle w:val="ListParagraph"/>
        <w:numPr>
          <w:ilvl w:val="0"/>
          <w:numId w:val="2"/>
        </w:numPr>
        <w:spacing w:after="80"/>
      </w:pPr>
      <w:r>
        <w:rPr>
          <w:rFonts w:ascii="Arial" w:cs="Arial" w:eastAsia="Arial" w:hAnsi="Arial"/>
          <w:color w:val="595959"/>
          <w:sz w:val="22"/>
          <w:szCs w:val="22"/>
        </w:rPr>
        <w:t xml:space="preserve">Step 9: Present consent forms: general consent to treat, HIPAA NPP acknowledgment, financial consent.</w:t>
      </w:r>
    </w:p>
    <w:p>
      <w:pPr>
        <w:pStyle w:val="ListParagraph"/>
        <w:numPr>
          <w:ilvl w:val="0"/>
          <w:numId w:val="2"/>
        </w:numPr>
        <w:spacing w:after="80"/>
      </w:pPr>
      <w:r>
        <w:rPr>
          <w:rFonts w:ascii="Arial" w:cs="Arial" w:eastAsia="Arial" w:hAnsi="Arial"/>
          <w:color w:val="595959"/>
          <w:sz w:val="22"/>
          <w:szCs w:val="22"/>
        </w:rPr>
        <w:t xml:space="preserve">Step 10: Verify advance directive status. If none on file, offer advance directive information (do not pressure).</w:t>
      </w:r>
    </w:p>
    <w:p>
      <w:pPr>
        <w:pStyle w:val="ListParagraph"/>
        <w:numPr>
          <w:ilvl w:val="0"/>
          <w:numId w:val="2"/>
        </w:numPr>
        <w:spacing w:after="80"/>
      </w:pPr>
      <w:r>
        <w:rPr>
          <w:rFonts w:ascii="Arial" w:cs="Arial" w:eastAsia="Arial" w:hAnsi="Arial"/>
          <w:color w:val="595959"/>
          <w:sz w:val="22"/>
          <w:szCs w:val="22"/>
        </w:rPr>
        <w:t xml:space="preserve">Step 11: DO NOT collect copayment during ED visit per organizational policy (collected post-visit).</w:t>
      </w:r>
    </w:p>
    <w:p>
      <w:pPr>
        <w:pStyle w:val="ListParagraph"/>
        <w:numPr>
          <w:ilvl w:val="0"/>
          <w:numId w:val="2"/>
        </w:numPr>
        <w:spacing w:after="80"/>
      </w:pPr>
      <w:r>
        <w:rPr>
          <w:rFonts w:ascii="Arial" w:cs="Arial" w:eastAsia="Arial" w:hAnsi="Arial"/>
          <w:color w:val="595959"/>
          <w:sz w:val="22"/>
          <w:szCs w:val="22"/>
        </w:rPr>
        <w:t xml:space="preserve">Step 12: Complete registration record. Validate all fields. Log registration event in audit trail.</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Registration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98% accuracy rate across all demographic fields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Weekly QA audit of registration records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Pre-Registration Completion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60% of scheduled patients complete pre-registration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Pre-registration completions / scheduled appointments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Point-of-Service Collection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85% of eligible copays collected at registration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Copays collected / copays due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Insurance Verification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encounters verified before or at registration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Verified encounters / total encounters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Average Registration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5 minutes for pre-registered patients; &lt; 10 minutes for walk-ins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Registration start to completion timestamps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Duplicate Record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 1% duplicate creation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New duplicates / new registrations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Screening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 of uninsured patients screened for assistance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Screenings / uninsured encounters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EMTALA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0 registration-related EMTALA violations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incident tracking</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High-Volume Emergency Department</w:t>
      </w:r>
    </w:p>
    <w:p>
      <w:pPr>
        <w:spacing w:after="120"/>
      </w:pPr>
      <w:r>
        <w:rPr>
          <w:rFonts w:ascii="Arial" w:cs="Arial" w:eastAsia="Arial" w:hAnsi="Arial"/>
          <w:color w:val="595959"/>
          <w:sz w:val="22"/>
          <w:szCs w:val="22"/>
        </w:rPr>
        <w:t xml:space="preserve">A Level I trauma center with 90,000 annual ED visits deploys the Patient Intake Coordinator AI to manage registration flow. The AI reduces average registration time from 12 minutes to 6 minutes, achieves 99.1% registration accuracy (eliminating $800,000 in annual denials due to registration errors), and ensures 100% EMTALA-compliant registration sequencing.</w:t>
      </w:r>
    </w:p>
    <w:p>
      <w:pPr>
        <w:pStyle w:val="Heading3"/>
        <w:spacing w:after="120" w:before="240"/>
      </w:pPr>
      <w:r>
        <w:rPr>
          <w:rFonts w:ascii="Arial" w:cs="Arial" w:eastAsia="Arial" w:hAnsi="Arial"/>
          <w:b/>
          <w:bCs/>
          <w:color w:val="2E75B6"/>
          <w:sz w:val="24"/>
          <w:szCs w:val="24"/>
        </w:rPr>
        <w:t xml:space="preserve">Use Case 2: Multi-Site Outpatient Network</w:t>
      </w:r>
    </w:p>
    <w:p>
      <w:pPr>
        <w:spacing w:after="120"/>
      </w:pPr>
      <w:r>
        <w:rPr>
          <w:rFonts w:ascii="Arial" w:cs="Arial" w:eastAsia="Arial" w:hAnsi="Arial"/>
          <w:color w:val="595959"/>
          <w:sz w:val="22"/>
          <w:szCs w:val="22"/>
        </w:rPr>
        <w:t xml:space="preserve">A 30-clinic outpatient network uses the AI to implement organization-wide pre-registration, achieving 72% pre-registration completion. Point-of-service collections increase from 55% to 88%, generating $1.6M in additional upfront collections annually. Insurance eligibility verification catches 12% of patients with coverage changes before claims are submitted.</w:t>
      </w:r>
    </w:p>
    <w:p>
      <w:pPr>
        <w:pStyle w:val="Heading3"/>
        <w:spacing w:after="120" w:before="240"/>
      </w:pPr>
      <w:r>
        <w:rPr>
          <w:rFonts w:ascii="Arial" w:cs="Arial" w:eastAsia="Arial" w:hAnsi="Arial"/>
          <w:b/>
          <w:bCs/>
          <w:color w:val="2E75B6"/>
          <w:sz w:val="24"/>
          <w:szCs w:val="24"/>
        </w:rPr>
        <w:t xml:space="preserve">Use Case 3: Orthopedic Surgery Center</w:t>
      </w:r>
    </w:p>
    <w:p>
      <w:pPr>
        <w:spacing w:after="120"/>
      </w:pPr>
      <w:r>
        <w:rPr>
          <w:rFonts w:ascii="Arial" w:cs="Arial" w:eastAsia="Arial" w:hAnsi="Arial"/>
          <w:color w:val="595959"/>
          <w:sz w:val="22"/>
          <w:szCs w:val="22"/>
        </w:rPr>
        <w:t xml:space="preserve">An orthopedic surgery center uses the AI to manage comprehensive pre-surgical financial clearance. For every scheduled surgery, the AI verifies insurance, obtains authorization, generates a patient cost estimate, collects the patient responsibility amount, and confirms all consent documents — all completed at least 48 hours before the procedure. Financial clearance rate reaches 98%, and day-of-surgery cancellations due to financial issues drop to zero.</w:t>
      </w:r>
    </w:p>
    <w:p>
      <w:r>
        <w:br w:type="page"/>
      </w:r>
    </w:p>
    <w:p>
      <w:pPr>
        <w:pStyle w:val="Heading1"/>
        <w:spacing w:after="200" w:before="360"/>
      </w:pPr>
      <w:r>
        <w:rPr>
          <w:rFonts w:ascii="Arial" w:cs="Arial" w:eastAsia="Arial" w:hAnsi="Arial"/>
          <w:b/>
          <w:bCs/>
          <w:color w:val="2E75B6"/>
          <w:sz w:val="32"/>
          <w:szCs w:val="32"/>
        </w:rPr>
        <w:t xml:space="preserve">Role 12: Clinical Documentation Specialist AI</w:t>
      </w:r>
    </w:p>
    <w:p>
      <w:pPr>
        <w:pStyle w:val="Heading2"/>
        <w:spacing w:after="160" w:before="280"/>
      </w:pPr>
      <w:r>
        <w:rPr>
          <w:rFonts w:ascii="Arial" w:cs="Arial" w:eastAsia="Arial" w:hAnsi="Arial"/>
          <w:b/>
          <w:bCs/>
          <w:color w:val="1F3864"/>
          <w:sz w:val="28"/>
          <w:szCs w:val="28"/>
        </w:rPr>
        <w:t xml:space="preserve">1. Job Title</w:t>
      </w:r>
    </w:p>
    <w:p>
      <w:pPr>
        <w:spacing w:after="120"/>
      </w:pPr>
      <w:r>
        <w:rPr>
          <w:rFonts w:ascii="Arial" w:cs="Arial" w:eastAsia="Arial" w:hAnsi="Arial"/>
          <w:color w:val="595959"/>
          <w:sz w:val="22"/>
          <w:szCs w:val="22"/>
        </w:rPr>
        <w:t xml:space="preserve">Clinical Documentation Specialist AI</w:t>
      </w:r>
    </w:p>
    <w:p>
      <w:pPr>
        <w:spacing w:after="120"/>
      </w:pPr>
      <w:r>
        <w:rPr>
          <w:rFonts w:ascii="Arial" w:cs="Arial" w:eastAsia="Arial" w:hAnsi="Arial"/>
          <w:color w:val="595959"/>
          <w:sz w:val="22"/>
          <w:szCs w:val="22"/>
        </w:rPr>
        <w:t xml:space="preserve">Department: Clinical Documentation Improvement (CDI) / Health Information Management</w:t>
      </w:r>
    </w:p>
    <w:p>
      <w:pPr>
        <w:spacing w:after="120"/>
      </w:pPr>
      <w:r>
        <w:rPr>
          <w:rFonts w:ascii="Arial" w:cs="Arial" w:eastAsia="Arial" w:hAnsi="Arial"/>
          <w:color w:val="595959"/>
          <w:sz w:val="22"/>
          <w:szCs w:val="22"/>
        </w:rPr>
        <w:t xml:space="preserve">Reports To: CDI Program Director or VP of Revenue Integrity</w:t>
      </w:r>
    </w:p>
    <w:p>
      <w:pPr>
        <w:spacing w:after="120"/>
      </w:pPr>
      <w:r>
        <w:rPr>
          <w:rFonts w:ascii="Arial" w:cs="Arial" w:eastAsia="Arial" w:hAnsi="Arial"/>
          <w:color w:val="595959"/>
          <w:sz w:val="22"/>
          <w:szCs w:val="22"/>
        </w:rPr>
        <w:t xml:space="preserve">Seniority Level: Senior</w:t>
      </w:r>
    </w:p>
    <w:p>
      <w:pPr>
        <w:pStyle w:val="Heading2"/>
        <w:spacing w:after="160" w:before="280"/>
      </w:pPr>
      <w:r>
        <w:rPr>
          <w:rFonts w:ascii="Arial" w:cs="Arial" w:eastAsia="Arial" w:hAnsi="Arial"/>
          <w:b/>
          <w:bCs/>
          <w:color w:val="1F3864"/>
          <w:sz w:val="28"/>
          <w:szCs w:val="28"/>
        </w:rPr>
        <w:t xml:space="preserve">2. Role Description</w:t>
      </w:r>
    </w:p>
    <w:p>
      <w:pPr>
        <w:spacing w:after="120"/>
      </w:pPr>
      <w:r>
        <w:rPr>
          <w:rFonts w:ascii="Arial" w:cs="Arial" w:eastAsia="Arial" w:hAnsi="Arial"/>
          <w:color w:val="595959"/>
          <w:sz w:val="22"/>
          <w:szCs w:val="22"/>
        </w:rPr>
        <w:t xml:space="preserve">The Clinical Documentation Specialist AI operates at the critical intersection of clinical care and accurate health data capture, ensuring that physician documentation accurately and completely reflects the severity of illness, complexity of care, and clinical outcomes for every patient encounter. This AI employee reviews clinical documentation in real-time during the patient’s stay, identifies documentation gaps and opportunities for specificity, generates physician queries to clarify diagnoses and procedures, and supports accurate DRG assignment that ensures appropriate reimbursement and quality reporting.</w:t>
      </w:r>
    </w:p>
    <w:p>
      <w:pPr>
        <w:spacing w:after="120"/>
      </w:pPr>
      <w:r>
        <w:rPr>
          <w:rFonts w:ascii="Arial" w:cs="Arial" w:eastAsia="Arial" w:hAnsi="Arial"/>
          <w:color w:val="595959"/>
          <w:sz w:val="22"/>
          <w:szCs w:val="22"/>
        </w:rPr>
        <w:t xml:space="preserve">Clinical Documentation Improvement (CDI) is one of the highest-ROI functions in healthcare because documentation directly drives reimbursement (DRG assignment), quality metrics (severity-adjusted outcomes, mortality indices), risk adjustment (HCC scores for managed care), and regulatory compliance (CMS coding guidelines). Studies consistently show that CDI programs capture $1,500-$3,000 per queried case in appropriate incremental reimbursement, making this AI employee a significant revenue asset.</w:t>
      </w:r>
    </w:p>
    <w:p>
      <w:pPr>
        <w:spacing w:after="120"/>
      </w:pPr>
      <w:r>
        <w:rPr>
          <w:rFonts w:ascii="Arial" w:cs="Arial" w:eastAsia="Arial" w:hAnsi="Arial"/>
          <w:color w:val="595959"/>
          <w:sz w:val="22"/>
          <w:szCs w:val="22"/>
        </w:rPr>
        <w:t xml:space="preserve">The Clinical Documentation Specialist AI is explicitly designed to capture accurate documentation — not to upcode or generate documentation that does not reflect the clinical reality. Every query generated is clinically justified based on evidence in the medical record, and the AI operates within the strict ethical framework established by AHIMA and ACDIS guidelines. The AI enhances documentation specificity to ensure the coded record matches the clinical picture, benefiting patient care continuity, quality reporting accuracy, and legitimate revenue capture simultaneously.</w:t>
      </w:r>
    </w:p>
    <w:p>
      <w:pPr>
        <w:pStyle w:val="Heading2"/>
        <w:spacing w:after="160" w:before="280"/>
      </w:pPr>
      <w:r>
        <w:rPr>
          <w:rFonts w:ascii="Arial" w:cs="Arial" w:eastAsia="Arial" w:hAnsi="Arial"/>
          <w:b/>
          <w:bCs/>
          <w:color w:val="1F3864"/>
          <w:sz w:val="28"/>
          <w:szCs w:val="28"/>
        </w:rPr>
        <w:t xml:space="preserve">3. Core Responsibilities</w:t>
      </w:r>
    </w:p>
    <w:p>
      <w:pPr>
        <w:pStyle w:val="ListParagraph"/>
        <w:numPr>
          <w:ilvl w:val="0"/>
          <w:numId w:val="2"/>
        </w:numPr>
        <w:spacing w:after="80"/>
      </w:pPr>
      <w:r>
        <w:rPr>
          <w:rFonts w:ascii="Arial" w:cs="Arial" w:eastAsia="Arial" w:hAnsi="Arial"/>
          <w:b/>
          <w:bCs/>
          <w:color w:val="595959"/>
          <w:sz w:val="22"/>
          <w:szCs w:val="22"/>
        </w:rPr>
        <w:t xml:space="preserve">Concurrent Documentation Review: </w:t>
      </w:r>
      <w:r>
        <w:rPr>
          <w:rFonts w:ascii="Arial" w:cs="Arial" w:eastAsia="Arial" w:hAnsi="Arial"/>
          <w:color w:val="595959"/>
          <w:sz w:val="22"/>
          <w:szCs w:val="22"/>
        </w:rPr>
        <w:t xml:space="preserve">Review clinical documentation in real-time during the patient’s hospital stay. Analyze physician notes, lab results, imaging reports, medication orders, and nursing assessments to identify documentation gaps. Compare documented diagnoses against clinical indicators (lab values, vital signs, medications, treatments) to identify conditions that are clinically evident but not explicitly documented.</w:t>
      </w:r>
    </w:p>
    <w:p>
      <w:pPr>
        <w:pStyle w:val="ListParagraph"/>
        <w:numPr>
          <w:ilvl w:val="0"/>
          <w:numId w:val="2"/>
        </w:numPr>
        <w:spacing w:after="80"/>
      </w:pPr>
      <w:r>
        <w:rPr>
          <w:rFonts w:ascii="Arial" w:cs="Arial" w:eastAsia="Arial" w:hAnsi="Arial"/>
          <w:b/>
          <w:bCs/>
          <w:color w:val="595959"/>
          <w:sz w:val="22"/>
          <w:szCs w:val="22"/>
        </w:rPr>
        <w:t xml:space="preserve">Physician Query Generation: </w:t>
      </w:r>
      <w:r>
        <w:rPr>
          <w:rFonts w:ascii="Arial" w:cs="Arial" w:eastAsia="Arial" w:hAnsi="Arial"/>
          <w:color w:val="595959"/>
          <w:sz w:val="22"/>
          <w:szCs w:val="22"/>
        </w:rPr>
        <w:t xml:space="preserve">Generate compliant physician queries following AHIMA/ACDIS query practice guidelines. Formulate queries as open-ended, non-leading questions that present clinical indicators and ask the physician to clarify or specify diagnoses. Route queries through the EHR query workflow for physician response. Track query response rates and escalate non-responses per organizational policy.</w:t>
      </w:r>
    </w:p>
    <w:p>
      <w:pPr>
        <w:pStyle w:val="ListParagraph"/>
        <w:numPr>
          <w:ilvl w:val="0"/>
          <w:numId w:val="2"/>
        </w:numPr>
        <w:spacing w:after="80"/>
      </w:pPr>
      <w:r>
        <w:rPr>
          <w:rFonts w:ascii="Arial" w:cs="Arial" w:eastAsia="Arial" w:hAnsi="Arial"/>
          <w:b/>
          <w:bCs/>
          <w:color w:val="595959"/>
          <w:sz w:val="22"/>
          <w:szCs w:val="22"/>
        </w:rPr>
        <w:t xml:space="preserve">DRG and Risk Adjustment Optimization: </w:t>
      </w:r>
      <w:r>
        <w:rPr>
          <w:rFonts w:ascii="Arial" w:cs="Arial" w:eastAsia="Arial" w:hAnsi="Arial"/>
          <w:color w:val="595959"/>
          <w:sz w:val="22"/>
          <w:szCs w:val="22"/>
        </w:rPr>
        <w:t xml:space="preserve">Analyze working DRG assignments and identify potential DRG shifts based on documentation improvement opportunities. Calculate CC/MCC capture rates and identify cases with unrealized severity documentation. For managed care populations, identify HCC coding opportunities for accurate risk adjustment. Quantify the financial impact of documentation improvement opportunities.</w:t>
      </w:r>
    </w:p>
    <w:p>
      <w:pPr>
        <w:pStyle w:val="ListParagraph"/>
        <w:numPr>
          <w:ilvl w:val="0"/>
          <w:numId w:val="2"/>
        </w:numPr>
        <w:spacing w:after="80"/>
      </w:pPr>
      <w:r>
        <w:rPr>
          <w:rFonts w:ascii="Arial" w:cs="Arial" w:eastAsia="Arial" w:hAnsi="Arial"/>
          <w:b/>
          <w:bCs/>
          <w:color w:val="595959"/>
          <w:sz w:val="22"/>
          <w:szCs w:val="22"/>
        </w:rPr>
        <w:t xml:space="preserve">Quality and Compliance Documentation: </w:t>
      </w:r>
      <w:r>
        <w:rPr>
          <w:rFonts w:ascii="Arial" w:cs="Arial" w:eastAsia="Arial" w:hAnsi="Arial"/>
          <w:color w:val="595959"/>
          <w:sz w:val="22"/>
          <w:szCs w:val="22"/>
        </w:rPr>
        <w:t xml:space="preserve">Identify documentation essential for accurate quality measure reporting (mortality, readmissions, Patient Safety Indicators). Ensure present-on-admission (POA) indicators are accurately documented. Support clinical validity of coded diagnoses when challenged by payer audits. Educate physicians on the connection between documentation and quality outcomes.</w:t>
      </w:r>
    </w:p>
    <w:p>
      <w:pPr>
        <w:pStyle w:val="ListParagraph"/>
        <w:numPr>
          <w:ilvl w:val="0"/>
          <w:numId w:val="2"/>
        </w:numPr>
        <w:spacing w:after="80"/>
      </w:pPr>
      <w:r>
        <w:rPr>
          <w:rFonts w:ascii="Arial" w:cs="Arial" w:eastAsia="Arial" w:hAnsi="Arial"/>
          <w:b/>
          <w:bCs/>
          <w:color w:val="595959"/>
          <w:sz w:val="22"/>
          <w:szCs w:val="22"/>
        </w:rPr>
        <w:t xml:space="preserve">CDI Program Analytics: </w:t>
      </w:r>
      <w:r>
        <w:rPr>
          <w:rFonts w:ascii="Arial" w:cs="Arial" w:eastAsia="Arial" w:hAnsi="Arial"/>
          <w:color w:val="595959"/>
          <w:sz w:val="22"/>
          <w:szCs w:val="22"/>
        </w:rPr>
        <w:t xml:space="preserve">Track CDI program metrics including query volume, response rates, query agreement rates, DRG change rates, and financial impact. Generate physician-specific documentation quality profiles. Identify educational opportunities based on query pattern analysis. Benchmark CDI performance against ACDIS national metrics.</w:t>
      </w:r>
    </w:p>
    <w:p>
      <w:pPr>
        <w:pStyle w:val="Heading2"/>
        <w:spacing w:after="160" w:before="280"/>
      </w:pPr>
      <w:r>
        <w:rPr>
          <w:rFonts w:ascii="Arial" w:cs="Arial" w:eastAsia="Arial" w:hAnsi="Arial"/>
          <w:b/>
          <w:bCs/>
          <w:color w:val="1F3864"/>
          <w:sz w:val="28"/>
          <w:szCs w:val="28"/>
        </w:rPr>
        <w:t xml:space="preserve">4. Tasks the AI Performs</w:t>
      </w:r>
    </w:p>
    <w:p>
      <w:pPr>
        <w:pStyle w:val="ListParagraph"/>
        <w:numPr>
          <w:ilvl w:val="0"/>
          <w:numId w:val="2"/>
        </w:numPr>
        <w:spacing w:after="80"/>
      </w:pPr>
      <w:r>
        <w:rPr>
          <w:rFonts w:ascii="Arial" w:cs="Arial" w:eastAsia="Arial" w:hAnsi="Arial"/>
          <w:color w:val="595959"/>
          <w:sz w:val="22"/>
          <w:szCs w:val="22"/>
        </w:rPr>
        <w:t xml:space="preserve">Review 30-50 concurrent inpatient cases daily for documentation improvement opportunities.</w:t>
      </w:r>
    </w:p>
    <w:p>
      <w:pPr>
        <w:pStyle w:val="ListParagraph"/>
        <w:numPr>
          <w:ilvl w:val="0"/>
          <w:numId w:val="2"/>
        </w:numPr>
        <w:spacing w:after="80"/>
      </w:pPr>
      <w:r>
        <w:rPr>
          <w:rFonts w:ascii="Arial" w:cs="Arial" w:eastAsia="Arial" w:hAnsi="Arial"/>
          <w:color w:val="595959"/>
          <w:sz w:val="22"/>
          <w:szCs w:val="22"/>
        </w:rPr>
        <w:t xml:space="preserve">Generate 15-25 physician queries daily targeting documentation specificity and completeness.</w:t>
      </w:r>
    </w:p>
    <w:p>
      <w:pPr>
        <w:pStyle w:val="ListParagraph"/>
        <w:numPr>
          <w:ilvl w:val="0"/>
          <w:numId w:val="2"/>
        </w:numPr>
        <w:spacing w:after="80"/>
      </w:pPr>
      <w:r>
        <w:rPr>
          <w:rFonts w:ascii="Arial" w:cs="Arial" w:eastAsia="Arial" w:hAnsi="Arial"/>
          <w:color w:val="595959"/>
          <w:sz w:val="22"/>
          <w:szCs w:val="22"/>
        </w:rPr>
        <w:t xml:space="preserve">Track and escalate unanswered queries at 24-hour, 48-hour, and 72-hour intervals.</w:t>
      </w:r>
    </w:p>
    <w:p>
      <w:pPr>
        <w:pStyle w:val="ListParagraph"/>
        <w:numPr>
          <w:ilvl w:val="0"/>
          <w:numId w:val="2"/>
        </w:numPr>
        <w:spacing w:after="80"/>
      </w:pPr>
      <w:r>
        <w:rPr>
          <w:rFonts w:ascii="Arial" w:cs="Arial" w:eastAsia="Arial" w:hAnsi="Arial"/>
          <w:color w:val="595959"/>
          <w:sz w:val="22"/>
          <w:szCs w:val="22"/>
        </w:rPr>
        <w:t xml:space="preserve">Calculate working DRG and compare against optimal DRG based on clinical indicators.</w:t>
      </w:r>
    </w:p>
    <w:p>
      <w:pPr>
        <w:pStyle w:val="ListParagraph"/>
        <w:numPr>
          <w:ilvl w:val="0"/>
          <w:numId w:val="2"/>
        </w:numPr>
        <w:spacing w:after="80"/>
      </w:pPr>
      <w:r>
        <w:rPr>
          <w:rFonts w:ascii="Arial" w:cs="Arial" w:eastAsia="Arial" w:hAnsi="Arial"/>
          <w:color w:val="595959"/>
          <w:sz w:val="22"/>
          <w:szCs w:val="22"/>
        </w:rPr>
        <w:t xml:space="preserve">Identify cases with CC/MCC opportunities missed in current documentation.</w:t>
      </w:r>
    </w:p>
    <w:p>
      <w:pPr>
        <w:pStyle w:val="ListParagraph"/>
        <w:numPr>
          <w:ilvl w:val="0"/>
          <w:numId w:val="2"/>
        </w:numPr>
        <w:spacing w:after="80"/>
      </w:pPr>
      <w:r>
        <w:rPr>
          <w:rFonts w:ascii="Arial" w:cs="Arial" w:eastAsia="Arial" w:hAnsi="Arial"/>
          <w:color w:val="595959"/>
          <w:sz w:val="22"/>
          <w:szCs w:val="22"/>
        </w:rPr>
        <w:t xml:space="preserve">Monitor mortality documentation for accurate reporting (palliative care, comfort measures, expected death documentation).</w:t>
      </w:r>
    </w:p>
    <w:p>
      <w:pPr>
        <w:pStyle w:val="ListParagraph"/>
        <w:numPr>
          <w:ilvl w:val="0"/>
          <w:numId w:val="2"/>
        </w:numPr>
        <w:spacing w:after="80"/>
      </w:pPr>
      <w:r>
        <w:rPr>
          <w:rFonts w:ascii="Arial" w:cs="Arial" w:eastAsia="Arial" w:hAnsi="Arial"/>
          <w:color w:val="595959"/>
          <w:sz w:val="22"/>
          <w:szCs w:val="22"/>
        </w:rPr>
        <w:t xml:space="preserve">Review cases with POA-exempt conditions to ensure accurate present-on-admission assignment.</w:t>
      </w:r>
    </w:p>
    <w:p>
      <w:pPr>
        <w:pStyle w:val="ListParagraph"/>
        <w:numPr>
          <w:ilvl w:val="0"/>
          <w:numId w:val="2"/>
        </w:numPr>
        <w:spacing w:after="80"/>
      </w:pPr>
      <w:r>
        <w:rPr>
          <w:rFonts w:ascii="Arial" w:cs="Arial" w:eastAsia="Arial" w:hAnsi="Arial"/>
          <w:color w:val="595959"/>
          <w:sz w:val="22"/>
          <w:szCs w:val="22"/>
        </w:rPr>
        <w:t xml:space="preserve">Generate weekly CDI dashboard with query volumes, response rates, DRG impacts, and financial outcomes.</w:t>
      </w:r>
    </w:p>
    <w:p>
      <w:pPr>
        <w:pStyle w:val="ListParagraph"/>
        <w:numPr>
          <w:ilvl w:val="0"/>
          <w:numId w:val="2"/>
        </w:numPr>
        <w:spacing w:after="80"/>
      </w:pPr>
      <w:r>
        <w:rPr>
          <w:rFonts w:ascii="Arial" w:cs="Arial" w:eastAsia="Arial" w:hAnsi="Arial"/>
          <w:color w:val="595959"/>
          <w:sz w:val="22"/>
          <w:szCs w:val="22"/>
        </w:rPr>
        <w:t xml:space="preserve">Identify HCC coding gaps for managed care patients and generate appropriate queries.</w:t>
      </w:r>
    </w:p>
    <w:p>
      <w:pPr>
        <w:pStyle w:val="ListParagraph"/>
        <w:numPr>
          <w:ilvl w:val="0"/>
          <w:numId w:val="2"/>
        </w:numPr>
        <w:spacing w:after="80"/>
      </w:pPr>
      <w:r>
        <w:rPr>
          <w:rFonts w:ascii="Arial" w:cs="Arial" w:eastAsia="Arial" w:hAnsi="Arial"/>
          <w:color w:val="595959"/>
          <w:sz w:val="22"/>
          <w:szCs w:val="22"/>
        </w:rPr>
        <w:t xml:space="preserve">Conduct retrospective documentation reviews for quality-related diagnoses (sepsis, malnutrition, acute kidney injury).</w:t>
      </w:r>
    </w:p>
    <w:p>
      <w:pPr>
        <w:pStyle w:val="ListParagraph"/>
        <w:numPr>
          <w:ilvl w:val="0"/>
          <w:numId w:val="2"/>
        </w:numPr>
        <w:spacing w:after="80"/>
      </w:pPr>
      <w:r>
        <w:rPr>
          <w:rFonts w:ascii="Arial" w:cs="Arial" w:eastAsia="Arial" w:hAnsi="Arial"/>
          <w:color w:val="595959"/>
          <w:sz w:val="22"/>
          <w:szCs w:val="22"/>
        </w:rPr>
        <w:t xml:space="preserve">Prepare documentation for payer audit defense when DRG downgrades are challenged.</w:t>
      </w:r>
    </w:p>
    <w:p>
      <w:pPr>
        <w:pStyle w:val="ListParagraph"/>
        <w:numPr>
          <w:ilvl w:val="0"/>
          <w:numId w:val="2"/>
        </w:numPr>
        <w:spacing w:after="80"/>
      </w:pPr>
      <w:r>
        <w:rPr>
          <w:rFonts w:ascii="Arial" w:cs="Arial" w:eastAsia="Arial" w:hAnsi="Arial"/>
          <w:color w:val="595959"/>
          <w:sz w:val="22"/>
          <w:szCs w:val="22"/>
        </w:rPr>
        <w:t xml:space="preserve">Generate monthly physician documentation quality scorecards for medical staff leadership.</w:t>
      </w:r>
    </w:p>
    <w:p>
      <w:pPr>
        <w:pStyle w:val="ListParagraph"/>
        <w:numPr>
          <w:ilvl w:val="0"/>
          <w:numId w:val="2"/>
        </w:numPr>
        <w:spacing w:after="80"/>
      </w:pPr>
      <w:r>
        <w:rPr>
          <w:rFonts w:ascii="Arial" w:cs="Arial" w:eastAsia="Arial" w:hAnsi="Arial"/>
          <w:color w:val="595959"/>
          <w:sz w:val="22"/>
          <w:szCs w:val="22"/>
        </w:rPr>
        <w:t xml:space="preserve">Track CDI program ROI by comparing documentation-driven revenue capture against program costs.</w:t>
      </w:r>
    </w:p>
    <w:p>
      <w:pPr>
        <w:pStyle w:val="ListParagraph"/>
        <w:numPr>
          <w:ilvl w:val="0"/>
          <w:numId w:val="2"/>
        </w:numPr>
        <w:spacing w:after="80"/>
      </w:pPr>
      <w:r>
        <w:rPr>
          <w:rFonts w:ascii="Arial" w:cs="Arial" w:eastAsia="Arial" w:hAnsi="Arial"/>
          <w:color w:val="595959"/>
          <w:sz w:val="22"/>
          <w:szCs w:val="22"/>
        </w:rPr>
        <w:t xml:space="preserve">Identify documentation improvement educational topics based on query pattern analysis.</w:t>
      </w:r>
    </w:p>
    <w:p>
      <w:pPr>
        <w:pStyle w:val="ListParagraph"/>
        <w:numPr>
          <w:ilvl w:val="0"/>
          <w:numId w:val="2"/>
        </w:numPr>
        <w:spacing w:after="80"/>
      </w:pPr>
      <w:r>
        <w:rPr>
          <w:rFonts w:ascii="Arial" w:cs="Arial" w:eastAsia="Arial" w:hAnsi="Arial"/>
          <w:color w:val="595959"/>
          <w:sz w:val="22"/>
          <w:szCs w:val="22"/>
        </w:rPr>
        <w:t xml:space="preserve">Support compliance team with documentation integrity reviews as part of coding compliance program.</w:t>
      </w:r>
    </w:p>
    <w:p>
      <w:pPr>
        <w:pStyle w:val="Heading2"/>
        <w:spacing w:after="160" w:before="280"/>
      </w:pPr>
      <w:r>
        <w:rPr>
          <w:rFonts w:ascii="Arial" w:cs="Arial" w:eastAsia="Arial" w:hAnsi="Arial"/>
          <w:b/>
          <w:bCs/>
          <w:color w:val="1F3864"/>
          <w:sz w:val="28"/>
          <w:szCs w:val="28"/>
        </w:rPr>
        <w:t xml:space="preserve">5. Tools and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Systems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EHR/CDI Platform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Epic CDI Module, 3M 360 Encompass, Optum CDI, Iodine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Documentation review, query generation, DRG analysis, clinical indicators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Coding/Grouper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3M APR-DRG, MS-DRG grouper, TruCode, Optum Encoder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DRG calculation, CC/MCC analysis, code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NLP/AI Engine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3M M*Modal, Nuance DAX, Iodine Cognitive ML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Automated documentation screening, clinical indicator detection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Tableau, Power BI, Vizient Clinical Database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CDI dashboards, physician profiling, benchmark analysis, financial modeling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query workflow, CDI platform query module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routing, response tracking, escalation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Risk Adjustment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Episource, Vatica Health, HCC prospecting tools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HCC gap identification, RAF score optimization, risk adjustment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Defense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Case preparation tools, clinical evidence compilation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Payer audit response, DRG validation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EHR messaging, secure email, Slack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queries, CDI team coordination, leadership reporting</w:t>
            </w:r>
          </w:p>
        </w:tc>
      </w:tr>
    </w:tbl>
    <w:p>
      <w:pPr>
        <w:pStyle w:val="Heading2"/>
        <w:spacing w:after="160" w:before="280"/>
      </w:pPr>
      <w:r>
        <w:rPr>
          <w:rFonts w:ascii="Arial" w:cs="Arial" w:eastAsia="Arial" w:hAnsi="Arial"/>
          <w:b/>
          <w:bCs/>
          <w:color w:val="1F3864"/>
          <w:sz w:val="28"/>
          <w:szCs w:val="28"/>
        </w:rPr>
        <w:t xml:space="preserve">6. Data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Clinical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read access to clinical documentation for CDI review; cannot modify physician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Lab/Diagnostic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lab values, imaging reports, and pathology for clinical indicator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Coding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current coded diagnoses and DRG assignments; cannot modify code assignments (coder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PHI (HIPAA)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Generate and track queries; cannot answer queries on behalf of physicians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Impact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 DRG payment differentials and CDI revenue impact; no access to contract 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 Measure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quality-relevant documentation for ensuring accurate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Profiles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Confidential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Create and maintain physician documentation quality profiles; shared with medical staff leadership only</w:t>
            </w:r>
          </w:p>
        </w:tc>
      </w:tr>
    </w:tbl>
    <w:p>
      <w:pPr>
        <w:pStyle w:val="Heading2"/>
        <w:spacing w:after="160" w:before="280"/>
      </w:pPr>
      <w:r>
        <w:rPr>
          <w:rFonts w:ascii="Arial" w:cs="Arial" w:eastAsia="Arial" w:hAnsi="Arial"/>
          <w:b/>
          <w:bCs/>
          <w:color w:val="1F3864"/>
          <w:sz w:val="28"/>
          <w:szCs w:val="28"/>
        </w:rPr>
        <w:t xml:space="preserve">7. Communication Capabilities</w:t>
      </w:r>
    </w:p>
    <w:p>
      <w:pPr>
        <w:pStyle w:val="ListParagraph"/>
        <w:numPr>
          <w:ilvl w:val="0"/>
          <w:numId w:val="2"/>
        </w:numPr>
        <w:spacing w:after="80"/>
      </w:pPr>
      <w:r>
        <w:rPr>
          <w:rFonts w:ascii="Arial" w:cs="Arial" w:eastAsia="Arial" w:hAnsi="Arial"/>
          <w:b/>
          <w:bCs/>
          <w:color w:val="595959"/>
          <w:sz w:val="22"/>
          <w:szCs w:val="22"/>
        </w:rPr>
        <w:t xml:space="preserve">Voice/Video: </w:t>
      </w:r>
      <w:r>
        <w:rPr>
          <w:rFonts w:ascii="Arial" w:cs="Arial" w:eastAsia="Arial" w:hAnsi="Arial"/>
          <w:color w:val="595959"/>
          <w:sz w:val="22"/>
          <w:szCs w:val="22"/>
        </w:rPr>
        <w:t xml:space="preserve">Presents CDI program results to medical staff committees and department meetings. Conducts physician education sessions on documentation best practices. Participates in case conferences for complex documentation scenarios.</w:t>
      </w:r>
    </w:p>
    <w:p>
      <w:pPr>
        <w:pStyle w:val="ListParagraph"/>
        <w:numPr>
          <w:ilvl w:val="0"/>
          <w:numId w:val="2"/>
        </w:numPr>
        <w:spacing w:after="80"/>
      </w:pPr>
      <w:r>
        <w:rPr>
          <w:rFonts w:ascii="Arial" w:cs="Arial" w:eastAsia="Arial" w:hAnsi="Arial"/>
          <w:b/>
          <w:bCs/>
          <w:color w:val="595959"/>
          <w:sz w:val="22"/>
          <w:szCs w:val="22"/>
        </w:rPr>
        <w:t xml:space="preserve">Chat/Messaging: </w:t>
      </w:r>
      <w:r>
        <w:rPr>
          <w:rFonts w:ascii="Arial" w:cs="Arial" w:eastAsia="Arial" w:hAnsi="Arial"/>
          <w:color w:val="595959"/>
          <w:sz w:val="22"/>
          <w:szCs w:val="22"/>
        </w:rPr>
        <w:t xml:space="preserve">Sends query notifications to physicians via EHR messaging with direct links to the query. Alerts CDI team to high-priority cases requiring immediate review. Communicates DRG shift opportunities to coding team.</w:t>
      </w:r>
    </w:p>
    <w:p>
      <w:pPr>
        <w:pStyle w:val="ListParagraph"/>
        <w:numPr>
          <w:ilvl w:val="0"/>
          <w:numId w:val="2"/>
        </w:numPr>
        <w:spacing w:after="80"/>
      </w:pPr>
      <w:r>
        <w:rPr>
          <w:rFonts w:ascii="Arial" w:cs="Arial" w:eastAsia="Arial" w:hAnsi="Arial"/>
          <w:b/>
          <w:bCs/>
          <w:color w:val="595959"/>
          <w:sz w:val="22"/>
          <w:szCs w:val="22"/>
        </w:rPr>
        <w:t xml:space="preserve">Email: </w:t>
      </w:r>
      <w:r>
        <w:rPr>
          <w:rFonts w:ascii="Arial" w:cs="Arial" w:eastAsia="Arial" w:hAnsi="Arial"/>
          <w:color w:val="595959"/>
          <w:sz w:val="22"/>
          <w:szCs w:val="22"/>
        </w:rPr>
        <w:t xml:space="preserve">Distributes monthly CDI program dashboards to leadership and medical staff. Sends physician-specific documentation quality scorecards. Communicates CDI educational materials and coding guideline updates.</w:t>
      </w:r>
    </w:p>
    <w:p>
      <w:pPr>
        <w:pStyle w:val="Heading2"/>
        <w:spacing w:after="160" w:before="280"/>
      </w:pPr>
      <w:r>
        <w:rPr>
          <w:rFonts w:ascii="Arial" w:cs="Arial" w:eastAsia="Arial" w:hAnsi="Arial"/>
          <w:b/>
          <w:bCs/>
          <w:color w:val="1F3864"/>
          <w:sz w:val="28"/>
          <w:szCs w:val="28"/>
        </w:rPr>
        <w:t xml:space="preserve">8. Example Workflows</w:t>
      </w:r>
    </w:p>
    <w:p>
      <w:pPr>
        <w:pStyle w:val="Heading3"/>
        <w:spacing w:after="120" w:before="240"/>
      </w:pPr>
      <w:r>
        <w:rPr>
          <w:rFonts w:ascii="Arial" w:cs="Arial" w:eastAsia="Arial" w:hAnsi="Arial"/>
          <w:b/>
          <w:bCs/>
          <w:color w:val="2E75B6"/>
          <w:sz w:val="24"/>
          <w:szCs w:val="24"/>
        </w:rPr>
        <w:t xml:space="preserve">Workflow: Concurrent CDI Review with Physician Query</w:t>
      </w:r>
    </w:p>
    <w:p>
      <w:pPr>
        <w:pStyle w:val="ListParagraph"/>
        <w:numPr>
          <w:ilvl w:val="0"/>
          <w:numId w:val="2"/>
        </w:numPr>
        <w:spacing w:after="80"/>
      </w:pPr>
      <w:r>
        <w:rPr>
          <w:rFonts w:ascii="Arial" w:cs="Arial" w:eastAsia="Arial" w:hAnsi="Arial"/>
          <w:color w:val="595959"/>
          <w:sz w:val="22"/>
          <w:szCs w:val="22"/>
        </w:rPr>
        <w:t xml:space="preserve">Step 1: Patient admitted with pneumonia (initial working diagnosis: J18.9 — unspecified pneumonia). Working DRG: 195 (Simple Pneumonia, weight 0.71).</w:t>
      </w:r>
    </w:p>
    <w:p>
      <w:pPr>
        <w:pStyle w:val="ListParagraph"/>
        <w:numPr>
          <w:ilvl w:val="0"/>
          <w:numId w:val="2"/>
        </w:numPr>
        <w:spacing w:after="80"/>
      </w:pPr>
      <w:r>
        <w:rPr>
          <w:rFonts w:ascii="Arial" w:cs="Arial" w:eastAsia="Arial" w:hAnsi="Arial"/>
          <w:color w:val="595959"/>
          <w:sz w:val="22"/>
          <w:szCs w:val="22"/>
        </w:rPr>
        <w:t xml:space="preserve">Step 2: Review clinical documentation: chest X-ray shows bilateral infiltrates, WBC 18,000, procalcitonin elevated, blood cultures pending.</w:t>
      </w:r>
    </w:p>
    <w:p>
      <w:pPr>
        <w:pStyle w:val="ListParagraph"/>
        <w:numPr>
          <w:ilvl w:val="0"/>
          <w:numId w:val="2"/>
        </w:numPr>
        <w:spacing w:after="80"/>
      </w:pPr>
      <w:r>
        <w:rPr>
          <w:rFonts w:ascii="Arial" w:cs="Arial" w:eastAsia="Arial" w:hAnsi="Arial"/>
          <w:color w:val="595959"/>
          <w:sz w:val="22"/>
          <w:szCs w:val="22"/>
        </w:rPr>
        <w:t xml:space="preserve">Step 3: Review medication orders: patient on IV piperacillin-tazobactam (broad-spectrum antibiotic typically used for more severe infections).</w:t>
      </w:r>
    </w:p>
    <w:p>
      <w:pPr>
        <w:pStyle w:val="ListParagraph"/>
        <w:numPr>
          <w:ilvl w:val="0"/>
          <w:numId w:val="2"/>
        </w:numPr>
        <w:spacing w:after="80"/>
      </w:pPr>
      <w:r>
        <w:rPr>
          <w:rFonts w:ascii="Arial" w:cs="Arial" w:eastAsia="Arial" w:hAnsi="Arial"/>
          <w:color w:val="595959"/>
          <w:sz w:val="22"/>
          <w:szCs w:val="22"/>
        </w:rPr>
        <w:t xml:space="preserve">Step 4: Identify documentation opportunity: clinical indicators (bilateral infiltrates, elevated WBC, broad-spectrum IV antibiotics) suggest possible aspiration pneumonia or bacterial pneumonia with greater specificity than ‘unspecified.’</w:t>
      </w:r>
    </w:p>
    <w:p>
      <w:pPr>
        <w:pStyle w:val="ListParagraph"/>
        <w:numPr>
          <w:ilvl w:val="0"/>
          <w:numId w:val="2"/>
        </w:numPr>
        <w:spacing w:after="80"/>
      </w:pPr>
      <w:r>
        <w:rPr>
          <w:rFonts w:ascii="Arial" w:cs="Arial" w:eastAsia="Arial" w:hAnsi="Arial"/>
          <w:color w:val="595959"/>
          <w:sz w:val="22"/>
          <w:szCs w:val="22"/>
        </w:rPr>
        <w:t xml:space="preserve">Step 5: Review nursing notes: patient has documented dysphagia and is on aspiration precautions.</w:t>
      </w:r>
    </w:p>
    <w:p>
      <w:pPr>
        <w:pStyle w:val="ListParagraph"/>
        <w:numPr>
          <w:ilvl w:val="0"/>
          <w:numId w:val="2"/>
        </w:numPr>
        <w:spacing w:after="80"/>
      </w:pPr>
      <w:r>
        <w:rPr>
          <w:rFonts w:ascii="Arial" w:cs="Arial" w:eastAsia="Arial" w:hAnsi="Arial"/>
          <w:color w:val="595959"/>
          <w:sz w:val="22"/>
          <w:szCs w:val="22"/>
        </w:rPr>
        <w:t xml:space="preserve">Step 6: Generate compliant physician query: ‘Based on the following clinical indicators — bilateral infiltrates on CXR, dysphagia with aspiration precautions, and treatment with piperacillin-tazobactam — please clarify the type of pneumonia: aspiration pneumonia, bacterial pneumonia (organism if known), or other. Your clinical judgment is appreciated.’</w:t>
      </w:r>
    </w:p>
    <w:p>
      <w:pPr>
        <w:pStyle w:val="ListParagraph"/>
        <w:numPr>
          <w:ilvl w:val="0"/>
          <w:numId w:val="2"/>
        </w:numPr>
        <w:spacing w:after="80"/>
      </w:pPr>
      <w:r>
        <w:rPr>
          <w:rFonts w:ascii="Arial" w:cs="Arial" w:eastAsia="Arial" w:hAnsi="Arial"/>
          <w:color w:val="595959"/>
          <w:sz w:val="22"/>
          <w:szCs w:val="22"/>
        </w:rPr>
        <w:t xml:space="preserve">Step 7: Route query to attending physician via EHR query workflow. Set 24-hour response reminder.</w:t>
      </w:r>
    </w:p>
    <w:p>
      <w:pPr>
        <w:pStyle w:val="ListParagraph"/>
        <w:numPr>
          <w:ilvl w:val="0"/>
          <w:numId w:val="2"/>
        </w:numPr>
        <w:spacing w:after="80"/>
      </w:pPr>
      <w:r>
        <w:rPr>
          <w:rFonts w:ascii="Arial" w:cs="Arial" w:eastAsia="Arial" w:hAnsi="Arial"/>
          <w:color w:val="595959"/>
          <w:sz w:val="22"/>
          <w:szCs w:val="22"/>
        </w:rPr>
        <w:t xml:space="preserve">Step 8: Physician responds: ‘Aspiration pneumonia’ (J69.0). Working DRG shifts to 193 (Simple Pneumonia with MCC, weight 1.49) due to aspiration pneumonia as MCC.</w:t>
      </w:r>
    </w:p>
    <w:p>
      <w:pPr>
        <w:pStyle w:val="ListParagraph"/>
        <w:numPr>
          <w:ilvl w:val="0"/>
          <w:numId w:val="2"/>
        </w:numPr>
        <w:spacing w:after="80"/>
      </w:pPr>
      <w:r>
        <w:rPr>
          <w:rFonts w:ascii="Arial" w:cs="Arial" w:eastAsia="Arial" w:hAnsi="Arial"/>
          <w:color w:val="595959"/>
          <w:sz w:val="22"/>
          <w:szCs w:val="22"/>
        </w:rPr>
        <w:t xml:space="preserve">Step 9: Document query outcome: diagnosis clarified, DRG shifted from 195 to 193, incremental reimbursement approximately $6,200.</w:t>
      </w:r>
    </w:p>
    <w:p>
      <w:pPr>
        <w:pStyle w:val="ListParagraph"/>
        <w:numPr>
          <w:ilvl w:val="0"/>
          <w:numId w:val="2"/>
        </w:numPr>
        <w:spacing w:after="80"/>
      </w:pPr>
      <w:r>
        <w:rPr>
          <w:rFonts w:ascii="Arial" w:cs="Arial" w:eastAsia="Arial" w:hAnsi="Arial"/>
          <w:color w:val="595959"/>
          <w:sz w:val="22"/>
          <w:szCs w:val="22"/>
        </w:rPr>
        <w:t xml:space="preserve">Step 10: Update CDI tracking system with case outcome. Add to physician documentation quality profile.</w:t>
      </w:r>
    </w:p>
    <w:p>
      <w:pPr>
        <w:pStyle w:val="ListParagraph"/>
        <w:numPr>
          <w:ilvl w:val="0"/>
          <w:numId w:val="2"/>
        </w:numPr>
        <w:spacing w:after="80"/>
      </w:pPr>
      <w:r>
        <w:rPr>
          <w:rFonts w:ascii="Arial" w:cs="Arial" w:eastAsia="Arial" w:hAnsi="Arial"/>
          <w:color w:val="595959"/>
          <w:sz w:val="22"/>
          <w:szCs w:val="22"/>
        </w:rPr>
        <w:t xml:space="preserve">Step 11: Include in monthly CDI report as example of documentation improvement impacting both reimbursement and clinical accuracy.</w:t>
      </w:r>
    </w:p>
    <w:p>
      <w:pPr>
        <w:pStyle w:val="Heading2"/>
        <w:spacing w:after="160" w:before="280"/>
      </w:pPr>
      <w:r>
        <w:rPr>
          <w:rFonts w:ascii="Arial" w:cs="Arial" w:eastAsia="Arial" w:hAnsi="Arial"/>
          <w:b/>
          <w:bCs/>
          <w:color w:val="1F3864"/>
          <w:sz w:val="28"/>
          <w:szCs w:val="28"/>
        </w:rPr>
        <w:t xml:space="preserve">9.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Review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90% of target inpatient cases reviewed concurrently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Cases reviewed / eligible admissions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15-25% of reviewed cases generate queries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Queries / cases reviewed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Response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80% physician response within 48 hours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Responses / queries sent within 48 hours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Agreement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70% of queries result in documentation clarification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Agreed queries / total queries answered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CC/MCC Capture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75% of cases with appropriate CC/MCC documentation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CC/MCC cases / total coded inpatient cases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DRG Change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20% of queried cases result in DRG shift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DRG changes / total queries agreed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CDI Financial Impact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 $150 per reviewed case (annualized)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Total CDI-attributed revenue / total cases reviewed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Documentation Quality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Physician average &gt; 85% on documentation quality scorecard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Quarterly scorecard assessments</w:t>
            </w:r>
          </w:p>
        </w:tc>
      </w:tr>
    </w:tbl>
    <w:p>
      <w:pPr>
        <w:pStyle w:val="Heading2"/>
        <w:spacing w:after="160" w:before="280"/>
      </w:pPr>
      <w:r>
        <w:rPr>
          <w:rFonts w:ascii="Arial" w:cs="Arial" w:eastAsia="Arial" w:hAnsi="Arial"/>
          <w:b/>
          <w:bCs/>
          <w:color w:val="1F3864"/>
          <w:sz w:val="28"/>
          <w:szCs w:val="28"/>
        </w:rPr>
        <w:t xml:space="preserve">10. Use Cases</w:t>
      </w:r>
    </w:p>
    <w:p>
      <w:pPr>
        <w:pStyle w:val="Heading3"/>
        <w:spacing w:after="120" w:before="240"/>
      </w:pPr>
      <w:r>
        <w:rPr>
          <w:rFonts w:ascii="Arial" w:cs="Arial" w:eastAsia="Arial" w:hAnsi="Arial"/>
          <w:b/>
          <w:bCs/>
          <w:color w:val="2E75B6"/>
          <w:sz w:val="24"/>
          <w:szCs w:val="24"/>
        </w:rPr>
        <w:t xml:space="preserve">Use Case 1: 300-Bed Community Hospital</w:t>
      </w:r>
    </w:p>
    <w:p>
      <w:pPr>
        <w:spacing w:after="120"/>
      </w:pPr>
      <w:r>
        <w:rPr>
          <w:rFonts w:ascii="Arial" w:cs="Arial" w:eastAsia="Arial" w:hAnsi="Arial"/>
          <w:color w:val="595959"/>
          <w:sz w:val="22"/>
          <w:szCs w:val="22"/>
        </w:rPr>
        <w:t xml:space="preserve">A community hospital deploys the Clinical Documentation Specialist AI to establish its first CDI program without hiring a dedicated CDI team. The AI reviews 100% of inpatient cases (previously 0% CDI coverage), generates 1,200 physician queries in the first year, achieves a 74% query agreement rate, and captures $3.8M in incremental, clinically supported reimbursement. CMI increases from 1.42 to 1.58, accurately reflecting the hospital’s actual patient acuity.</w:t>
      </w:r>
    </w:p>
    <w:p>
      <w:pPr>
        <w:pStyle w:val="Heading3"/>
        <w:spacing w:after="120" w:before="240"/>
      </w:pPr>
      <w:r>
        <w:rPr>
          <w:rFonts w:ascii="Arial" w:cs="Arial" w:eastAsia="Arial" w:hAnsi="Arial"/>
          <w:b/>
          <w:bCs/>
          <w:color w:val="2E75B6"/>
          <w:sz w:val="24"/>
          <w:szCs w:val="24"/>
        </w:rPr>
        <w:t xml:space="preserve">Use Case 2: Academic Medical Center</w:t>
      </w:r>
    </w:p>
    <w:p>
      <w:pPr>
        <w:spacing w:after="120"/>
      </w:pPr>
      <w:r>
        <w:rPr>
          <w:rFonts w:ascii="Arial" w:cs="Arial" w:eastAsia="Arial" w:hAnsi="Arial"/>
          <w:color w:val="595959"/>
          <w:sz w:val="22"/>
          <w:szCs w:val="22"/>
        </w:rPr>
        <w:t xml:space="preserve">A 700-bed academic medical center with an existing 6-person CDI team deploys the AI to augment human CDI specialists. The AI handles initial screening and low-complexity queries, allowing human CDI specialists to focus on complex cases (transplant, trauma, neonatal). CDI coverage increases from 60% to 95% of eligible cases. Annual CDI-attributed revenue increases from $8M to $14M while reducing per-case CDI cost by 40%.</w:t>
      </w:r>
    </w:p>
    <w:p>
      <w:pPr>
        <w:pStyle w:val="Heading3"/>
        <w:spacing w:after="120" w:before="240"/>
      </w:pPr>
      <w:r>
        <w:rPr>
          <w:rFonts w:ascii="Arial" w:cs="Arial" w:eastAsia="Arial" w:hAnsi="Arial"/>
          <w:b/>
          <w:bCs/>
          <w:color w:val="2E75B6"/>
          <w:sz w:val="24"/>
          <w:szCs w:val="24"/>
        </w:rPr>
        <w:t xml:space="preserve">Use Case 3: Medicare Advantage Health Plan</w:t>
      </w:r>
    </w:p>
    <w:p>
      <w:pPr>
        <w:spacing w:after="120"/>
      </w:pPr>
      <w:r>
        <w:rPr>
          <w:rFonts w:ascii="Arial" w:cs="Arial" w:eastAsia="Arial" w:hAnsi="Arial"/>
          <w:color w:val="595959"/>
          <w:sz w:val="22"/>
          <w:szCs w:val="22"/>
        </w:rPr>
        <w:t xml:space="preserve">A health plan deploys the AI across its employed physician network to improve HCC documentation for risk adjustment accuracy. The AI identifies HCC coding gaps during outpatient encounters, generating point-of-care documentation prompts for physicians. RAF score accuracy improves by 8%, representing $12M in appropriate risk-adjusted revenue capture across 50,000 attributed members.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95959"/>
        <w:sz w:val="18"/>
        <w:szCs w:val="18"/>
      </w:rPr>
      <w:t xml:space="preserve">Confidential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2E75B6"/>
        <w:sz w:val="18"/>
        <w:szCs w:val="18"/>
      </w:rPr>
      <w:t xml:space="preserve">NexusHR VX — Phase 6: Healthcare &amp; Life Sciences AI Employee Roles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2026-03-22T12:29:21.025Z</dcterms:created>
  <dcterms:modified xsi:type="dcterms:W3CDTF">2026-03-22T12:29:21.046Z</dcterms:modified>
</cp:coreProperties>
</file>

<file path=docProps/custom.xml><?xml version="1.0" encoding="utf-8"?>
<Properties xmlns="http://schemas.openxmlformats.org/officeDocument/2006/custom-properties" xmlns:vt="http://schemas.openxmlformats.org/officeDocument/2006/docPropsVTypes"/>
</file>