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80"/>
        <w:jc w:val="center"/>
      </w:pPr>
      <w:r>
        <w:rPr>
          <w:rFonts w:ascii="Arial" w:cs="Arial" w:eastAsia="Arial" w:hAnsi="Arial"/>
          <w:b/>
          <w:bCs/>
          <w:color w:val="1A3C5E"/>
          <w:sz w:val="52"/>
          <w:szCs w:val="52"/>
          <w:rtl/>
        </w:rPr>
        <w:t xml:space="preserve">عامر  |  Amer</w:t>
      </w:r>
    </w:p>
    <w:p>
      <w:pPr>
        <w:spacing w:before="0" w:after="240"/>
        <w:jc w:val="center"/>
      </w:pPr>
      <w:r>
        <w:rPr>
          <w:rFonts w:ascii="Arial" w:cs="Arial" w:eastAsia="Arial" w:hAnsi="Arial"/>
          <w:b/>
          <w:bCs/>
          <w:color w:val="2E6DA4"/>
          <w:sz w:val="28"/>
          <w:szCs w:val="28"/>
          <w:rtl/>
        </w:rPr>
        <w:t xml:space="preserve">منظومة التموضع المهني الاحترافي</w:t>
      </w:r>
    </w:p>
    <w:p>
      <w:pPr>
        <w:pBdr>
          <w:top w:val="single" w:color="2E6DA4" w:sz="6"/>
          <w:bottom w:val="single" w:color="2E6DA4" w:sz="6"/>
        </w:pBdr>
        <w:spacing w:before="80" w:after="80"/>
        <w:jc w:val="center"/>
      </w:pPr>
      <w:r>
        <w:rPr>
          <w:rFonts w:ascii="Arial" w:cs="Arial" w:eastAsia="Arial" w:hAnsi="Arial"/>
          <w:color w:val="555555"/>
          <w:sz w:val="18"/>
          <w:szCs w:val="18"/>
          <w:rtl/>
        </w:rPr>
        <w:t xml:space="preserve">الدستور الاستراتيجي الرئيسي  ·  2026  ·  المرحلة الأولى — البنية التأسيسية</w:t>
      </w:r>
    </w:p>
    <w:p>
      <w:pPr>
        <w:spacing w:before="1800" w:after="0"/>
      </w:pPr>
    </w:p>
    <w:p>
      <w:pPr>
        <w:bidi/>
        <w:spacing w:before="60" w:after="60"/>
        <w:jc w:val="right"/>
      </w:pPr>
      <w:r>
        <w:rPr>
          <w:rFonts w:ascii="Arial" w:cs="Arial" w:eastAsia="Arial" w:hAnsi="Arial"/>
          <w:sz w:val="20"/>
          <w:szCs w:val="20"/>
          <w:rtl/>
        </w:rPr>
        <w:t xml:space="preserve">سري — مرجع استراتيجي داخلي</w:t>
      </w:r>
      <w:r>
        <w:rPr>
          <w:rFonts w:ascii="Arial" w:cs="Arial" w:eastAsia="Arial" w:hAnsi="Arial"/>
          <w:b/>
          <w:bCs/>
          <w:sz w:val="20"/>
          <w:szCs w:val="20"/>
          <w:rtl/>
        </w:rPr>
        <w:t xml:space="preserve">  :التصنيف</w:t>
      </w:r>
    </w:p>
    <w:p>
      <w:pPr>
        <w:bidi/>
        <w:spacing w:before="60" w:after="60"/>
        <w:jc w:val="right"/>
      </w:pPr>
      <w:r>
        <w:rPr>
          <w:rFonts w:ascii="Arial" w:cs="Arial" w:eastAsia="Arial" w:hAnsi="Arial"/>
          <w:sz w:val="20"/>
          <w:szCs w:val="20"/>
          <w:rtl/>
        </w:rPr>
        <w:t xml:space="preserve">المرحلة الأولى — نشطة</w:t>
      </w:r>
      <w:r>
        <w:rPr>
          <w:rFonts w:ascii="Arial" w:cs="Arial" w:eastAsia="Arial" w:hAnsi="Arial"/>
          <w:b/>
          <w:bCs/>
          <w:sz w:val="20"/>
          <w:szCs w:val="20"/>
          <w:rtl/>
        </w:rPr>
        <w:t xml:space="preserve">  :الحالة</w:t>
      </w:r>
    </w:p>
    <w:p>
      <w:pPr>
        <w:bidi/>
        <w:spacing w:before="60" w:after="60"/>
        <w:jc w:val="right"/>
      </w:pPr>
      <w:r>
        <w:rPr>
          <w:rFonts w:ascii="Arial" w:cs="Arial" w:eastAsia="Arial" w:hAnsi="Arial"/>
          <w:sz w:val="20"/>
          <w:szCs w:val="20"/>
          <w:rtl/>
        </w:rPr>
        <w:t xml:space="preserve">1.0.0</w:t>
      </w:r>
      <w:r>
        <w:rPr>
          <w:rFonts w:ascii="Arial" w:cs="Arial" w:eastAsia="Arial" w:hAnsi="Arial"/>
          <w:b/>
          <w:bCs/>
          <w:sz w:val="20"/>
          <w:szCs w:val="20"/>
          <w:rtl/>
        </w:rPr>
        <w:t xml:space="preserve">  :إصدار الوثيقة</w:t>
      </w:r>
    </w:p>
    <w:p>
      <w:pPr>
        <w:bidi/>
        <w:spacing w:before="60" w:after="60"/>
        <w:jc w:val="right"/>
      </w:pPr>
      <w:r>
        <w:rPr>
          <w:rFonts w:ascii="Arial" w:cs="Arial" w:eastAsia="Arial" w:hAnsi="Arial"/>
          <w:sz w:val="20"/>
          <w:szCs w:val="20"/>
          <w:rtl/>
        </w:rPr>
        <w:t xml:space="preserve">أكثر من 30 وثيقة فرعية</w:t>
      </w:r>
      <w:r>
        <w:rPr>
          <w:rFonts w:ascii="Arial" w:cs="Arial" w:eastAsia="Arial" w:hAnsi="Arial"/>
          <w:b/>
          <w:bCs/>
          <w:sz w:val="20"/>
          <w:szCs w:val="20"/>
          <w:rtl/>
        </w:rPr>
        <w:t xml:space="preserve">  :إمكانية الاستخراج</w:t>
      </w:r>
    </w:p>
    <w:p>
      <w:pPr>
        <w:bidi/>
        <w:spacing w:before="60" w:after="60"/>
        <w:jc w:val="right"/>
      </w:pPr>
      <w:r>
        <w:rPr>
          <w:rFonts w:ascii="Arial" w:cs="Arial" w:eastAsia="Arial" w:hAnsi="Arial"/>
          <w:sz w:val="20"/>
          <w:szCs w:val="20"/>
          <w:rtl/>
        </w:rPr>
        <w:t xml:space="preserve">عامر</w:t>
      </w:r>
      <w:r>
        <w:rPr>
          <w:rFonts w:ascii="Arial" w:cs="Arial" w:eastAsia="Arial" w:hAnsi="Arial"/>
          <w:b/>
          <w:bCs/>
          <w:sz w:val="20"/>
          <w:szCs w:val="20"/>
          <w:rtl/>
        </w:rPr>
        <w:t xml:space="preserve">  :المالك</w:t>
      </w:r>
    </w:p>
    <w:p>
      <w:r>
        <w:br w:type="page"/>
      </w:r>
    </w:p>
    <w:p>
      <w:pPr>
        <w:pStyle w:val="Heading1"/>
        <w:pBdr>
          <w:bottom w:val="single" w:color="1A3C5E" w:sz="8" w:space="4"/>
        </w:pBdr>
        <w:bidi/>
        <w:spacing w:before="400" w:after="160"/>
        <w:jc w:val="right"/>
      </w:pPr>
      <w:r>
        <w:rPr>
          <w:rFonts w:ascii="Arial" w:cs="Arial" w:eastAsia="Arial" w:hAnsi="Arial"/>
          <w:b/>
          <w:bCs/>
          <w:color w:val="1A3C5E"/>
          <w:sz w:val="28"/>
          <w:szCs w:val="28"/>
          <w:rtl/>
        </w:rPr>
        <w:t xml:space="preserve">القسم الأول — التعريف التشغيلي</w:t>
      </w:r>
    </w:p>
    <w:p>
      <w:pPr>
        <w:pStyle w:val="Heading2"/>
        <w:bidi/>
        <w:spacing w:before="320" w:after="120"/>
        <w:jc w:val="right"/>
      </w:pPr>
      <w:r>
        <w:rPr>
          <w:rFonts w:ascii="Arial" w:cs="Arial" w:eastAsia="Arial" w:hAnsi="Arial"/>
          <w:b/>
          <w:bCs/>
          <w:color w:val="2E6DA4"/>
          <w:sz w:val="24"/>
          <w:szCs w:val="24"/>
          <w:rtl/>
        </w:rPr>
        <w:t xml:space="preserve">1.1 غرض المنظومة</w:t>
      </w:r>
    </w:p>
    <w:p>
      <w:pPr>
        <w:bidi/>
        <w:spacing w:before="80" w:after="80"/>
        <w:jc w:val="right"/>
      </w:pPr>
      <w:r>
        <w:rPr>
          <w:rFonts w:ascii="Arial" w:cs="Arial" w:eastAsia="Arial" w:hAnsi="Arial"/>
          <w:sz w:val="20"/>
          <w:szCs w:val="20"/>
          <w:rtl/>
        </w:rPr>
        <w:t xml:space="preserve">هذا الموقع ليس محفظة أعمال. إنه بنية تحتية لتحديد التموضع المهني — بيئة رقمية منضبطة ومعمارياً، مُصمَّمة للتحكم في الانطباع الأول، وتصفية العملاء الجادين، وتأسيس بنية قابلة للتطور نحو أنظمة متكاملة على المدى البعيد.</w:t>
      </w:r>
    </w:p>
    <w:p>
      <w:pPr>
        <w:spacing w:before="120" w:after="0"/>
      </w:pPr>
    </w:p>
    <w:p>
      <w:pPr>
        <w:bidi/>
        <w:spacing w:before="80" w:after="80"/>
        <w:jc w:val="right"/>
      </w:pPr>
      <w:r>
        <w:rPr>
          <w:rFonts w:ascii="Arial" w:cs="Arial" w:eastAsia="Arial" w:hAnsi="Arial"/>
          <w:sz w:val="20"/>
          <w:szCs w:val="20"/>
          <w:rtl/>
        </w:rPr>
        <w:t xml:space="preserve">تعمل المنظومة وفق ثلاثة أهداف مرتبة تراتبياً، كل هدف خاضع لما سبقه:</w:t>
      </w:r>
    </w:p>
    <w:p>
      <w:pPr>
        <w:pStyle w:val="ListParagraph"/>
        <w:numPr>
          <w:ilvl w:val="0"/>
          <w:numId w:val="2"/>
        </w:numPr>
        <w:bidi/>
        <w:spacing w:before="60" w:after="60"/>
        <w:jc w:val="right"/>
      </w:pPr>
      <w:r>
        <w:rPr>
          <w:rFonts w:ascii="Arial" w:cs="Arial" w:eastAsia="Arial" w:hAnsi="Arial"/>
          <w:sz w:val="20"/>
          <w:szCs w:val="20"/>
          <w:rtl/>
        </w:rPr>
        <w:t xml:space="preserve">الأول — الأساسي: إدارة الانطباع — التحكم الكامل في طريقة تقييم العملاء المؤهلين لكفاءة عامر ومستوى جديته قبل أي تواصل.</w:t>
      </w:r>
    </w:p>
    <w:p>
      <w:pPr>
        <w:pStyle w:val="ListParagraph"/>
        <w:numPr>
          <w:ilvl w:val="0"/>
          <w:numId w:val="2"/>
        </w:numPr>
        <w:bidi/>
        <w:spacing w:before="60" w:after="60"/>
        <w:jc w:val="right"/>
      </w:pPr>
      <w:r>
        <w:rPr>
          <w:rFonts w:ascii="Arial" w:cs="Arial" w:eastAsia="Arial" w:hAnsi="Arial"/>
          <w:sz w:val="20"/>
          <w:szCs w:val="20"/>
          <w:rtl/>
        </w:rPr>
        <w:t xml:space="preserve">الثاني — الثانوي: نشر المعلومات — تقديم بيانات دقيقة ومنظمة عن الهوية المهنية والقدرات والمجال.</w:t>
      </w:r>
    </w:p>
    <w:p>
      <w:pPr>
        <w:pStyle w:val="ListParagraph"/>
        <w:numPr>
          <w:ilvl w:val="0"/>
          <w:numId w:val="2"/>
        </w:numPr>
        <w:bidi/>
        <w:spacing w:before="60" w:after="60"/>
        <w:jc w:val="right"/>
      </w:pPr>
      <w:r>
        <w:rPr>
          <w:rFonts w:ascii="Arial" w:cs="Arial" w:eastAsia="Arial" w:hAnsi="Arial"/>
          <w:sz w:val="20"/>
          <w:szCs w:val="20"/>
          <w:rtl/>
        </w:rPr>
        <w:t xml:space="preserve">الثالث — التعدي المستقبلي: القابلية للتطور — الحفاظ على جاهزية معمارية كاملة للانتقال إلى أنظمة ديناميكية دون تراكم أي دين تقني.</w:t>
      </w:r>
    </w:p>
    <w:p>
      <w:pPr>
        <w:spacing w:before="120" w:after="0"/>
      </w:pPr>
    </w:p>
    <w:p>
      <w:pPr>
        <w:pStyle w:val="Heading2"/>
        <w:bidi/>
        <w:spacing w:before="320" w:after="120"/>
        <w:jc w:val="right"/>
      </w:pPr>
      <w:r>
        <w:rPr>
          <w:rFonts w:ascii="Arial" w:cs="Arial" w:eastAsia="Arial" w:hAnsi="Arial"/>
          <w:b/>
          <w:bCs/>
          <w:color w:val="2E6DA4"/>
          <w:sz w:val="24"/>
          <w:szCs w:val="24"/>
          <w:rtl/>
        </w:rPr>
        <w:t xml:space="preserve">1.2 حدود المنظومة</w:t>
      </w:r>
    </w:p>
    <w:p>
      <w:pPr>
        <w:bidi/>
        <w:spacing w:before="80" w:after="80"/>
        <w:jc w:val="right"/>
      </w:pPr>
      <w:r>
        <w:rPr>
          <w:rFonts w:ascii="Arial" w:cs="Arial" w:eastAsia="Arial" w:hAnsi="Arial"/>
          <w:sz w:val="20"/>
          <w:szCs w:val="20"/>
          <w:rtl/>
        </w:rPr>
        <w:t xml:space="preserve">قيود المرحلة الأولى مقصودة. إنها ليست نقصاً — بل انضباط. كل قيد أدناه ينعكس قراراً هندسياً واعياً، لا إغفالاً: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القيد</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المبرر التشغيلي</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قاعدة بيانات / لا خادم</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يلغي سطح الهجوم ويزيل التعقيد في مرحلة التموضع</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إطار عمل</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يضمن صفر احتكاك عند الهجرة؛ HTML/CSS/JS النظيف يُعادل مباشرةً مكونات React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حركات أو معارض</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يمنع الضوضاء المعرفية؛ يوجّه انتباه المقيّم نحو الإشارة لا الاستعراض</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نداءات للتوظيف الفوري</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يصفي العملاء ذوي القيمة المنخفضة قبل أول تواصل</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شبكة محافظ نمطية</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يرفض القاموس البصري لمستقل-للإيجار كلياً</w:t>
            </w:r>
          </w:p>
        </w:tc>
      </w:tr>
    </w:tbl>
    <w:p>
      <w:pPr>
        <w:spacing w:before="200" w:after="0"/>
      </w:pPr>
    </w:p>
    <w:p>
      <w:pPr>
        <w:pStyle w:val="Heading2"/>
        <w:bidi/>
        <w:spacing w:before="320" w:after="120"/>
        <w:jc w:val="right"/>
      </w:pPr>
      <w:r>
        <w:rPr>
          <w:rFonts w:ascii="Arial" w:cs="Arial" w:eastAsia="Arial" w:hAnsi="Arial"/>
          <w:b/>
          <w:bCs/>
          <w:color w:val="2E6DA4"/>
          <w:sz w:val="24"/>
          <w:szCs w:val="24"/>
          <w:rtl/>
        </w:rPr>
        <w:t xml:space="preserve">1.3 تصنيف الوظيفة</w:t>
      </w:r>
    </w:p>
    <w:p>
      <w:pPr>
        <w:pStyle w:val="ListParagraph"/>
        <w:numPr>
          <w:ilvl w:val="0"/>
          <w:numId w:val="2"/>
        </w:numPr>
        <w:bidi/>
        <w:spacing w:before="60" w:after="60"/>
        <w:jc w:val="right"/>
      </w:pPr>
      <w:r>
        <w:rPr>
          <w:rFonts w:ascii="Arial" w:cs="Arial" w:eastAsia="Arial" w:hAnsi="Arial"/>
          <w:sz w:val="20"/>
          <w:szCs w:val="20"/>
          <w:rtl/>
        </w:rPr>
        <w:t xml:space="preserve">ناقل إشارة ثقة: كل قرار هيكلي يعكس الموثوقية.</w:t>
      </w:r>
    </w:p>
    <w:p>
      <w:pPr>
        <w:pStyle w:val="ListParagraph"/>
        <w:numPr>
          <w:ilvl w:val="0"/>
          <w:numId w:val="2"/>
        </w:numPr>
        <w:bidi/>
        <w:spacing w:before="60" w:after="60"/>
        <w:jc w:val="right"/>
      </w:pPr>
      <w:r>
        <w:rPr>
          <w:rFonts w:ascii="Arial" w:cs="Arial" w:eastAsia="Arial" w:hAnsi="Arial"/>
          <w:sz w:val="20"/>
          <w:szCs w:val="20"/>
          <w:rtl/>
        </w:rPr>
        <w:t xml:space="preserve">آلية تصفية: التصميم واللغة يطردان الآفاق غير المتوافقة؛ ويجذبان صانعي قرار يعملون على مستوى الأنظمة.</w:t>
      </w:r>
    </w:p>
    <w:p>
      <w:pPr>
        <w:pStyle w:val="ListParagraph"/>
        <w:numPr>
          <w:ilvl w:val="0"/>
          <w:numId w:val="2"/>
        </w:numPr>
        <w:bidi/>
        <w:spacing w:before="60" w:after="60"/>
        <w:jc w:val="right"/>
      </w:pPr>
      <w:r>
        <w:rPr>
          <w:rFonts w:ascii="Arial" w:cs="Arial" w:eastAsia="Arial" w:hAnsi="Arial"/>
          <w:sz w:val="20"/>
          <w:szCs w:val="20"/>
          <w:rtl/>
        </w:rPr>
        <w:t xml:space="preserve">بذرة قابلية التوسع: الكود الحالي هو المرحلة الأولى من تطور خماسي نحو بنية SaaS ومدفوعة بواجهات API.</w:t>
      </w:r>
    </w:p>
    <w:p>
      <w:pPr>
        <w:pStyle w:val="ListParagraph"/>
        <w:numPr>
          <w:ilvl w:val="0"/>
          <w:numId w:val="2"/>
        </w:numPr>
        <w:bidi/>
        <w:spacing w:before="60" w:after="60"/>
        <w:jc w:val="right"/>
      </w:pPr>
      <w:r>
        <w:rPr>
          <w:rFonts w:ascii="Arial" w:cs="Arial" w:eastAsia="Arial" w:hAnsi="Arial"/>
          <w:sz w:val="20"/>
          <w:szCs w:val="20"/>
          <w:rtl/>
        </w:rPr>
        <w:t xml:space="preserve">وكيل سلطة: الموقع بديل عن التفاعل المهني المباشر — يجب أن يؤدي وظيفة المصداقية ذاتها.</w:t>
      </w:r>
    </w:p>
    <w:p>
      <w:pPr>
        <w:pBdr>
          <w:bottom w:val="single" w:color="D0E4F5" w:sz="4" w:space="1"/>
        </w:pBdr>
        <w:spacing w:before="200" w:after="200"/>
      </w:pPr>
    </w:p>
    <w:p>
      <w:pPr>
        <w:pStyle w:val="Heading1"/>
        <w:pBdr>
          <w:bottom w:val="single" w:color="1A3C5E" w:sz="8" w:space="4"/>
        </w:pBdr>
        <w:bidi/>
        <w:spacing w:before="400" w:after="160"/>
        <w:jc w:val="right"/>
      </w:pPr>
      <w:r>
        <w:rPr>
          <w:rFonts w:ascii="Arial" w:cs="Arial" w:eastAsia="Arial" w:hAnsi="Arial"/>
          <w:b/>
          <w:bCs/>
          <w:color w:val="1A3C5E"/>
          <w:sz w:val="28"/>
          <w:szCs w:val="28"/>
          <w:rtl/>
        </w:rPr>
        <w:t xml:space="preserve">القسم الثاني — طبقة ترجمة الهوية الإنسانية</w:t>
      </w:r>
    </w:p>
    <w:p>
      <w:pPr>
        <w:bidi/>
        <w:spacing w:before="80" w:after="80"/>
        <w:jc w:val="right"/>
      </w:pPr>
      <w:r>
        <w:rPr>
          <w:rFonts w:ascii="Arial" w:cs="Arial" w:eastAsia="Arial" w:hAnsi="Arial"/>
          <w:sz w:val="20"/>
          <w:szCs w:val="20"/>
          <w:rtl/>
        </w:rPr>
        <w:t xml:space="preserve">يُترجم هذا القسم السمات الأساسية المُثبَّتة لعامر إلى قرارات تصميم وتقنية ومحتوى تشغيلية. لا شيء هنا مخترع. كل بند مستمد مباشرة من بيانات هوية موثوقة.</w:t>
      </w:r>
    </w:p>
    <w:p>
      <w:pPr>
        <w:spacing w:before="120" w:after="0"/>
      </w:pPr>
    </w:p>
    <w:p>
      <w:pPr>
        <w:pStyle w:val="Heading2"/>
        <w:bidi/>
        <w:spacing w:before="320" w:after="120"/>
        <w:jc w:val="right"/>
      </w:pPr>
      <w:r>
        <w:rPr>
          <w:rFonts w:ascii="Arial" w:cs="Arial" w:eastAsia="Arial" w:hAnsi="Arial"/>
          <w:b/>
          <w:bCs/>
          <w:color w:val="2E6DA4"/>
          <w:sz w:val="24"/>
          <w:szCs w:val="24"/>
          <w:rtl/>
        </w:rPr>
        <w:t xml:space="preserve">2.1 مصفوفة الهوية الأساسية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السمة</w:t>
            </w:r>
          </w:p>
        </w:tc>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الترجمة التشغيلية</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إشارة التطبيق</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مهندس full-stack منضبط</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جميع الأنظمة متماسكة وموثقة ومقصودة</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بنية ملفات نظيفة، HTML دلالي، لا مكونات يتيمة</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تفكير معماري</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يتعامل مع الموقع كمنظومة، لا مجموعة صفحات</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CSS معياري، طبقة JSON لاستخلاص المحتوى، تصميم قائم على متغيرات</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تفكير طويل المدى</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قرار يُضحّي بالتطور المستقبلي لراحة حاضرة</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CSS مدفوع بالمتغيرات، عزل المكونات، JS آمن الهجرة</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إتقان React و Next.js و TypeScript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كود المرحلة الأولى مُعدّ للاستخراج — لا لإعادة الكتابة</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وحدات JS قائمة على الدوال، فصل واضح للمسؤوليات</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بساطة مقصودة (المرحلة الأولى)</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البساطة دقة وليست قيداً</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عناصر زائدة؛ كل عقدة تُبرر وجودها</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رفض مجاراة الموضة</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ميزة دون وظيفة؛ لا حركة دون غرض</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صفر حركة زخرفية؛ لا مؤثرات عند التمرير</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يُقدّر البنية والوضوح</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تراتبية طباعية ومنطق مكاني قبل الجماليات</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سلم نوع صارم، وحدات تباعد، إيقاع بصري</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النزاهة الهندسية فوق الاستعراض البصري</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جودة الكود رأس مال للعلامة التجارية</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كل CSS مدفوع بالمتغيرات؛ كل JS معياري وموثق</w:t>
            </w:r>
          </w:p>
        </w:tc>
      </w:tr>
    </w:tbl>
    <w:p>
      <w:pPr>
        <w:spacing w:before="200" w:after="0"/>
      </w:pPr>
    </w:p>
    <w:p>
      <w:pPr>
        <w:pStyle w:val="Heading2"/>
        <w:bidi/>
        <w:spacing w:before="320" w:after="120"/>
        <w:jc w:val="right"/>
      </w:pPr>
      <w:r>
        <w:rPr>
          <w:rFonts w:ascii="Arial" w:cs="Arial" w:eastAsia="Arial" w:hAnsi="Arial"/>
          <w:b/>
          <w:bCs/>
          <w:color w:val="2E6DA4"/>
          <w:sz w:val="24"/>
          <w:szCs w:val="24"/>
          <w:rtl/>
        </w:rPr>
        <w:t xml:space="preserve">2.2 مصفوفة الرفض (ما ليس عامر)</w:t>
      </w:r>
    </w:p>
    <w:p>
      <w:pPr>
        <w:bidi/>
        <w:spacing w:before="80" w:after="80"/>
        <w:jc w:val="right"/>
      </w:pPr>
      <w:r>
        <w:rPr>
          <w:rFonts w:ascii="Arial" w:cs="Arial" w:eastAsia="Arial" w:hAnsi="Arial"/>
          <w:sz w:val="20"/>
          <w:szCs w:val="20"/>
          <w:rtl/>
        </w:rPr>
        <w:t xml:space="preserve">هذه قيود هوية غير قابلة للتفاوض. أي تصميم أو محتوى أو ميزة تُوحي بأي مما يلي يجب إزالته فوراً: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إشارة هوية مرفوضة</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المظاهر الواجب إلغاؤها</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مهندس مبتدئ / junior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بنية كود غير محددة، تباعد غير متسق، قوالب تصميم نمطية</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مستقل للإيجار</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عرض الأسعار، لافتات 'متاح للعمل'، شبكات شهادات على طراز Upwork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مصمم بصري أولاً</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Hero ثقيل الحركة، لوحة ألوان مُشبَّعة بالتدرجات، صور ضخمة</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ناقل لأطر العمل</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تبعيات لذاتها؛ أنظمة بناء مُنتفخة</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حامل محفظة نمطية</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شبكات صور مصغرة، أقسام جوائز، استعراض شعارات العملاء</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مورد يتنافس على السعر</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أي إشارة تسعير، لغة خصومات، أو محفزات إلحاح</w:t>
            </w:r>
          </w:p>
        </w:tc>
      </w:tr>
    </w:tbl>
    <w:p>
      <w:pPr>
        <w:spacing w:before="200" w:after="0"/>
      </w:pPr>
    </w:p>
    <w:p>
      <w:pPr>
        <w:pStyle w:val="Heading2"/>
        <w:bidi/>
        <w:spacing w:before="320" w:after="120"/>
        <w:jc w:val="right"/>
      </w:pPr>
      <w:r>
        <w:rPr>
          <w:rFonts w:ascii="Arial" w:cs="Arial" w:eastAsia="Arial" w:hAnsi="Arial"/>
          <w:b/>
          <w:bCs/>
          <w:color w:val="2E6DA4"/>
          <w:sz w:val="24"/>
          <w:szCs w:val="24"/>
          <w:rtl/>
        </w:rPr>
        <w:t xml:space="preserve">2.3 بيان التموضع المهني</w:t>
      </w:r>
    </w:p>
    <w:p>
      <w:pPr>
        <w:pBdr>
          <w:right w:val="single" w:color="2E6DA4" w:sz="12" w:space="4"/>
        </w:pBdr>
        <w:shd w:fill="EBF3FA" w:val="clear"/>
        <w:bidi/>
        <w:spacing w:before="120" w:after="120"/>
        <w:ind w:right="360"/>
        <w:jc w:val="right"/>
      </w:pPr>
      <w:r>
        <w:rPr>
          <w:rFonts w:ascii="Arial" w:cs="Arial" w:eastAsia="Arial" w:hAnsi="Arial"/>
          <w:i/>
          <w:iCs/>
          <w:sz w:val="20"/>
          <w:szCs w:val="20"/>
          <w:rtl/>
        </w:rPr>
        <w:t xml:space="preserve">عامر مهندس full-stack موجّه نحو الأنظمة، يُطبّق الانضباط المعماري على كل تكليف — من بنية الكود إلى اختيار العميل. لا يُحسّن من أجل الحجم؛ يُحسّن من أجل الدقة والنزاهة على المدى البعيد.</w:t>
      </w:r>
    </w:p>
    <w:p>
      <w:pPr>
        <w:pBdr>
          <w:bottom w:val="single" w:color="D0E4F5" w:sz="4" w:space="1"/>
        </w:pBdr>
        <w:spacing w:before="200" w:after="200"/>
      </w:pPr>
    </w:p>
    <w:p>
      <w:pPr>
        <w:pStyle w:val="Heading1"/>
        <w:pBdr>
          <w:bottom w:val="single" w:color="1A3C5E" w:sz="8" w:space="4"/>
        </w:pBdr>
        <w:bidi/>
        <w:spacing w:before="400" w:after="160"/>
        <w:jc w:val="right"/>
      </w:pPr>
      <w:r>
        <w:rPr>
          <w:rFonts w:ascii="Arial" w:cs="Arial" w:eastAsia="Arial" w:hAnsi="Arial"/>
          <w:b/>
          <w:bCs/>
          <w:color w:val="1A3C5E"/>
          <w:sz w:val="28"/>
          <w:szCs w:val="28"/>
          <w:rtl/>
        </w:rPr>
        <w:t xml:space="preserve">القسم الثالث — عقيدة التموضع</w:t>
      </w:r>
    </w:p>
    <w:p>
      <w:pPr>
        <w:pStyle w:val="Heading2"/>
        <w:bidi/>
        <w:spacing w:before="320" w:after="120"/>
        <w:jc w:val="right"/>
      </w:pPr>
      <w:r>
        <w:rPr>
          <w:rFonts w:ascii="Arial" w:cs="Arial" w:eastAsia="Arial" w:hAnsi="Arial"/>
          <w:b/>
          <w:bCs/>
          <w:color w:val="2E6DA4"/>
          <w:sz w:val="24"/>
          <w:szCs w:val="24"/>
          <w:rtl/>
        </w:rPr>
        <w:t xml:space="preserve">3.1 إطار التموضع الاستراتيجي</w:t>
      </w:r>
    </w:p>
    <w:p>
      <w:pPr>
        <w:bidi/>
        <w:spacing w:before="80" w:after="80"/>
        <w:jc w:val="right"/>
      </w:pPr>
      <w:r>
        <w:rPr>
          <w:rFonts w:ascii="Arial" w:cs="Arial" w:eastAsia="Arial" w:hAnsi="Arial"/>
          <w:sz w:val="20"/>
          <w:szCs w:val="20"/>
          <w:rtl/>
        </w:rPr>
        <w:t xml:space="preserve">تعمل استراتيجية التموضع عبر ثلاث طبقات متزامنة:</w:t>
      </w:r>
    </w:p>
    <w:p>
      <w:pPr>
        <w:spacing w:before="120" w:after="0"/>
      </w:pPr>
    </w:p>
    <w:p>
      <w:pPr>
        <w:pStyle w:val="Heading3"/>
        <w:bidi/>
        <w:spacing w:before="240" w:after="80"/>
        <w:jc w:val="right"/>
      </w:pPr>
      <w:r>
        <w:rPr>
          <w:rFonts w:ascii="Arial" w:cs="Arial" w:eastAsia="Arial" w:hAnsi="Arial"/>
          <w:b/>
          <w:bCs/>
          <w:color w:val="333333"/>
          <w:sz w:val="22"/>
          <w:szCs w:val="22"/>
          <w:rtl/>
        </w:rPr>
        <w:t xml:space="preserve">الطبقة الأولى — طبقة الانطباع (فورية، 0–3 ثوانٍ)</w:t>
      </w:r>
    </w:p>
    <w:p>
      <w:pPr>
        <w:bidi/>
        <w:spacing w:before="80" w:after="80"/>
        <w:jc w:val="right"/>
      </w:pPr>
      <w:r>
        <w:rPr>
          <w:rFonts w:ascii="Arial" w:cs="Arial" w:eastAsia="Arial" w:hAnsi="Arial"/>
          <w:sz w:val="20"/>
          <w:szCs w:val="20"/>
          <w:rtl/>
        </w:rPr>
        <w:t xml:space="preserve">أول تواصل معرفي للمقيّم مع الموقع. يجب أن تُعبّر عن: الجدية، الدقة التقنية، والوضع غير النمطي. تتحقق عبر السلطة الطباعية، وضبط الألوان، ووضوح البنية.</w:t>
      </w:r>
    </w:p>
    <w:p>
      <w:pPr>
        <w:spacing w:before="120" w:after="0"/>
      </w:pPr>
    </w:p>
    <w:p>
      <w:pPr>
        <w:pStyle w:val="Heading3"/>
        <w:bidi/>
        <w:spacing w:before="240" w:after="80"/>
        <w:jc w:val="right"/>
      </w:pPr>
      <w:r>
        <w:rPr>
          <w:rFonts w:ascii="Arial" w:cs="Arial" w:eastAsia="Arial" w:hAnsi="Arial"/>
          <w:b/>
          <w:bCs/>
          <w:color w:val="333333"/>
          <w:sz w:val="22"/>
          <w:szCs w:val="22"/>
          <w:rtl/>
        </w:rPr>
        <w:t xml:space="preserve">الطبقة الثانية — طبقة التحقق (مُنخرط، 3–30 ثانية)</w:t>
      </w:r>
    </w:p>
    <w:p>
      <w:pPr>
        <w:bidi/>
        <w:spacing w:before="80" w:after="80"/>
        <w:jc w:val="right"/>
      </w:pPr>
      <w:r>
        <w:rPr>
          <w:rFonts w:ascii="Arial" w:cs="Arial" w:eastAsia="Arial" w:hAnsi="Arial"/>
          <w:sz w:val="20"/>
          <w:szCs w:val="20"/>
          <w:rtl/>
        </w:rPr>
        <w:t xml:space="preserve">المقيّم يقرأ ويقيّم المحتوى بنشاط. يجب أن تُقدّم: تفكيراً منهجياً، ومصداقية في المجال، وأدلة على الكفاءة على مستوى الأنظمة. تتحقق عبر تراتبية المعلومات، واللغة الدقيقة، وغياب الضوضاء.</w:t>
      </w:r>
    </w:p>
    <w:p>
      <w:pPr>
        <w:spacing w:before="120" w:after="0"/>
      </w:pPr>
    </w:p>
    <w:p>
      <w:pPr>
        <w:pStyle w:val="Heading3"/>
        <w:bidi/>
        <w:spacing w:before="240" w:after="80"/>
        <w:jc w:val="right"/>
      </w:pPr>
      <w:r>
        <w:rPr>
          <w:rFonts w:ascii="Arial" w:cs="Arial" w:eastAsia="Arial" w:hAnsi="Arial"/>
          <w:b/>
          <w:bCs/>
          <w:color w:val="333333"/>
          <w:sz w:val="22"/>
          <w:szCs w:val="22"/>
          <w:rtl/>
        </w:rPr>
        <w:t xml:space="preserve">الطبقة الثالثة — طبقة الثقة (مُلتزم، 30+ ثانية)</w:t>
      </w:r>
    </w:p>
    <w:p>
      <w:pPr>
        <w:bidi/>
        <w:spacing w:before="80" w:after="80"/>
        <w:jc w:val="right"/>
      </w:pPr>
      <w:r>
        <w:rPr>
          <w:rFonts w:ascii="Arial" w:cs="Arial" w:eastAsia="Arial" w:hAnsi="Arial"/>
          <w:sz w:val="20"/>
          <w:szCs w:val="20"/>
          <w:rtl/>
        </w:rPr>
        <w:t xml:space="preserve">المقيّم قرر الانخراط. يجب أن تُقدّم: الثقة في الحكم التقني، ووضوح العملية، ومسار تواصل لا يبدو تجارياً. تتحقق عبر عمق الحالة، وشفافية العملية، وآلية تواصل تُشير إلى الانتقائية.</w:t>
      </w:r>
    </w:p>
    <w:p>
      <w:pPr>
        <w:spacing w:before="120" w:after="0"/>
      </w:pPr>
    </w:p>
    <w:p>
      <w:pPr>
        <w:pStyle w:val="Heading2"/>
        <w:bidi/>
        <w:spacing w:before="320" w:after="120"/>
        <w:jc w:val="right"/>
      </w:pPr>
      <w:r>
        <w:rPr>
          <w:rFonts w:ascii="Arial" w:cs="Arial" w:eastAsia="Arial" w:hAnsi="Arial"/>
          <w:b/>
          <w:bCs/>
          <w:color w:val="2E6DA4"/>
          <w:sz w:val="24"/>
          <w:szCs w:val="24"/>
          <w:rtl/>
        </w:rPr>
        <w:t xml:space="preserve">3.2 منطق التصفية بالثقة</w:t>
      </w:r>
    </w:p>
    <w:p>
      <w:pPr>
        <w:bidi/>
        <w:spacing w:before="80" w:after="80"/>
        <w:jc w:val="right"/>
      </w:pPr>
      <w:r>
        <w:rPr>
          <w:rFonts w:ascii="Arial" w:cs="Arial" w:eastAsia="Arial" w:hAnsi="Arial"/>
          <w:sz w:val="20"/>
          <w:szCs w:val="20"/>
          <w:rtl/>
        </w:rPr>
        <w:t xml:space="preserve">الموقع مُصمَّم ليطرد بقدر ما يجذب. هذا مقصود. تصفية الآفاق غير المؤهلة قبل أول تواصل تُقلل احتكاك التفاوض، وتحافظ على نزاهة التموضع، وتجذب صانعي قرار يتعرفون على السلطة حين يواجهونها.</w:t>
      </w:r>
    </w:p>
    <w:p>
      <w:pPr>
        <w:spacing w:before="120" w:after="0"/>
      </w:pPr>
    </w:p>
    <w:p>
      <w:pPr>
        <w:bidi/>
        <w:spacing w:before="80" w:after="80"/>
        <w:jc w:val="right"/>
      </w:pPr>
      <w:r>
        <w:rPr>
          <w:rFonts w:ascii="Arial" w:cs="Arial" w:eastAsia="Arial" w:hAnsi="Arial"/>
          <w:sz w:val="20"/>
          <w:szCs w:val="20"/>
          <w:rtl/>
        </w:rPr>
        <w:t xml:space="preserve">آليات التصفية المدمجة في التصميم:</w:t>
      </w:r>
    </w:p>
    <w:p>
      <w:pPr>
        <w:pStyle w:val="ListParagraph"/>
        <w:numPr>
          <w:ilvl w:val="0"/>
          <w:numId w:val="2"/>
        </w:numPr>
        <w:bidi/>
        <w:spacing w:before="60" w:after="60"/>
        <w:jc w:val="right"/>
      </w:pPr>
      <w:r>
        <w:rPr>
          <w:rFonts w:ascii="Arial" w:cs="Arial" w:eastAsia="Arial" w:hAnsi="Arial"/>
          <w:sz w:val="20"/>
          <w:szCs w:val="20"/>
          <w:rtl/>
        </w:rPr>
        <w:t xml:space="preserve">لا أسعار — يُزيل العملاء الحساسين للسعر فوراً.</w:t>
      </w:r>
    </w:p>
    <w:p>
      <w:pPr>
        <w:pStyle w:val="ListParagraph"/>
        <w:numPr>
          <w:ilvl w:val="0"/>
          <w:numId w:val="2"/>
        </w:numPr>
        <w:bidi/>
        <w:spacing w:before="60" w:after="60"/>
        <w:jc w:val="right"/>
      </w:pPr>
      <w:r>
        <w:rPr>
          <w:rFonts w:ascii="Arial" w:cs="Arial" w:eastAsia="Arial" w:hAnsi="Arial"/>
          <w:sz w:val="20"/>
          <w:szCs w:val="20"/>
          <w:rtl/>
        </w:rPr>
        <w:t xml:space="preserve">لا إشارات 'متاح الآن' — يرفض العملاء ذوي التخطيط المتسرع.</w:t>
      </w:r>
    </w:p>
    <w:p>
      <w:pPr>
        <w:pStyle w:val="ListParagraph"/>
        <w:numPr>
          <w:ilvl w:val="0"/>
          <w:numId w:val="2"/>
        </w:numPr>
        <w:bidi/>
        <w:spacing w:before="60" w:after="60"/>
        <w:jc w:val="right"/>
      </w:pPr>
      <w:r>
        <w:rPr>
          <w:rFonts w:ascii="Arial" w:cs="Arial" w:eastAsia="Arial" w:hAnsi="Arial"/>
          <w:sz w:val="20"/>
          <w:szCs w:val="20"/>
          <w:rtl/>
        </w:rPr>
        <w:t xml:space="preserve">لا نصوص CTA ذات جاذبية جماهيرية — يُزيل طالبي الخدمات النمطية.</w:t>
      </w:r>
    </w:p>
    <w:p>
      <w:pPr>
        <w:pStyle w:val="ListParagraph"/>
        <w:numPr>
          <w:ilvl w:val="0"/>
          <w:numId w:val="2"/>
        </w:numPr>
        <w:bidi/>
        <w:spacing w:before="60" w:after="60"/>
        <w:jc w:val="right"/>
      </w:pPr>
      <w:r>
        <w:rPr>
          <w:rFonts w:ascii="Arial" w:cs="Arial" w:eastAsia="Arial" w:hAnsi="Arial"/>
          <w:sz w:val="20"/>
          <w:szCs w:val="20"/>
          <w:rtl/>
        </w:rPr>
        <w:t xml:space="preserve">بنية معلومات كثيفة — تُصفي ذاتياً المقيّمين الذين يعملون بعمق.</w:t>
      </w:r>
    </w:p>
    <w:p>
      <w:pPr>
        <w:pStyle w:val="ListParagraph"/>
        <w:numPr>
          <w:ilvl w:val="0"/>
          <w:numId w:val="2"/>
        </w:numPr>
        <w:bidi/>
        <w:spacing w:before="60" w:after="60"/>
        <w:jc w:val="right"/>
      </w:pPr>
      <w:r>
        <w:rPr>
          <w:rFonts w:ascii="Arial" w:cs="Arial" w:eastAsia="Arial" w:hAnsi="Arial"/>
          <w:sz w:val="20"/>
          <w:szCs w:val="20"/>
          <w:rtl/>
        </w:rPr>
        <w:t xml:space="preserve">جماليات تقليلية — تُصفي صانعي القرار الذين يربطون الضبط بالكفاءة.</w:t>
      </w:r>
    </w:p>
    <w:p>
      <w:pPr>
        <w:spacing w:before="120" w:after="0"/>
      </w:pPr>
    </w:p>
    <w:p>
      <w:pPr>
        <w:pStyle w:val="Heading2"/>
        <w:bidi/>
        <w:spacing w:before="320" w:after="120"/>
        <w:jc w:val="right"/>
      </w:pPr>
      <w:r>
        <w:rPr>
          <w:rFonts w:ascii="Arial" w:cs="Arial" w:eastAsia="Arial" w:hAnsi="Arial"/>
          <w:b/>
          <w:bCs/>
          <w:color w:val="2E6DA4"/>
          <w:sz w:val="24"/>
          <w:szCs w:val="24"/>
          <w:rtl/>
        </w:rPr>
        <w:t xml:space="preserve">3.3 إشارات السلطة حسب الوسيلة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الوسيلة</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إشارة السلطة</w:t>
            </w:r>
          </w:p>
        </w:tc>
        <w:tc>
          <w:tcPr>
            <w:tcW w:type="dxa" w:w="3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الآلية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الطباعة</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الدقة التقنية والقابلية للقراءة</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سلم نوع صارم، تراتبية الوزن، تباعد سطور متسق</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اللون</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الضبط والثقة</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الوضع الداكن افتراضياً، لون تأكيد واحد، لا تدرجات زخرفية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التخطيط</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التفكير المنهجي</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قائم على شبكة، تباعد مدفوع بالوحدات، إيقاع متوقع</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اللغة</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إتقان المجال</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خصوصية تقنية، لا حشو، لا تضخيم حماس</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بنية الكود</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النزاهة الهندسية</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نظيف، معياري، موثق — مرئي عبر فحص المصدر</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سرعة التحميل</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احترام وقت المقيّم</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هدف أقل من 1.5 ثانية على 4G موبايل؛ لا انتفاخ</w:t>
            </w:r>
          </w:p>
        </w:tc>
      </w:tr>
    </w:tbl>
    <w:p>
      <w:pPr>
        <w:spacing w:before="200" w:after="0"/>
      </w:pPr>
    </w:p>
    <w:p>
      <w:pPr>
        <w:pStyle w:val="Heading2"/>
        <w:bidi/>
        <w:spacing w:before="320" w:after="120"/>
        <w:jc w:val="right"/>
      </w:pPr>
      <w:r>
        <w:rPr>
          <w:rFonts w:ascii="Arial" w:cs="Arial" w:eastAsia="Arial" w:hAnsi="Arial"/>
          <w:b/>
          <w:bCs/>
          <w:color w:val="2E6DA4"/>
          <w:sz w:val="24"/>
          <w:szCs w:val="24"/>
          <w:rtl/>
        </w:rPr>
        <w:t xml:space="preserve">3.4 بنية التمايز التنافسي</w:t>
      </w:r>
    </w:p>
    <w:p>
      <w:pPr>
        <w:bidi/>
        <w:spacing w:before="80" w:after="80"/>
        <w:jc w:val="right"/>
      </w:pPr>
      <w:r>
        <w:rPr>
          <w:rFonts w:ascii="Arial" w:cs="Arial" w:eastAsia="Arial" w:hAnsi="Arial"/>
          <w:sz w:val="20"/>
          <w:szCs w:val="20"/>
          <w:rtl/>
        </w:rPr>
        <w:t xml:space="preserve">عامر لا يتنافس مع محافظ المستقلين النمطية. التمايز تصنيفي، لا هامشي: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المحفظة النمطية</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منظومة تموضع عامر</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تعرض الأعمال المنجزة كدليل أساسي</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تُظهر التفكير المنهجي كدليل أساسي</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تتنافس على الجاذبية البصرية والتنوع</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تتنافس على الدقة والانضباط المعماري</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تجذب حجماً كبيراً، تُصفي بعد التواصل</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تُصفي قبل التواصل؛ تجذب حجماً منخفضاً وجودة عالية</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تضع المالك كمورد متاح</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تضع المالك كشريك تقني انتقائي</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التصميم يُثبت التعبير الذاتي</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التصميم يُثبت الحكم الهندسي</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نداء الفعل يزيد حجم التواصل</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آلية التواصل تُشير إلى الانتقائية</w:t>
            </w:r>
          </w:p>
        </w:tc>
      </w:tr>
    </w:tbl>
    <w:p>
      <w:pPr>
        <w:spacing w:before="200" w:after="0"/>
      </w:pPr>
    </w:p>
    <w:p>
      <w:pPr>
        <w:pBdr>
          <w:bottom w:val="single" w:color="D0E4F5" w:sz="4" w:space="1"/>
        </w:pBdr>
        <w:spacing w:before="200" w:after="200"/>
      </w:pPr>
    </w:p>
    <w:p>
      <w:pPr>
        <w:pStyle w:val="Heading1"/>
        <w:pBdr>
          <w:bottom w:val="single" w:color="1A3C5E" w:sz="8" w:space="4"/>
        </w:pBdr>
        <w:bidi/>
        <w:spacing w:before="400" w:after="160"/>
        <w:jc w:val="right"/>
      </w:pPr>
      <w:r>
        <w:rPr>
          <w:rFonts w:ascii="Arial" w:cs="Arial" w:eastAsia="Arial" w:hAnsi="Arial"/>
          <w:b/>
          <w:bCs/>
          <w:color w:val="1A3C5E"/>
          <w:sz w:val="28"/>
          <w:szCs w:val="28"/>
          <w:rtl/>
        </w:rPr>
        <w:t xml:space="preserve">القسم الرابع — إطار سيكولوجية العميل</w:t>
      </w:r>
    </w:p>
    <w:p>
      <w:pPr>
        <w:pStyle w:val="Heading2"/>
        <w:bidi/>
        <w:spacing w:before="320" w:after="120"/>
        <w:jc w:val="right"/>
      </w:pPr>
      <w:r>
        <w:rPr>
          <w:rFonts w:ascii="Arial" w:cs="Arial" w:eastAsia="Arial" w:hAnsi="Arial"/>
          <w:b/>
          <w:bCs/>
          <w:color w:val="2E6DA4"/>
          <w:sz w:val="24"/>
          <w:szCs w:val="24"/>
          <w:rtl/>
        </w:rPr>
        <w:t xml:space="preserve">4.1 ملف المقيّم المستهدف</w:t>
      </w:r>
    </w:p>
    <w:p>
      <w:pPr>
        <w:bidi/>
        <w:spacing w:before="80" w:after="80"/>
        <w:jc w:val="right"/>
      </w:pPr>
      <w:r>
        <w:rPr>
          <w:rFonts w:ascii="Arial" w:cs="Arial" w:eastAsia="Arial" w:hAnsi="Arial"/>
          <w:sz w:val="20"/>
          <w:szCs w:val="20"/>
          <w:rtl/>
        </w:rPr>
        <w:t xml:space="preserve">المقيّم الأساسي هو صانع قرار يمتلك صلاحية الميزانية، والإلمام التقني، ومشكلة على مستوى الأنظمة يسعى لحلها. إنه لا يتصفح خيارات — بل يُجري اجتهاداً حقيقياً على مرشح بعينه.</w:t>
      </w:r>
    </w:p>
    <w:p>
      <w:pPr>
        <w:spacing w:before="120" w:after="0"/>
      </w:pPr>
    </w:p>
    <w:p>
      <w:pPr>
        <w:bidi/>
        <w:spacing w:before="80" w:after="80"/>
        <w:jc w:val="right"/>
      </w:pPr>
      <w:r>
        <w:rPr>
          <w:rFonts w:ascii="Arial" w:cs="Arial" w:eastAsia="Arial" w:hAnsi="Arial"/>
          <w:sz w:val="20"/>
          <w:szCs w:val="20"/>
          <w:rtl/>
        </w:rPr>
        <w:t xml:space="preserve">المقيّم الثانوي: حارس تقني (CTO، مهندس رئيسي، أو مؤسس مشارك تقني) يُشترط موافقته قبل الانخراط. هذا المقيّم سيفحص الكود المصدري والقرارات المعمارية.</w:t>
      </w:r>
    </w:p>
    <w:p>
      <w:pPr>
        <w:spacing w:before="120" w:after="0"/>
      </w:pPr>
    </w:p>
    <w:p>
      <w:pPr>
        <w:pStyle w:val="Heading2"/>
        <w:bidi/>
        <w:spacing w:before="320" w:after="120"/>
        <w:jc w:val="right"/>
      </w:pPr>
      <w:r>
        <w:rPr>
          <w:rFonts w:ascii="Arial" w:cs="Arial" w:eastAsia="Arial" w:hAnsi="Arial"/>
          <w:b/>
          <w:bCs/>
          <w:color w:val="2E6DA4"/>
          <w:sz w:val="24"/>
          <w:szCs w:val="24"/>
          <w:rtl/>
        </w:rPr>
        <w:t xml:space="preserve">4.2 نموذج القرار المعرفي</w:t>
      </w:r>
    </w:p>
    <w:p>
      <w:pPr>
        <w:bidi/>
        <w:spacing w:before="80" w:after="80"/>
        <w:jc w:val="right"/>
      </w:pPr>
      <w:r>
        <w:rPr>
          <w:rFonts w:ascii="Arial" w:cs="Arial" w:eastAsia="Arial" w:hAnsi="Arial"/>
          <w:sz w:val="20"/>
          <w:szCs w:val="20"/>
          <w:rtl/>
        </w:rPr>
        <w:t xml:space="preserve">تقييم العميل عالي القيمة يتبع نمط التدقيق المكثف، لا نمط الشراء الاستهلاكي. بنية القرار: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3240"/>
        <w:gridCol w:w="3600"/>
      </w:tblGrid>
      <w:tr>
        <w:trPr>
          <w:tblHeader/>
        </w:trPr>
        <w:tc>
          <w:tcPr>
            <w:tcW w:type="dxa" w:w="14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المرحلة</w:t>
            </w:r>
          </w:p>
        </w:tc>
        <w:tc>
          <w:tcPr>
            <w:tcW w:type="dxa" w:w="10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المدة</w:t>
            </w:r>
          </w:p>
        </w:tc>
        <w:tc>
          <w:tcPr>
            <w:tcW w:type="dxa" w:w="32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سؤال المقيّم</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استجابة التصميم</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الانطباع</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0–3 ثوانٍ</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هل هذا جدي؟</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ضبط بصري، سلطة طباعية، صفر ضوضاء</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المعايرة</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3–15 ثانية</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هل هذا مستواي؟</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دقة اللغة، وضوح البنية، إشارات مضادة للنمطية</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التحقق</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15–60 ثانية</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هل يستطيع هذا الشخص حل مشكلتي؟</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عمق الحالة، خصوصية تقنية، دليل على العملية</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الثقة</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60–180 ثانية</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هل أستطيع الاعتماد على هذا الشخص؟</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اتساق، جودة توثيق، انتقائية التواصل</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الإجراء</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180+ ثانية</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كيف أبدأ التعاون؟</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مسار تواصل واضح وغير تجاري</w:t>
            </w:r>
          </w:p>
        </w:tc>
      </w:tr>
    </w:tbl>
    <w:p>
      <w:pPr>
        <w:spacing w:before="200" w:after="0"/>
      </w:pPr>
    </w:p>
    <w:p>
      <w:pPr>
        <w:pStyle w:val="Heading2"/>
        <w:bidi/>
        <w:spacing w:before="320" w:after="120"/>
        <w:jc w:val="right"/>
      </w:pPr>
      <w:r>
        <w:rPr>
          <w:rFonts w:ascii="Arial" w:cs="Arial" w:eastAsia="Arial" w:hAnsi="Arial"/>
          <w:b/>
          <w:bCs/>
          <w:color w:val="2E6DA4"/>
          <w:sz w:val="24"/>
          <w:szCs w:val="24"/>
          <w:rtl/>
        </w:rPr>
        <w:t xml:space="preserve">4.3 مبادئ العبء المعرفي</w:t>
      </w:r>
    </w:p>
    <w:p>
      <w:pPr>
        <w:pStyle w:val="ListParagraph"/>
        <w:numPr>
          <w:ilvl w:val="0"/>
          <w:numId w:val="2"/>
        </w:numPr>
        <w:bidi/>
        <w:spacing w:before="60" w:after="60"/>
        <w:jc w:val="right"/>
      </w:pPr>
      <w:r>
        <w:rPr>
          <w:rFonts w:ascii="Arial" w:cs="Arial" w:eastAsia="Arial" w:hAnsi="Arial"/>
          <w:sz w:val="20"/>
          <w:szCs w:val="20"/>
          <w:rtl/>
        </w:rPr>
        <w:t xml:space="preserve">كثافة المعلومات يجب أن تتناسب مع تطور المقيّم — لا تُبسَّط لجمهور عام.</w:t>
      </w:r>
    </w:p>
    <w:p>
      <w:pPr>
        <w:pStyle w:val="ListParagraph"/>
        <w:numPr>
          <w:ilvl w:val="0"/>
          <w:numId w:val="2"/>
        </w:numPr>
        <w:bidi/>
        <w:spacing w:before="60" w:after="60"/>
        <w:jc w:val="right"/>
      </w:pPr>
      <w:r>
        <w:rPr>
          <w:rFonts w:ascii="Arial" w:cs="Arial" w:eastAsia="Arial" w:hAnsi="Arial"/>
          <w:sz w:val="20"/>
          <w:szCs w:val="20"/>
          <w:rtl/>
        </w:rPr>
        <w:t xml:space="preserve">كل قسم في الصفحة يجب أن يُجيب على سؤال محدد للمقيّم. لا محتوى يتيم.</w:t>
      </w:r>
    </w:p>
    <w:p>
      <w:pPr>
        <w:pStyle w:val="ListParagraph"/>
        <w:numPr>
          <w:ilvl w:val="0"/>
          <w:numId w:val="2"/>
        </w:numPr>
        <w:bidi/>
        <w:spacing w:before="60" w:after="60"/>
        <w:jc w:val="right"/>
      </w:pPr>
      <w:r>
        <w:rPr>
          <w:rFonts w:ascii="Arial" w:cs="Arial" w:eastAsia="Arial" w:hAnsi="Arial"/>
          <w:sz w:val="20"/>
          <w:szCs w:val="20"/>
          <w:rtl/>
        </w:rPr>
        <w:t xml:space="preserve">الإفصاح التدريجي: إشارات المصداقية السطحية أولاً؛ العمق متاح عند الطلب.</w:t>
      </w:r>
    </w:p>
    <w:p>
      <w:pPr>
        <w:pStyle w:val="ListParagraph"/>
        <w:numPr>
          <w:ilvl w:val="0"/>
          <w:numId w:val="2"/>
        </w:numPr>
        <w:bidi/>
        <w:spacing w:before="60" w:after="60"/>
        <w:jc w:val="right"/>
      </w:pPr>
      <w:r>
        <w:rPr>
          <w:rFonts w:ascii="Arial" w:cs="Arial" w:eastAsia="Arial" w:hAnsi="Arial"/>
          <w:sz w:val="20"/>
          <w:szCs w:val="20"/>
          <w:rtl/>
        </w:rPr>
        <w:t xml:space="preserve">صفر غموض في التراتبية الهيكلية: يجب أن يعرف المقيّم دائماً أين هو وما القادم.</w:t>
      </w:r>
    </w:p>
    <w:p>
      <w:pPr>
        <w:spacing w:before="120" w:after="0"/>
      </w:pPr>
    </w:p>
    <w:p>
      <w:pPr>
        <w:pStyle w:val="Heading2"/>
        <w:bidi/>
        <w:spacing w:before="320" w:after="120"/>
        <w:jc w:val="right"/>
      </w:pPr>
      <w:r>
        <w:rPr>
          <w:rFonts w:ascii="Arial" w:cs="Arial" w:eastAsia="Arial" w:hAnsi="Arial"/>
          <w:b/>
          <w:bCs/>
          <w:color w:val="2E6DA4"/>
          <w:sz w:val="24"/>
          <w:szCs w:val="24"/>
          <w:rtl/>
        </w:rPr>
        <w:t xml:space="preserve">4.4 إرشادات الثقة المُطبَّقة</w:t>
      </w:r>
    </w:p>
    <w:p>
      <w:pPr>
        <w:bidi/>
        <w:spacing w:before="80" w:after="80"/>
        <w:jc w:val="right"/>
      </w:pPr>
      <w:r>
        <w:rPr>
          <w:rFonts w:ascii="Arial" w:cs="Arial" w:eastAsia="Arial" w:hAnsi="Arial"/>
          <w:sz w:val="20"/>
          <w:szCs w:val="20"/>
          <w:rtl/>
        </w:rPr>
        <w:t xml:space="preserve">المقيّمون يستخدمون اختصارات معرفية لتقييم الثقة دون معلومات كاملة. يجب أن تُرضي المنظومة جميع هذه الإرشادات:</w:t>
      </w:r>
    </w:p>
    <w:p>
      <w:pPr>
        <w:pStyle w:val="ListParagraph"/>
        <w:numPr>
          <w:ilvl w:val="0"/>
          <w:numId w:val="2"/>
        </w:numPr>
        <w:bidi/>
        <w:spacing w:before="60" w:after="60"/>
        <w:jc w:val="right"/>
      </w:pPr>
      <w:r>
        <w:rPr>
          <w:rFonts w:ascii="Arial" w:cs="Arial" w:eastAsia="Arial" w:hAnsi="Arial"/>
          <w:sz w:val="20"/>
          <w:szCs w:val="20"/>
          <w:rtl/>
        </w:rPr>
        <w:t xml:space="preserve">إرشاد الاتساق البصري: الطباعة أو التباعد غير المتسق يُسجَّل كإهمال.</w:t>
      </w:r>
    </w:p>
    <w:p>
      <w:pPr>
        <w:pStyle w:val="ListParagraph"/>
        <w:numPr>
          <w:ilvl w:val="0"/>
          <w:numId w:val="2"/>
        </w:numPr>
        <w:bidi/>
        <w:spacing w:before="60" w:after="60"/>
        <w:jc w:val="right"/>
      </w:pPr>
      <w:r>
        <w:rPr>
          <w:rFonts w:ascii="Arial" w:cs="Arial" w:eastAsia="Arial" w:hAnsi="Arial"/>
          <w:sz w:val="20"/>
          <w:szCs w:val="20"/>
          <w:rtl/>
        </w:rPr>
        <w:t xml:space="preserve">إرشاد إشارة الجهد: الاستثمار الظاهر في الموقع يعكس الاستثمار المحتمل في عمل العميل.</w:t>
      </w:r>
    </w:p>
    <w:p>
      <w:pPr>
        <w:pStyle w:val="ListParagraph"/>
        <w:numPr>
          <w:ilvl w:val="0"/>
          <w:numId w:val="2"/>
        </w:numPr>
        <w:bidi/>
        <w:spacing w:before="60" w:after="60"/>
        <w:jc w:val="right"/>
      </w:pPr>
      <w:r>
        <w:rPr>
          <w:rFonts w:ascii="Arial" w:cs="Arial" w:eastAsia="Arial" w:hAnsi="Arial"/>
          <w:sz w:val="20"/>
          <w:szCs w:val="20"/>
          <w:rtl/>
        </w:rPr>
        <w:t xml:space="preserve">إرشاد الندرة: إشارات الانتقائية (لا توافر مفتوح، لا نماذج عروض فورية) توحي بطلب عالٍ.</w:t>
      </w:r>
    </w:p>
    <w:p>
      <w:pPr>
        <w:pStyle w:val="ListParagraph"/>
        <w:numPr>
          <w:ilvl w:val="0"/>
          <w:numId w:val="2"/>
        </w:numPr>
        <w:bidi/>
        <w:spacing w:before="60" w:after="60"/>
        <w:jc w:val="right"/>
      </w:pPr>
      <w:r>
        <w:rPr>
          <w:rFonts w:ascii="Arial" w:cs="Arial" w:eastAsia="Arial" w:hAnsi="Arial"/>
          <w:sz w:val="20"/>
          <w:szCs w:val="20"/>
          <w:rtl/>
        </w:rPr>
        <w:t xml:space="preserve">إرشاد الكفاءة التقنية: كود نظيف، تحميل سريع، HTML دلالي — كلها مرئية للمقيّمين التقنيين.</w:t>
      </w:r>
    </w:p>
    <w:p>
      <w:pPr>
        <w:pStyle w:val="ListParagraph"/>
        <w:numPr>
          <w:ilvl w:val="0"/>
          <w:numId w:val="2"/>
        </w:numPr>
        <w:bidi/>
        <w:spacing w:before="60" w:after="60"/>
        <w:jc w:val="right"/>
      </w:pPr>
      <w:r>
        <w:rPr>
          <w:rFonts w:ascii="Arial" w:cs="Arial" w:eastAsia="Arial" w:hAnsi="Arial"/>
          <w:sz w:val="20"/>
          <w:szCs w:val="20"/>
          <w:rtl/>
        </w:rPr>
        <w:t xml:space="preserve">إرشاد دقة اللغة: اللغة الغامضة أو المتحمسة تُدمر المصداقية التقنية فوراً.</w:t>
      </w:r>
    </w:p>
    <w:p>
      <w:pPr>
        <w:pBdr>
          <w:bottom w:val="single" w:color="D0E4F5" w:sz="4" w:space="1"/>
        </w:pBdr>
        <w:spacing w:before="200" w:after="200"/>
      </w:pPr>
    </w:p>
    <w:p>
      <w:pPr>
        <w:pStyle w:val="Heading1"/>
        <w:pBdr>
          <w:bottom w:val="single" w:color="1A3C5E" w:sz="8" w:space="4"/>
        </w:pBdr>
        <w:bidi/>
        <w:spacing w:before="400" w:after="160"/>
        <w:jc w:val="right"/>
      </w:pPr>
      <w:r>
        <w:rPr>
          <w:rFonts w:ascii="Arial" w:cs="Arial" w:eastAsia="Arial" w:hAnsi="Arial"/>
          <w:b/>
          <w:bCs/>
          <w:color w:val="1A3C5E"/>
          <w:sz w:val="28"/>
          <w:szCs w:val="28"/>
          <w:rtl/>
        </w:rPr>
        <w:t xml:space="preserve">القسم الخامس — الفلسفة التقنية</w:t>
      </w:r>
    </w:p>
    <w:p>
      <w:pPr>
        <w:pStyle w:val="Heading2"/>
        <w:bidi/>
        <w:spacing w:before="320" w:after="120"/>
        <w:jc w:val="right"/>
      </w:pPr>
      <w:r>
        <w:rPr>
          <w:rFonts w:ascii="Arial" w:cs="Arial" w:eastAsia="Arial" w:hAnsi="Arial"/>
          <w:b/>
          <w:bCs/>
          <w:color w:val="2E6DA4"/>
          <w:sz w:val="24"/>
          <w:szCs w:val="24"/>
          <w:rtl/>
        </w:rPr>
        <w:t xml:space="preserve">5.1 البديهيات التقنية الأساسية</w:t>
      </w:r>
    </w:p>
    <w:p>
      <w:pPr>
        <w:bidi/>
        <w:spacing w:before="80" w:after="80"/>
        <w:jc w:val="right"/>
      </w:pPr>
      <w:r>
        <w:rPr>
          <w:rFonts w:ascii="Arial" w:cs="Arial" w:eastAsia="Arial" w:hAnsi="Arial"/>
          <w:sz w:val="20"/>
          <w:szCs w:val="20"/>
          <w:rtl/>
        </w:rPr>
        <w:t xml:space="preserve">هذه ليست تفضيلات. إنها قيود حاكمة لجميع القرارات التقنية في المرحلة الأولى وما بعدها:</w:t>
      </w:r>
    </w:p>
    <w:p>
      <w:pPr>
        <w:spacing w:before="120" w:after="0"/>
      </w:pPr>
    </w:p>
    <w:p>
      <w:pPr>
        <w:pStyle w:val="Heading3"/>
        <w:bidi/>
        <w:spacing w:before="240" w:after="80"/>
        <w:jc w:val="right"/>
      </w:pPr>
      <w:r>
        <w:rPr>
          <w:rFonts w:ascii="Arial" w:cs="Arial" w:eastAsia="Arial" w:hAnsi="Arial"/>
          <w:b/>
          <w:bCs/>
          <w:color w:val="333333"/>
          <w:sz w:val="22"/>
          <w:szCs w:val="22"/>
          <w:rtl/>
        </w:rPr>
        <w:t xml:space="preserve">البديهية الأولى — البساطة كانضباط</w:t>
      </w:r>
    </w:p>
    <w:p>
      <w:pPr>
        <w:bidi/>
        <w:spacing w:before="80" w:after="80"/>
        <w:jc w:val="right"/>
      </w:pPr>
      <w:r>
        <w:rPr>
          <w:rFonts w:ascii="Arial" w:cs="Arial" w:eastAsia="Arial" w:hAnsi="Arial"/>
          <w:sz w:val="20"/>
          <w:szCs w:val="20"/>
          <w:rtl/>
        </w:rPr>
        <w:t xml:space="preserve">البساطة ليست غياب التعقيد — بل نتيجة تعقيد مُحلول. كل عنصر باقٍ اجتاز التبرير. HTML/CSS/JS النظيف في المرحلة الأولى ليس قيداً على القدرة؛ بل دليل على أن التعقيد لا يُدخَل إلا حين يُكتسب.</w:t>
      </w:r>
    </w:p>
    <w:p>
      <w:pPr>
        <w:spacing w:before="120" w:after="0"/>
      </w:pPr>
    </w:p>
    <w:p>
      <w:pPr>
        <w:pStyle w:val="Heading3"/>
        <w:bidi/>
        <w:spacing w:before="240" w:after="80"/>
        <w:jc w:val="right"/>
      </w:pPr>
      <w:r>
        <w:rPr>
          <w:rFonts w:ascii="Arial" w:cs="Arial" w:eastAsia="Arial" w:hAnsi="Arial"/>
          <w:b/>
          <w:bCs/>
          <w:color w:val="333333"/>
          <w:sz w:val="22"/>
          <w:szCs w:val="22"/>
          <w:rtl/>
        </w:rPr>
        <w:t xml:space="preserve">البديهية الثانية — فصل المسؤوليات كبنية</w:t>
      </w:r>
    </w:p>
    <w:p>
      <w:pPr>
        <w:bidi/>
        <w:spacing w:before="80" w:after="80"/>
        <w:jc w:val="right"/>
      </w:pPr>
      <w:r>
        <w:rPr>
          <w:rFonts w:ascii="Arial" w:cs="Arial" w:eastAsia="Arial" w:hAnsi="Arial"/>
          <w:sz w:val="20"/>
          <w:szCs w:val="20"/>
          <w:rtl/>
        </w:rPr>
        <w:t xml:space="preserve">HTML يحكم البنية. CSS يحكم العرض. JavaScript يحكم السلوك. لا CSS-in-JS، لا styles مضمنة، لا سلوك في الترميز. هذا الفصل ليس أسلوبياً — بل شرط مسبق لاستخراج مكونات React في المرحلة الثالثة.</w:t>
      </w:r>
    </w:p>
    <w:p>
      <w:pPr>
        <w:spacing w:before="120" w:after="0"/>
      </w:pPr>
    </w:p>
    <w:p>
      <w:pPr>
        <w:pStyle w:val="Heading3"/>
        <w:bidi/>
        <w:spacing w:before="240" w:after="80"/>
        <w:jc w:val="right"/>
      </w:pPr>
      <w:r>
        <w:rPr>
          <w:rFonts w:ascii="Arial" w:cs="Arial" w:eastAsia="Arial" w:hAnsi="Arial"/>
          <w:b/>
          <w:bCs/>
          <w:color w:val="333333"/>
          <w:sz w:val="22"/>
          <w:szCs w:val="22"/>
          <w:rtl/>
        </w:rPr>
        <w:t xml:space="preserve">البديهية الثالثة — جاهزية التجريد كتوافق مستقبلي</w:t>
      </w:r>
    </w:p>
    <w:p>
      <w:pPr>
        <w:bidi/>
        <w:spacing w:before="80" w:after="80"/>
        <w:jc w:val="right"/>
      </w:pPr>
      <w:r>
        <w:rPr>
          <w:rFonts w:ascii="Arial" w:cs="Arial" w:eastAsia="Arial" w:hAnsi="Arial"/>
          <w:sz w:val="20"/>
          <w:szCs w:val="20"/>
          <w:rtl/>
        </w:rPr>
        <w:t xml:space="preserve">يجب ألا يُضمَّن المحتوى في الترميز. يجب ألا تكون وحدات التصميم مُشفَّرة في الخصائص. يجب ألا يتشابك المنطق مع العرض. كل اقتران يُدخَل اليوم هو تكلفة هجرة تُدفع غداً.</w:t>
      </w:r>
    </w:p>
    <w:p>
      <w:pPr>
        <w:spacing w:before="120" w:after="0"/>
      </w:pPr>
    </w:p>
    <w:p>
      <w:pPr>
        <w:pStyle w:val="Heading3"/>
        <w:bidi/>
        <w:spacing w:before="240" w:after="80"/>
        <w:jc w:val="right"/>
      </w:pPr>
      <w:r>
        <w:rPr>
          <w:rFonts w:ascii="Arial" w:cs="Arial" w:eastAsia="Arial" w:hAnsi="Arial"/>
          <w:b/>
          <w:bCs/>
          <w:color w:val="333333"/>
          <w:sz w:val="22"/>
          <w:szCs w:val="22"/>
          <w:rtl/>
        </w:rPr>
        <w:t xml:space="preserve">البديهية الرابعة — لا تبعية دون عائد مبرر</w:t>
      </w:r>
    </w:p>
    <w:p>
      <w:pPr>
        <w:bidi/>
        <w:spacing w:before="80" w:after="80"/>
        <w:jc w:val="right"/>
      </w:pPr>
      <w:r>
        <w:rPr>
          <w:rFonts w:ascii="Arial" w:cs="Arial" w:eastAsia="Arial" w:hAnsi="Arial"/>
          <w:sz w:val="20"/>
          <w:szCs w:val="20"/>
          <w:rtl/>
        </w:rPr>
        <w:t xml:space="preserve">كل تبعية خارجية تُدخل سطح صيانة، ومخاطر الإصدار، وتكلفة الحزمة. التبعية مبررة فقط حين تُقدم عائداً لا يمكن تكراره بجهد تطبيق مكافئ أو أقل. FontAwesome والخطوط المحلية تجتاز هذا الاختبار. إطار UI في المرحلة الأولى لا يجتاز.</w:t>
      </w:r>
    </w:p>
    <w:p>
      <w:pPr>
        <w:spacing w:before="120" w:after="0"/>
      </w:pPr>
    </w:p>
    <w:p>
      <w:pPr>
        <w:pStyle w:val="Heading2"/>
        <w:bidi/>
        <w:spacing w:before="320" w:after="120"/>
        <w:jc w:val="right"/>
      </w:pPr>
      <w:r>
        <w:rPr>
          <w:rFonts w:ascii="Arial" w:cs="Arial" w:eastAsia="Arial" w:hAnsi="Arial"/>
          <w:b/>
          <w:bCs/>
          <w:color w:val="2E6DA4"/>
          <w:sz w:val="24"/>
          <w:szCs w:val="24"/>
          <w:rtl/>
        </w:rPr>
        <w:t xml:space="preserve">5.2 مبرر المكدس التقني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التقنية</w:t>
            </w:r>
          </w:p>
        </w:tc>
        <w:tc>
          <w:tcPr>
            <w:tcW w:type="dxa" w:w="3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المبرر</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شرط الخروج من المرحلة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HTML5 دلالي</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صفر ربط بإطار عمل؛ يُعادل JSX مباشرة؛ قابل للوصول افتراضياً</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المرحلة 3 — استخراج إلى مكونات React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CSS3 معماري مخصص</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مدفوع بالوحدات؛ محكوم بالمتغيرات؛ يُهاجر إلى CSS Modules أو Tailwind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المرحلة 3 — استخراج إلى نظام وحدات</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Vanilla JS ES6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نمط الوحدة يُعادل TypeScript؛ لا ربط بإطار عمل</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المرحلة 2 — تحويل إلى TypeScript صارم</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طبقة محتوى JSON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عزل مصدر البيانات؛ يُعادل شكل استجابة API مباشرة</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المرحلة 4 — استبدال بنقاط نهاية 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خطوط محلية</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صفر تبعية CDN؛ صفر FOUT؛ آمن للخصوصية</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يُحتفظ بها عبر جميع المراحل</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FontAwesome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نظام أيقونات مُثبَّت؛ لا تعقيد عرض</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يُقيَّم في المرحلة 3 لتحسين حزمة الأيقونات</w:t>
            </w:r>
          </w:p>
        </w:tc>
      </w:tr>
    </w:tbl>
    <w:p>
      <w:pPr>
        <w:spacing w:before="200" w:after="0"/>
      </w:pPr>
    </w:p>
    <w:p>
      <w:pPr>
        <w:pStyle w:val="Heading2"/>
        <w:bidi/>
        <w:spacing w:before="320" w:after="120"/>
        <w:jc w:val="right"/>
      </w:pPr>
      <w:r>
        <w:rPr>
          <w:rFonts w:ascii="Arial" w:cs="Arial" w:eastAsia="Arial" w:hAnsi="Arial"/>
          <w:b/>
          <w:bCs/>
          <w:color w:val="2E6DA4"/>
          <w:sz w:val="24"/>
          <w:szCs w:val="24"/>
          <w:rtl/>
        </w:rPr>
        <w:t xml:space="preserve">5.3 مرشح القرار لجميع الاختيارات التقنية</w:t>
      </w:r>
    </w:p>
    <w:p>
      <w:pPr>
        <w:bidi/>
        <w:spacing w:before="80" w:after="80"/>
        <w:jc w:val="right"/>
      </w:pPr>
      <w:r>
        <w:rPr>
          <w:rFonts w:ascii="Arial" w:cs="Arial" w:eastAsia="Arial" w:hAnsi="Arial"/>
          <w:sz w:val="20"/>
          <w:szCs w:val="20"/>
          <w:rtl/>
        </w:rPr>
        <w:t xml:space="preserve">قبل تنفيذ أي عنصر تقني، طبّق هذا المرشح بالتسلسل. ارفض عند أول فشل:</w:t>
      </w:r>
    </w:p>
    <w:p>
      <w:pPr>
        <w:pStyle w:val="ListParagraph"/>
        <w:numPr>
          <w:ilvl w:val="0"/>
          <w:numId w:val="2"/>
        </w:numPr>
        <w:bidi/>
        <w:spacing w:before="60" w:after="60"/>
        <w:jc w:val="right"/>
      </w:pPr>
      <w:r>
        <w:rPr>
          <w:rFonts w:ascii="Arial" w:cs="Arial" w:eastAsia="Arial" w:hAnsi="Arial"/>
          <w:sz w:val="20"/>
          <w:szCs w:val="20"/>
          <w:rtl/>
        </w:rPr>
        <w:t xml:space="preserve">هل يخدم هذا التموضع، الوضوح، أو قابلية التوسع؟</w:t>
      </w:r>
    </w:p>
    <w:p>
      <w:pPr>
        <w:pStyle w:val="ListParagraph"/>
        <w:numPr>
          <w:ilvl w:val="0"/>
          <w:numId w:val="2"/>
        </w:numPr>
        <w:bidi/>
        <w:spacing w:before="60" w:after="60"/>
        <w:jc w:val="right"/>
      </w:pPr>
      <w:r>
        <w:rPr>
          <w:rFonts w:ascii="Arial" w:cs="Arial" w:eastAsia="Arial" w:hAnsi="Arial"/>
          <w:sz w:val="20"/>
          <w:szCs w:val="20"/>
          <w:rtl/>
        </w:rPr>
        <w:t xml:space="preserve">هل يسمح هذا بهجرة المرحلة الثانية وما بعدها دون إعادة كتابة جوهرية؟</w:t>
      </w:r>
    </w:p>
    <w:p>
      <w:pPr>
        <w:pStyle w:val="ListParagraph"/>
        <w:numPr>
          <w:ilvl w:val="0"/>
          <w:numId w:val="2"/>
        </w:numPr>
        <w:bidi/>
        <w:spacing w:before="60" w:after="60"/>
        <w:jc w:val="right"/>
      </w:pPr>
      <w:r>
        <w:rPr>
          <w:rFonts w:ascii="Arial" w:cs="Arial" w:eastAsia="Arial" w:hAnsi="Arial"/>
          <w:sz w:val="20"/>
          <w:szCs w:val="20"/>
          <w:rtl/>
        </w:rPr>
        <w:t xml:space="preserve">هل يُقلل هذا الدين التقني مقارنة بالبديل؟</w:t>
      </w:r>
    </w:p>
    <w:p>
      <w:pPr>
        <w:pStyle w:val="ListParagraph"/>
        <w:numPr>
          <w:ilvl w:val="0"/>
          <w:numId w:val="2"/>
        </w:numPr>
        <w:bidi/>
        <w:spacing w:before="60" w:after="60"/>
        <w:jc w:val="right"/>
      </w:pPr>
      <w:r>
        <w:rPr>
          <w:rFonts w:ascii="Arial" w:cs="Arial" w:eastAsia="Arial" w:hAnsi="Arial"/>
          <w:sz w:val="20"/>
          <w:szCs w:val="20"/>
          <w:rtl/>
        </w:rPr>
        <w:t xml:space="preserve">هل يُضيف هذا لوزن DOM، تكلفة إعادة حساب CSS، أو حمولة JS دون عائد متناسب؟</w:t>
      </w:r>
    </w:p>
    <w:p>
      <w:pPr>
        <w:pStyle w:val="ListParagraph"/>
        <w:numPr>
          <w:ilvl w:val="0"/>
          <w:numId w:val="2"/>
        </w:numPr>
        <w:bidi/>
        <w:spacing w:before="60" w:after="60"/>
        <w:jc w:val="right"/>
      </w:pPr>
      <w:r>
        <w:rPr>
          <w:rFonts w:ascii="Arial" w:cs="Arial" w:eastAsia="Arial" w:hAnsi="Arial"/>
          <w:sz w:val="20"/>
          <w:szCs w:val="20"/>
          <w:rtl/>
        </w:rPr>
        <w:t xml:space="preserve">إذا كانت الإجابة على #4 نعم — ارفضه.</w:t>
      </w:r>
    </w:p>
    <w:p>
      <w:pPr>
        <w:pBdr>
          <w:bottom w:val="single" w:color="D0E4F5" w:sz="4" w:space="1"/>
        </w:pBdr>
        <w:spacing w:before="200" w:after="200"/>
      </w:pPr>
    </w:p>
    <w:p>
      <w:pPr>
        <w:pStyle w:val="Heading1"/>
        <w:pBdr>
          <w:bottom w:val="single" w:color="1A3C5E" w:sz="8" w:space="4"/>
        </w:pBdr>
        <w:bidi/>
        <w:spacing w:before="400" w:after="160"/>
        <w:jc w:val="right"/>
      </w:pPr>
      <w:r>
        <w:rPr>
          <w:rFonts w:ascii="Arial" w:cs="Arial" w:eastAsia="Arial" w:hAnsi="Arial"/>
          <w:b/>
          <w:bCs/>
          <w:color w:val="1A3C5E"/>
          <w:sz w:val="28"/>
          <w:szCs w:val="28"/>
          <w:rtl/>
        </w:rPr>
        <w:t xml:space="preserve">القسم السادس — منطق بنية قابلية التوسع</w:t>
      </w:r>
    </w:p>
    <w:p>
      <w:pPr>
        <w:pStyle w:val="Heading2"/>
        <w:bidi/>
        <w:spacing w:before="320" w:after="120"/>
        <w:jc w:val="right"/>
      </w:pPr>
      <w:r>
        <w:rPr>
          <w:rFonts w:ascii="Arial" w:cs="Arial" w:eastAsia="Arial" w:hAnsi="Arial"/>
          <w:b/>
          <w:bCs/>
          <w:color w:val="2E6DA4"/>
          <w:sz w:val="24"/>
          <w:szCs w:val="24"/>
          <w:rtl/>
        </w:rPr>
        <w:t xml:space="preserve">6.1 مصفوفة التطور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2400"/>
        <w:gridCol w:w="2000"/>
        <w:gridCol w:w="2240"/>
      </w:tblGrid>
      <w:tr>
        <w:trPr>
          <w:tblHeader/>
        </w:trPr>
        <w:tc>
          <w:tcPr>
            <w:tcW w:type="dxa" w:w="7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المرحلة</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حالة المنظومة</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المكدس التقني</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الهجرات الرئيسية</w:t>
            </w:r>
          </w:p>
        </w:tc>
        <w:tc>
          <w:tcPr>
            <w:tcW w:type="dxa" w:w="22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شرط الإطلاق</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موقع تموضع ثابت</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HTML5 + CSS3 + Vanilla JS + JSON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التأسيس — لا هجرة</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السلطة مُرسَّخة؛ حجم الوارد يبدأ</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تجريد TypeScript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Vanilla JS → TS صارم؛ وحدات مُنمَّطة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JS → تحويل TS؛ تطبيق نظام الأنواع</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حجم تعاملات العميل يُبرر الأمان المُنمَّط</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هجرة React / Next.js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مكونات React + Next.js SSR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HTML → JSX؛ CSS → CSS Modules؛ JSON → props</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احتياجات المحتوى الديناميكي تتجاوز البنية الثابتة</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بنية مدفوعة بـ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Next.js + REST/GraphQL API + Headless CMS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JSON → نقاط نهاية API؛ صفحات ثابتة → SSR/ISR</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CMS محفظة، نماذج تواصل، محتوى ديناميكي</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بوابة عميل / طبقة SaaS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نظام مصادقة + لوحات تحكم + microservices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طبقة API → وصول قائم على الأدوار؛ دمج الدفع</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تعاملات متكررة أو تحقيق دخل من منتج</w:t>
            </w:r>
          </w:p>
        </w:tc>
      </w:tr>
    </w:tbl>
    <w:p>
      <w:pPr>
        <w:spacing w:before="200" w:after="0"/>
      </w:pPr>
    </w:p>
    <w:p>
      <w:pPr>
        <w:pStyle w:val="Heading2"/>
        <w:bidi/>
        <w:spacing w:before="320" w:after="120"/>
        <w:jc w:val="right"/>
      </w:pPr>
      <w:r>
        <w:rPr>
          <w:rFonts w:ascii="Arial" w:cs="Arial" w:eastAsia="Arial" w:hAnsi="Arial"/>
          <w:b/>
          <w:bCs/>
          <w:color w:val="2E6DA4"/>
          <w:sz w:val="24"/>
          <w:szCs w:val="24"/>
          <w:rtl/>
        </w:rPr>
        <w:t xml:space="preserve">6.2 متطلبات أمان الهجرة</w:t>
      </w:r>
    </w:p>
    <w:p>
      <w:pPr>
        <w:bidi/>
        <w:spacing w:before="80" w:after="80"/>
        <w:jc w:val="right"/>
      </w:pPr>
      <w:r>
        <w:rPr>
          <w:rFonts w:ascii="Arial" w:cs="Arial" w:eastAsia="Arial" w:hAnsi="Arial"/>
          <w:sz w:val="20"/>
          <w:szCs w:val="20"/>
          <w:rtl/>
        </w:rPr>
        <w:t xml:space="preserve">كل قرار في المرحلة الأولى يجب أن يستوفي قيود التوافق المستقبلي هذه:</w:t>
      </w:r>
    </w:p>
    <w:p>
      <w:pPr>
        <w:pStyle w:val="ListParagraph"/>
        <w:numPr>
          <w:ilvl w:val="0"/>
          <w:numId w:val="2"/>
        </w:numPr>
        <w:bidi/>
        <w:spacing w:before="60" w:after="60"/>
        <w:jc w:val="right"/>
      </w:pPr>
      <w:r>
        <w:rPr>
          <w:rFonts w:ascii="Arial" w:cs="Arial" w:eastAsia="Arial" w:hAnsi="Arial"/>
          <w:sz w:val="20"/>
          <w:szCs w:val="20"/>
          <w:rtl/>
        </w:rPr>
        <w:t xml:space="preserve">متغيرات CSS يجب تعريفها في كتلة :root واحدة — لا تُبعثر inline أو محلياً في الملف.</w:t>
      </w:r>
    </w:p>
    <w:p>
      <w:pPr>
        <w:pStyle w:val="ListParagraph"/>
        <w:numPr>
          <w:ilvl w:val="0"/>
          <w:numId w:val="2"/>
        </w:numPr>
        <w:bidi/>
        <w:spacing w:before="60" w:after="60"/>
        <w:jc w:val="right"/>
      </w:pPr>
      <w:r>
        <w:rPr>
          <w:rFonts w:ascii="Arial" w:cs="Arial" w:eastAsia="Arial" w:hAnsi="Arial"/>
          <w:sz w:val="20"/>
          <w:szCs w:val="20"/>
          <w:rtl/>
        </w:rPr>
        <w:t xml:space="preserve">كل JS يجب استخدام نمط وحدة ES6 — لا تلوث للفضاء الأسمائي العام.</w:t>
      </w:r>
    </w:p>
    <w:p>
      <w:pPr>
        <w:pStyle w:val="ListParagraph"/>
        <w:numPr>
          <w:ilvl w:val="0"/>
          <w:numId w:val="2"/>
        </w:numPr>
        <w:bidi/>
        <w:spacing w:before="60" w:after="60"/>
        <w:jc w:val="right"/>
      </w:pPr>
      <w:r>
        <w:rPr>
          <w:rFonts w:ascii="Arial" w:cs="Arial" w:eastAsia="Arial" w:hAnsi="Arial"/>
          <w:sz w:val="20"/>
          <w:szCs w:val="20"/>
          <w:rtl/>
        </w:rPr>
        <w:t xml:space="preserve">مكونات HTML يجب أن تكون معزولة هيكلياً — قسم واحد لكل ملف أو كتلة محددة بوضوح.</w:t>
      </w:r>
    </w:p>
    <w:p>
      <w:pPr>
        <w:pStyle w:val="ListParagraph"/>
        <w:numPr>
          <w:ilvl w:val="0"/>
          <w:numId w:val="2"/>
        </w:numPr>
        <w:bidi/>
        <w:spacing w:before="60" w:after="60"/>
        <w:jc w:val="right"/>
      </w:pPr>
      <w:r>
        <w:rPr>
          <w:rFonts w:ascii="Arial" w:cs="Arial" w:eastAsia="Arial" w:hAnsi="Arial"/>
          <w:sz w:val="20"/>
          <w:szCs w:val="20"/>
          <w:rtl/>
        </w:rPr>
        <w:t xml:space="preserve">مخططات محتوى JSON يجب أن تعكس أشكال استجابة API المتوقعة — لا هياكل مسطحة اعتباطية.</w:t>
      </w:r>
    </w:p>
    <w:p>
      <w:pPr>
        <w:pStyle w:val="ListParagraph"/>
        <w:numPr>
          <w:ilvl w:val="0"/>
          <w:numId w:val="2"/>
        </w:numPr>
        <w:bidi/>
        <w:spacing w:before="60" w:after="60"/>
        <w:jc w:val="right"/>
      </w:pPr>
      <w:r>
        <w:rPr>
          <w:rFonts w:ascii="Arial" w:cs="Arial" w:eastAsia="Arial" w:hAnsi="Arial"/>
          <w:sz w:val="20"/>
          <w:szCs w:val="20"/>
          <w:rtl/>
        </w:rPr>
        <w:t xml:space="preserve">تسمية الفئات يجب اتباع BEM أو معيار دلالي مكافئ.</w:t>
      </w:r>
    </w:p>
    <w:p>
      <w:pPr>
        <w:spacing w:before="120" w:after="0"/>
      </w:pPr>
    </w:p>
    <w:p>
      <w:pPr>
        <w:pStyle w:val="Heading2"/>
        <w:bidi/>
        <w:spacing w:before="320" w:after="120"/>
        <w:jc w:val="right"/>
      </w:pPr>
      <w:r>
        <w:rPr>
          <w:rFonts w:ascii="Arial" w:cs="Arial" w:eastAsia="Arial" w:hAnsi="Arial"/>
          <w:b/>
          <w:bCs/>
          <w:color w:val="2E6DA4"/>
          <w:sz w:val="24"/>
          <w:szCs w:val="24"/>
          <w:rtl/>
        </w:rPr>
        <w:t xml:space="preserve">6.3 معيار عزل المكون</w:t>
      </w:r>
    </w:p>
    <w:p>
      <w:pPr>
        <w:bidi/>
        <w:spacing w:before="80" w:after="80"/>
        <w:jc w:val="right"/>
      </w:pPr>
      <w:r>
        <w:rPr>
          <w:rFonts w:ascii="Arial" w:cs="Arial" w:eastAsia="Arial" w:hAnsi="Arial"/>
          <w:sz w:val="20"/>
          <w:szCs w:val="20"/>
          <w:rtl/>
        </w:rPr>
        <w:t xml:space="preserve">كل وحدة UI (Hero، About، Portfolio، Contact، Footer) يجب أن تستوفي هذه المعايير لتُصنَّف قابلة للاستخراج في المرحلة الثالثة:</w:t>
      </w:r>
    </w:p>
    <w:p>
      <w:pPr>
        <w:pStyle w:val="ListParagraph"/>
        <w:numPr>
          <w:ilvl w:val="0"/>
          <w:numId w:val="2"/>
        </w:numPr>
        <w:bidi/>
        <w:spacing w:before="60" w:after="60"/>
        <w:jc w:val="right"/>
      </w:pPr>
      <w:r>
        <w:rPr>
          <w:rFonts w:ascii="Arial" w:cs="Arial" w:eastAsia="Arial" w:hAnsi="Arial"/>
          <w:sz w:val="20"/>
          <w:szCs w:val="20"/>
          <w:rtl/>
        </w:rPr>
        <w:t xml:space="preserve">لا تبعيات CSS عابرة للوحدات — أنماط كل مكون مكتفية ذاتياً.</w:t>
      </w:r>
    </w:p>
    <w:p>
      <w:pPr>
        <w:pStyle w:val="ListParagraph"/>
        <w:numPr>
          <w:ilvl w:val="0"/>
          <w:numId w:val="2"/>
        </w:numPr>
        <w:bidi/>
        <w:spacing w:before="60" w:after="60"/>
        <w:jc w:val="right"/>
      </w:pPr>
      <w:r>
        <w:rPr>
          <w:rFonts w:ascii="Arial" w:cs="Arial" w:eastAsia="Arial" w:hAnsi="Arial"/>
          <w:sz w:val="20"/>
          <w:szCs w:val="20"/>
          <w:rtl/>
        </w:rPr>
        <w:t xml:space="preserve">لا ربط مباشر بـ DOM بين الوحدات — التفاعل عبر الأحداث أو سمات البيانات فقط.</w:t>
      </w:r>
    </w:p>
    <w:p>
      <w:pPr>
        <w:pStyle w:val="ListParagraph"/>
        <w:numPr>
          <w:ilvl w:val="0"/>
          <w:numId w:val="2"/>
        </w:numPr>
        <w:bidi/>
        <w:spacing w:before="60" w:after="60"/>
        <w:jc w:val="right"/>
      </w:pPr>
      <w:r>
        <w:rPr>
          <w:rFonts w:ascii="Arial" w:cs="Arial" w:eastAsia="Arial" w:hAnsi="Arial"/>
          <w:sz w:val="20"/>
          <w:szCs w:val="20"/>
          <w:rtl/>
        </w:rPr>
        <w:t xml:space="preserve">المحتوى مصدره JSON، لا مُشفَّر في الترميز.</w:t>
      </w:r>
    </w:p>
    <w:p>
      <w:pPr>
        <w:pStyle w:val="ListParagraph"/>
        <w:numPr>
          <w:ilvl w:val="0"/>
          <w:numId w:val="2"/>
        </w:numPr>
        <w:bidi/>
        <w:spacing w:before="60" w:after="60"/>
        <w:jc w:val="right"/>
      </w:pPr>
      <w:r>
        <w:rPr>
          <w:rFonts w:ascii="Arial" w:cs="Arial" w:eastAsia="Arial" w:hAnsi="Arial"/>
          <w:sz w:val="20"/>
          <w:szCs w:val="20"/>
          <w:rtl/>
        </w:rPr>
        <w:t xml:space="preserve">كل الحالة مُدارة عبر سمات البيانات أو متغيرات محلية للوحدة — لا حالة عامة ضمنية.</w:t>
      </w:r>
    </w:p>
    <w:p>
      <w:pPr>
        <w:pBdr>
          <w:bottom w:val="single" w:color="D0E4F5" w:sz="4" w:space="1"/>
        </w:pBdr>
        <w:spacing w:before="200" w:after="200"/>
      </w:pPr>
    </w:p>
    <w:p>
      <w:pPr>
        <w:pStyle w:val="Heading1"/>
        <w:pBdr>
          <w:bottom w:val="single" w:color="1A3C5E" w:sz="8" w:space="4"/>
        </w:pBdr>
        <w:bidi/>
        <w:spacing w:before="400" w:after="160"/>
        <w:jc w:val="right"/>
      </w:pPr>
      <w:r>
        <w:rPr>
          <w:rFonts w:ascii="Arial" w:cs="Arial" w:eastAsia="Arial" w:hAnsi="Arial"/>
          <w:b/>
          <w:bCs/>
          <w:color w:val="1A3C5E"/>
          <w:sz w:val="28"/>
          <w:szCs w:val="28"/>
          <w:rtl/>
        </w:rPr>
        <w:t xml:space="preserve">القسم السابع — مبادئ حوكمة الكود</w:t>
      </w:r>
    </w:p>
    <w:p>
      <w:pPr>
        <w:pStyle w:val="Heading2"/>
        <w:bidi/>
        <w:spacing w:before="320" w:after="120"/>
        <w:jc w:val="right"/>
      </w:pPr>
      <w:r>
        <w:rPr>
          <w:rFonts w:ascii="Arial" w:cs="Arial" w:eastAsia="Arial" w:hAnsi="Arial"/>
          <w:b/>
          <w:bCs/>
          <w:color w:val="2E6DA4"/>
          <w:sz w:val="24"/>
          <w:szCs w:val="24"/>
          <w:rtl/>
        </w:rPr>
        <w:t xml:space="preserve">7.1 اصطلاحات التسمية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الطبقة</w:t>
            </w:r>
          </w:p>
        </w:tc>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الاصطلاح</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مثال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أسماء فئات HTML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BEM — Block__Element--Modifier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.hero__title, .card__body--active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متغيرات CSS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kebab-case، مُعرَّفة بالنوع</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--color-accent, --spacing-md, --font-size-h1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دوال JS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camelCase، فعل أولاً، وصفي</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renderProjectCard(), initContactForm()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ملفات JS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kebab-case، مُسمَّاة بالميزة</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project-loader.js, contact-handler.js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مفاتيح JSON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camelCase، دلالية المجال</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projectTitle, techStack, contactEmail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فروع Git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نوع/وصف</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feat/hero-section, fix/mobile-breakpoint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رسائل Git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مواصفات Conventional Commits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feat: add JSON content abstraction layer</w:t>
            </w:r>
          </w:p>
        </w:tc>
      </w:tr>
    </w:tbl>
    <w:p>
      <w:pPr>
        <w:spacing w:before="200" w:after="0"/>
      </w:pPr>
    </w:p>
    <w:p>
      <w:pPr>
        <w:pStyle w:val="Heading2"/>
        <w:bidi/>
        <w:spacing w:before="320" w:after="120"/>
        <w:jc w:val="right"/>
      </w:pPr>
      <w:r>
        <w:rPr>
          <w:rFonts w:ascii="Arial" w:cs="Arial" w:eastAsia="Arial" w:hAnsi="Arial"/>
          <w:b/>
          <w:bCs/>
          <w:color w:val="2E6DA4"/>
          <w:sz w:val="24"/>
          <w:szCs w:val="24"/>
          <w:rtl/>
        </w:rPr>
        <w:t xml:space="preserve">7.2 متطلبات التوثيق</w:t>
      </w:r>
    </w:p>
    <w:p>
      <w:pPr>
        <w:bidi/>
        <w:spacing w:before="80" w:after="80"/>
        <w:jc w:val="right"/>
      </w:pPr>
      <w:r>
        <w:rPr>
          <w:rFonts w:ascii="Arial" w:cs="Arial" w:eastAsia="Arial" w:hAnsi="Arial"/>
          <w:sz w:val="20"/>
          <w:szCs w:val="20"/>
          <w:rtl/>
        </w:rPr>
        <w:t xml:space="preserve">كل مكون ومتغير ودالة يجب أن يحمل توثيقاً مضمناً يحتوي على:</w:t>
      </w:r>
    </w:p>
    <w:p>
      <w:pPr>
        <w:pStyle w:val="ListParagraph"/>
        <w:numPr>
          <w:ilvl w:val="0"/>
          <w:numId w:val="2"/>
        </w:numPr>
        <w:bidi/>
        <w:spacing w:before="60" w:after="60"/>
        <w:jc w:val="right"/>
      </w:pPr>
      <w:r>
        <w:rPr>
          <w:rFonts w:ascii="Arial" w:cs="Arial" w:eastAsia="Arial" w:hAnsi="Arial"/>
          <w:sz w:val="20"/>
          <w:szCs w:val="20"/>
          <w:rtl/>
        </w:rPr>
        <w:t xml:space="preserve">الغرض: ما الذي يُحققه هذا العنصر في المنظومة.</w:t>
      </w:r>
    </w:p>
    <w:p>
      <w:pPr>
        <w:pStyle w:val="ListParagraph"/>
        <w:numPr>
          <w:ilvl w:val="0"/>
          <w:numId w:val="2"/>
        </w:numPr>
        <w:bidi/>
        <w:spacing w:before="60" w:after="60"/>
        <w:jc w:val="right"/>
      </w:pPr>
      <w:r>
        <w:rPr>
          <w:rFonts w:ascii="Arial" w:cs="Arial" w:eastAsia="Arial" w:hAnsi="Arial"/>
          <w:sz w:val="20"/>
          <w:szCs w:val="20"/>
          <w:rtl/>
        </w:rPr>
        <w:t xml:space="preserve">القيود: ما الذي يجب ألا يفعله أو يصبح.</w:t>
      </w:r>
    </w:p>
    <w:p>
      <w:pPr>
        <w:pStyle w:val="ListParagraph"/>
        <w:numPr>
          <w:ilvl w:val="0"/>
          <w:numId w:val="2"/>
        </w:numPr>
        <w:bidi/>
        <w:spacing w:before="60" w:after="60"/>
        <w:jc w:val="right"/>
      </w:pPr>
      <w:r>
        <w:rPr>
          <w:rFonts w:ascii="Arial" w:cs="Arial" w:eastAsia="Arial" w:hAnsi="Arial"/>
          <w:sz w:val="20"/>
          <w:szCs w:val="20"/>
          <w:rtl/>
        </w:rPr>
        <w:t xml:space="preserve">ملاحظة الهجرة: كيف يُعادل هذا مكافئه في المرحلة الثالثة وما بعدها.</w:t>
      </w:r>
    </w:p>
    <w:p>
      <w:pPr>
        <w:pStyle w:val="ListParagraph"/>
        <w:numPr>
          <w:ilvl w:val="0"/>
          <w:numId w:val="2"/>
        </w:numPr>
        <w:bidi/>
        <w:spacing w:before="60" w:after="60"/>
        <w:jc w:val="right"/>
      </w:pPr>
      <w:r>
        <w:rPr>
          <w:rFonts w:ascii="Arial" w:cs="Arial" w:eastAsia="Arial" w:hAnsi="Arial"/>
          <w:sz w:val="20"/>
          <w:szCs w:val="20"/>
          <w:rtl/>
        </w:rPr>
        <w:t xml:space="preserve">التبعيات: ما الذي يحتاجه للعمل.</w:t>
      </w:r>
    </w:p>
    <w:p>
      <w:pPr>
        <w:spacing w:before="120" w:after="0"/>
      </w:pPr>
    </w:p>
    <w:p>
      <w:pPr>
        <w:pStyle w:val="Heading2"/>
        <w:bidi/>
        <w:spacing w:before="320" w:after="120"/>
        <w:jc w:val="right"/>
      </w:pPr>
      <w:r>
        <w:rPr>
          <w:rFonts w:ascii="Arial" w:cs="Arial" w:eastAsia="Arial" w:hAnsi="Arial"/>
          <w:b/>
          <w:bCs/>
          <w:color w:val="2E6DA4"/>
          <w:sz w:val="24"/>
          <w:szCs w:val="24"/>
          <w:rtl/>
        </w:rPr>
        <w:t xml:space="preserve">7.3 انضباط إدارة الإصدار</w:t>
      </w:r>
    </w:p>
    <w:p>
      <w:pPr>
        <w:pStyle w:val="ListParagraph"/>
        <w:numPr>
          <w:ilvl w:val="0"/>
          <w:numId w:val="2"/>
        </w:numPr>
        <w:bidi/>
        <w:spacing w:before="60" w:after="60"/>
        <w:jc w:val="right"/>
      </w:pPr>
      <w:r>
        <w:rPr>
          <w:rFonts w:ascii="Arial" w:cs="Arial" w:eastAsia="Arial" w:hAnsi="Arial"/>
          <w:sz w:val="20"/>
          <w:szCs w:val="20"/>
          <w:rtl/>
        </w:rPr>
        <w:t xml:space="preserve">الفرع الرئيسي قابل للنشر دائماً. لا commits مباشرة على main.</w:t>
      </w:r>
    </w:p>
    <w:p>
      <w:pPr>
        <w:pStyle w:val="ListParagraph"/>
        <w:numPr>
          <w:ilvl w:val="0"/>
          <w:numId w:val="2"/>
        </w:numPr>
        <w:bidi/>
        <w:spacing w:before="60" w:after="60"/>
        <w:jc w:val="right"/>
      </w:pPr>
      <w:r>
        <w:rPr>
          <w:rFonts w:ascii="Arial" w:cs="Arial" w:eastAsia="Arial" w:hAnsi="Arial"/>
          <w:sz w:val="20"/>
          <w:szCs w:val="20"/>
          <w:rtl/>
        </w:rPr>
        <w:t xml:space="preserve">فروع الميزات مُحددة النطاق بمخاوف منفردة.</w:t>
      </w:r>
    </w:p>
    <w:p>
      <w:pPr>
        <w:pStyle w:val="ListParagraph"/>
        <w:numPr>
          <w:ilvl w:val="0"/>
          <w:numId w:val="2"/>
        </w:numPr>
        <w:bidi/>
        <w:spacing w:before="60" w:after="60"/>
        <w:jc w:val="right"/>
      </w:pPr>
      <w:r>
        <w:rPr>
          <w:rFonts w:ascii="Arial" w:cs="Arial" w:eastAsia="Arial" w:hAnsi="Arial"/>
          <w:sz w:val="20"/>
          <w:szCs w:val="20"/>
          <w:rtl/>
        </w:rPr>
        <w:t xml:space="preserve">كل commit يرجع إلى مكون أو مخاوف منظومة — لا commits شاملة.</w:t>
      </w:r>
    </w:p>
    <w:p>
      <w:pPr>
        <w:pStyle w:val="ListParagraph"/>
        <w:numPr>
          <w:ilvl w:val="0"/>
          <w:numId w:val="2"/>
        </w:numPr>
        <w:bidi/>
        <w:spacing w:before="60" w:after="60"/>
        <w:jc w:val="right"/>
      </w:pPr>
      <w:r>
        <w:rPr>
          <w:rFonts w:ascii="Arial" w:cs="Arial" w:eastAsia="Arial" w:hAnsi="Arial"/>
          <w:sz w:val="20"/>
          <w:szCs w:val="20"/>
          <w:rtl/>
        </w:rPr>
        <w:t xml:space="preserve">وَسم الإصدارات عند حدود المراحل لنقاط مرجعية نظيفة للهجرة.</w:t>
      </w:r>
    </w:p>
    <w:p>
      <w:pPr>
        <w:spacing w:before="120" w:after="0"/>
      </w:pPr>
    </w:p>
    <w:p>
      <w:pPr>
        <w:pStyle w:val="Heading2"/>
        <w:bidi/>
        <w:spacing w:before="320" w:after="120"/>
        <w:jc w:val="right"/>
      </w:pPr>
      <w:r>
        <w:rPr>
          <w:rFonts w:ascii="Arial" w:cs="Arial" w:eastAsia="Arial" w:hAnsi="Arial"/>
          <w:b/>
          <w:bCs/>
          <w:color w:val="2E6DA4"/>
          <w:sz w:val="24"/>
          <w:szCs w:val="24"/>
          <w:rtl/>
        </w:rPr>
        <w:t xml:space="preserve">7.4 ميزانية الأداء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المقياس</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الهدف</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السقف الصارم</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تحميل الصفحة (موبايل 4G)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أقل من 1.5 ثانية</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2.0 ثانية</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إجمالي وزن الصفحة</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أقل من 300 كيلوبايت</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500 كيلوبايت</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حجم ملف CSS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أقل من 30 كيلوبايت</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50 كيلوبايت</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حمولة JavaScript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أقل من 20 كيلوبايت</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40 كيلوبايت</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ملفات الخطوط</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أقل من 150 كيلوبايت إجمالاً</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200 كيلوبايت</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First Contentful Paint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أقل من 1.2 ثانية</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1.8 ثانية</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Cumulative Layout Shift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أقل من 0.05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0.10</w:t>
            </w:r>
          </w:p>
        </w:tc>
      </w:tr>
    </w:tbl>
    <w:p>
      <w:pPr>
        <w:spacing w:before="200" w:after="0"/>
      </w:pPr>
    </w:p>
    <w:p>
      <w:pPr>
        <w:pBdr>
          <w:bottom w:val="single" w:color="D0E4F5" w:sz="4" w:space="1"/>
        </w:pBdr>
        <w:spacing w:before="200" w:after="200"/>
      </w:pPr>
    </w:p>
    <w:p>
      <w:pPr>
        <w:pStyle w:val="Heading1"/>
        <w:pBdr>
          <w:bottom w:val="single" w:color="1A3C5E" w:sz="8" w:space="4"/>
        </w:pBdr>
        <w:bidi/>
        <w:spacing w:before="400" w:after="160"/>
        <w:jc w:val="right"/>
      </w:pPr>
      <w:r>
        <w:rPr>
          <w:rFonts w:ascii="Arial" w:cs="Arial" w:eastAsia="Arial" w:hAnsi="Arial"/>
          <w:b/>
          <w:bCs/>
          <w:color w:val="1A3C5E"/>
          <w:sz w:val="28"/>
          <w:szCs w:val="28"/>
          <w:rtl/>
        </w:rPr>
        <w:t xml:space="preserve">القسم الثامن — معايير الأداء وSEO وإمكانية الوصول</w:t>
      </w:r>
    </w:p>
    <w:p>
      <w:pPr>
        <w:pStyle w:val="Heading2"/>
        <w:bidi/>
        <w:spacing w:before="320" w:after="120"/>
        <w:jc w:val="right"/>
      </w:pPr>
      <w:r>
        <w:rPr>
          <w:rFonts w:ascii="Arial" w:cs="Arial" w:eastAsia="Arial" w:hAnsi="Arial"/>
          <w:b/>
          <w:bCs/>
          <w:color w:val="2E6DA4"/>
          <w:sz w:val="24"/>
          <w:szCs w:val="24"/>
          <w:rtl/>
        </w:rPr>
        <w:t xml:space="preserve">8.1 معايير الأداء</w:t>
      </w:r>
    </w:p>
    <w:p>
      <w:pPr>
        <w:bidi/>
        <w:spacing w:before="80" w:after="80"/>
        <w:jc w:val="right"/>
      </w:pPr>
      <w:r>
        <w:rPr>
          <w:rFonts w:ascii="Arial" w:cs="Arial" w:eastAsia="Arial" w:hAnsi="Arial"/>
          <w:sz w:val="20"/>
          <w:szCs w:val="20"/>
          <w:rtl/>
        </w:rPr>
        <w:t xml:space="preserve">الأداء إشارة ثقة. الموقع البطيء وعد مكسور. المرحلة الأولى لا عذر لها على الأداء الرديء — لا خادم، لا قاعدة بيانات، لا خط أنابيب عرض معقد. الأهداف غير قابلة للتفاوض.</w:t>
      </w:r>
    </w:p>
    <w:p>
      <w:pPr>
        <w:pStyle w:val="ListParagraph"/>
        <w:numPr>
          <w:ilvl w:val="0"/>
          <w:numId w:val="2"/>
        </w:numPr>
        <w:bidi/>
        <w:spacing w:before="60" w:after="60"/>
        <w:jc w:val="right"/>
      </w:pPr>
      <w:r>
        <w:rPr>
          <w:rFonts w:ascii="Arial" w:cs="Arial" w:eastAsia="Arial" w:hAnsi="Arial"/>
          <w:sz w:val="20"/>
          <w:szCs w:val="20"/>
          <w:rtl/>
        </w:rPr>
        <w:t xml:space="preserve">جميع الأصول مخدومة محلياً — لا تبعيات CDN عدا أيقونات FontAwesome.</w:t>
      </w:r>
    </w:p>
    <w:p>
      <w:pPr>
        <w:pStyle w:val="ListParagraph"/>
        <w:numPr>
          <w:ilvl w:val="0"/>
          <w:numId w:val="2"/>
        </w:numPr>
        <w:bidi/>
        <w:spacing w:before="60" w:after="60"/>
        <w:jc w:val="right"/>
      </w:pPr>
      <w:r>
        <w:rPr>
          <w:rFonts w:ascii="Arial" w:cs="Arial" w:eastAsia="Arial" w:hAnsi="Arial"/>
          <w:sz w:val="20"/>
          <w:szCs w:val="20"/>
          <w:rtl/>
        </w:rPr>
        <w:t xml:space="preserve">CSS ملف مُجمَّع واحد — لا سلاسل @import في الإنتاج.</w:t>
      </w:r>
    </w:p>
    <w:p>
      <w:pPr>
        <w:pStyle w:val="ListParagraph"/>
        <w:numPr>
          <w:ilvl w:val="0"/>
          <w:numId w:val="2"/>
        </w:numPr>
        <w:bidi/>
        <w:spacing w:before="60" w:after="60"/>
        <w:jc w:val="right"/>
      </w:pPr>
      <w:r>
        <w:rPr>
          <w:rFonts w:ascii="Arial" w:cs="Arial" w:eastAsia="Arial" w:hAnsi="Arial"/>
          <w:sz w:val="20"/>
          <w:szCs w:val="20"/>
          <w:rtl/>
        </w:rPr>
        <w:t xml:space="preserve">JavaScript مُؤجَّل أو async — لا scripts تعيق العرض.</w:t>
      </w:r>
    </w:p>
    <w:p>
      <w:pPr>
        <w:pStyle w:val="ListParagraph"/>
        <w:numPr>
          <w:ilvl w:val="0"/>
          <w:numId w:val="2"/>
        </w:numPr>
        <w:bidi/>
        <w:spacing w:before="60" w:after="60"/>
        <w:jc w:val="right"/>
      </w:pPr>
      <w:r>
        <w:rPr>
          <w:rFonts w:ascii="Arial" w:cs="Arial" w:eastAsia="Arial" w:hAnsi="Arial"/>
          <w:sz w:val="20"/>
          <w:szCs w:val="20"/>
          <w:rtl/>
        </w:rPr>
        <w:t xml:space="preserve">الصور بصيغة WebP، أبعادها مُحددة صراحةً، تُحمَّل كسولاً تحت الطية.</w:t>
      </w:r>
    </w:p>
    <w:p>
      <w:pPr>
        <w:pStyle w:val="ListParagraph"/>
        <w:numPr>
          <w:ilvl w:val="0"/>
          <w:numId w:val="2"/>
        </w:numPr>
        <w:bidi/>
        <w:spacing w:before="60" w:after="60"/>
        <w:jc w:val="right"/>
      </w:pPr>
      <w:r>
        <w:rPr>
          <w:rFonts w:ascii="Arial" w:cs="Arial" w:eastAsia="Arial" w:hAnsi="Arial"/>
          <w:sz w:val="20"/>
          <w:szCs w:val="20"/>
          <w:rtl/>
        </w:rPr>
        <w:t xml:space="preserve">الخطوط تستخدم font-display: swap — لا نص غير مرئي أثناء التحميل.</w:t>
      </w:r>
    </w:p>
    <w:p>
      <w:pPr>
        <w:spacing w:before="120" w:after="0"/>
      </w:pPr>
    </w:p>
    <w:p>
      <w:pPr>
        <w:pStyle w:val="Heading2"/>
        <w:bidi/>
        <w:spacing w:before="320" w:after="120"/>
        <w:jc w:val="right"/>
      </w:pPr>
      <w:r>
        <w:rPr>
          <w:rFonts w:ascii="Arial" w:cs="Arial" w:eastAsia="Arial" w:hAnsi="Arial"/>
          <w:b/>
          <w:bCs/>
          <w:color w:val="2E6DA4"/>
          <w:sz w:val="24"/>
          <w:szCs w:val="24"/>
          <w:rtl/>
        </w:rPr>
        <w:t xml:space="preserve">8.2 بنية SEO</w:t>
      </w:r>
    </w:p>
    <w:p>
      <w:pPr>
        <w:pStyle w:val="ListParagraph"/>
        <w:numPr>
          <w:ilvl w:val="0"/>
          <w:numId w:val="2"/>
        </w:numPr>
        <w:bidi/>
        <w:spacing w:before="60" w:after="60"/>
        <w:jc w:val="right"/>
      </w:pPr>
      <w:r>
        <w:rPr>
          <w:rFonts w:ascii="Arial" w:cs="Arial" w:eastAsia="Arial" w:hAnsi="Arial"/>
          <w:sz w:val="20"/>
          <w:szCs w:val="20"/>
          <w:rtl/>
        </w:rPr>
        <w:t xml:space="preserve">HTML الدلالي هو الأساس — لا div-soup، لا تخطيط قائم على جداول.</w:t>
      </w:r>
    </w:p>
    <w:p>
      <w:pPr>
        <w:pStyle w:val="ListParagraph"/>
        <w:numPr>
          <w:ilvl w:val="0"/>
          <w:numId w:val="2"/>
        </w:numPr>
        <w:bidi/>
        <w:spacing w:before="60" w:after="60"/>
        <w:jc w:val="right"/>
      </w:pPr>
      <w:r>
        <w:rPr>
          <w:rFonts w:ascii="Arial" w:cs="Arial" w:eastAsia="Arial" w:hAnsi="Arial"/>
          <w:sz w:val="20"/>
          <w:szCs w:val="20"/>
          <w:rtl/>
        </w:rPr>
        <w:t xml:space="preserve">H1 واحد لكل صفحة، تراتبية طباعية صارمة تحته.</w:t>
      </w:r>
    </w:p>
    <w:p>
      <w:pPr>
        <w:pStyle w:val="ListParagraph"/>
        <w:numPr>
          <w:ilvl w:val="0"/>
          <w:numId w:val="2"/>
        </w:numPr>
        <w:bidi/>
        <w:spacing w:before="60" w:after="60"/>
        <w:jc w:val="right"/>
      </w:pPr>
      <w:r>
        <w:rPr>
          <w:rFonts w:ascii="Arial" w:cs="Arial" w:eastAsia="Arial" w:hAnsi="Arial"/>
          <w:sz w:val="20"/>
          <w:szCs w:val="20"/>
          <w:rtl/>
        </w:rPr>
        <w:t xml:space="preserve">عنوان meta ووصف مُحدَّدان لكل صفحة، لا تكرار.</w:t>
      </w:r>
    </w:p>
    <w:p>
      <w:pPr>
        <w:pStyle w:val="ListParagraph"/>
        <w:numPr>
          <w:ilvl w:val="0"/>
          <w:numId w:val="2"/>
        </w:numPr>
        <w:bidi/>
        <w:spacing w:before="60" w:after="60"/>
        <w:jc w:val="right"/>
      </w:pPr>
      <w:r>
        <w:rPr>
          <w:rFonts w:ascii="Arial" w:cs="Arial" w:eastAsia="Arial" w:hAnsi="Arial"/>
          <w:sz w:val="20"/>
          <w:szCs w:val="20"/>
          <w:rtl/>
        </w:rPr>
        <w:t xml:space="preserve">عناصر نائبة للبيانات المنظمة (JSON-LD) لمخططات Person وWebSite.</w:t>
      </w:r>
    </w:p>
    <w:p>
      <w:pPr>
        <w:pStyle w:val="ListParagraph"/>
        <w:numPr>
          <w:ilvl w:val="0"/>
          <w:numId w:val="2"/>
        </w:numPr>
        <w:bidi/>
        <w:spacing w:before="60" w:after="60"/>
        <w:jc w:val="right"/>
      </w:pPr>
      <w:r>
        <w:rPr>
          <w:rFonts w:ascii="Arial" w:cs="Arial" w:eastAsia="Arial" w:hAnsi="Arial"/>
          <w:sz w:val="20"/>
          <w:szCs w:val="20"/>
          <w:rtl/>
        </w:rPr>
        <w:t xml:space="preserve">URL متعارف عليه مُحدَّد في كل صفحة.</w:t>
      </w:r>
    </w:p>
    <w:p>
      <w:pPr>
        <w:pStyle w:val="ListParagraph"/>
        <w:numPr>
          <w:ilvl w:val="0"/>
          <w:numId w:val="2"/>
        </w:numPr>
        <w:bidi/>
        <w:spacing w:before="60" w:after="60"/>
        <w:jc w:val="right"/>
      </w:pPr>
      <w:r>
        <w:rPr>
          <w:rFonts w:ascii="Arial" w:cs="Arial" w:eastAsia="Arial" w:hAnsi="Arial"/>
          <w:sz w:val="20"/>
          <w:szCs w:val="20"/>
          <w:rtl/>
        </w:rPr>
        <w:t xml:space="preserve">sitemap.xml وrobots.txt حاضران من المرحلة الأولى.</w:t>
      </w:r>
    </w:p>
    <w:p>
      <w:pPr>
        <w:pStyle w:val="ListParagraph"/>
        <w:numPr>
          <w:ilvl w:val="0"/>
          <w:numId w:val="2"/>
        </w:numPr>
        <w:bidi/>
        <w:spacing w:before="60" w:after="60"/>
        <w:jc w:val="right"/>
      </w:pPr>
      <w:r>
        <w:rPr>
          <w:rFonts w:ascii="Arial" w:cs="Arial" w:eastAsia="Arial" w:hAnsi="Arial"/>
          <w:sz w:val="20"/>
          <w:szCs w:val="20"/>
          <w:rtl/>
        </w:rPr>
        <w:t xml:space="preserve">وسوم Open Graph وTwitter Card مكتملة للسياق الاجتماعي.</w:t>
      </w:r>
    </w:p>
    <w:p>
      <w:pPr>
        <w:spacing w:before="120" w:after="0"/>
      </w:pPr>
    </w:p>
    <w:p>
      <w:pPr>
        <w:pStyle w:val="Heading2"/>
        <w:bidi/>
        <w:spacing w:before="320" w:after="120"/>
        <w:jc w:val="right"/>
      </w:pPr>
      <w:r>
        <w:rPr>
          <w:rFonts w:ascii="Arial" w:cs="Arial" w:eastAsia="Arial" w:hAnsi="Arial"/>
          <w:b/>
          <w:bCs/>
          <w:color w:val="2E6DA4"/>
          <w:sz w:val="24"/>
          <w:szCs w:val="24"/>
          <w:rtl/>
        </w:rPr>
        <w:t xml:space="preserve">8.3 معايير إمكانية الوصول</w:t>
      </w:r>
    </w:p>
    <w:p>
      <w:pPr>
        <w:bidi/>
        <w:spacing w:before="80" w:after="80"/>
        <w:jc w:val="right"/>
      </w:pPr>
      <w:r>
        <w:rPr>
          <w:rFonts w:ascii="Arial" w:cs="Arial" w:eastAsia="Arial" w:hAnsi="Arial"/>
          <w:sz w:val="20"/>
          <w:szCs w:val="20"/>
          <w:rtl/>
        </w:rPr>
        <w:t xml:space="preserve">WCAG 2.1 المستوى AA هو الحد الأدنى. إمكانية الوصول ليست تطوعاً — بل دقة هندسية. منظومة تفشل مستخدمين بأساليب تفاعل مختلفة هي منظومة معيبة.</w:t>
      </w:r>
    </w:p>
    <w:p>
      <w:pPr>
        <w:pStyle w:val="ListParagraph"/>
        <w:numPr>
          <w:ilvl w:val="0"/>
          <w:numId w:val="2"/>
        </w:numPr>
        <w:bidi/>
        <w:spacing w:before="60" w:after="60"/>
        <w:jc w:val="right"/>
      </w:pPr>
      <w:r>
        <w:rPr>
          <w:rFonts w:ascii="Arial" w:cs="Arial" w:eastAsia="Arial" w:hAnsi="Arial"/>
          <w:sz w:val="20"/>
          <w:szCs w:val="20"/>
          <w:rtl/>
        </w:rPr>
        <w:t xml:space="preserve">جميع العناصر التفاعلية قابلة للوصول بلوحة المفاتيح مع مؤشرات تركيز مرئية.</w:t>
      </w:r>
    </w:p>
    <w:p>
      <w:pPr>
        <w:pStyle w:val="ListParagraph"/>
        <w:numPr>
          <w:ilvl w:val="0"/>
          <w:numId w:val="2"/>
        </w:numPr>
        <w:bidi/>
        <w:spacing w:before="60" w:after="60"/>
        <w:jc w:val="right"/>
      </w:pPr>
      <w:r>
        <w:rPr>
          <w:rFonts w:ascii="Arial" w:cs="Arial" w:eastAsia="Arial" w:hAnsi="Arial"/>
          <w:sz w:val="20"/>
          <w:szCs w:val="20"/>
          <w:rtl/>
        </w:rPr>
        <w:t xml:space="preserve">تباين الألوان يستوفي نسبة 4.5:1 للنص الأساسي؛ 3:1 للنص الكبير.</w:t>
      </w:r>
    </w:p>
    <w:p>
      <w:pPr>
        <w:pStyle w:val="ListParagraph"/>
        <w:numPr>
          <w:ilvl w:val="0"/>
          <w:numId w:val="2"/>
        </w:numPr>
        <w:bidi/>
        <w:spacing w:before="60" w:after="60"/>
        <w:jc w:val="right"/>
      </w:pPr>
      <w:r>
        <w:rPr>
          <w:rFonts w:ascii="Arial" w:cs="Arial" w:eastAsia="Arial" w:hAnsi="Arial"/>
          <w:sz w:val="20"/>
          <w:szCs w:val="20"/>
          <w:rtl/>
        </w:rPr>
        <w:t xml:space="preserve">جميع الصور تحمل سمات alt وصفية — لا سلاسل فارغة إلا للزخرفة الصرفة.</w:t>
      </w:r>
    </w:p>
    <w:p>
      <w:pPr>
        <w:pStyle w:val="ListParagraph"/>
        <w:numPr>
          <w:ilvl w:val="0"/>
          <w:numId w:val="2"/>
        </w:numPr>
        <w:bidi/>
        <w:spacing w:before="60" w:after="60"/>
        <w:jc w:val="right"/>
      </w:pPr>
      <w:r>
        <w:rPr>
          <w:rFonts w:ascii="Arial" w:cs="Arial" w:eastAsia="Arial" w:hAnsi="Arial"/>
          <w:sz w:val="20"/>
          <w:szCs w:val="20"/>
          <w:rtl/>
        </w:rPr>
        <w:t xml:space="preserve">معالم ARIA تُحدد مناطق الصفحة — تكملة لـ HTML الدلالي لا بديلاً عنه.</w:t>
      </w:r>
    </w:p>
    <w:p>
      <w:pPr>
        <w:pStyle w:val="ListParagraph"/>
        <w:numPr>
          <w:ilvl w:val="0"/>
          <w:numId w:val="2"/>
        </w:numPr>
        <w:bidi/>
        <w:spacing w:before="60" w:after="60"/>
        <w:jc w:val="right"/>
      </w:pPr>
      <w:r>
        <w:rPr>
          <w:rFonts w:ascii="Arial" w:cs="Arial" w:eastAsia="Arial" w:hAnsi="Arial"/>
          <w:sz w:val="20"/>
          <w:szCs w:val="20"/>
          <w:rtl/>
        </w:rPr>
        <w:t xml:space="preserve">مدخلات النماذج لها ارتباطات label صريحة.</w:t>
      </w:r>
    </w:p>
    <w:p>
      <w:pPr>
        <w:pStyle w:val="ListParagraph"/>
        <w:numPr>
          <w:ilvl w:val="0"/>
          <w:numId w:val="2"/>
        </w:numPr>
        <w:bidi/>
        <w:spacing w:before="60" w:after="60"/>
        <w:jc w:val="right"/>
      </w:pPr>
      <w:r>
        <w:rPr>
          <w:rFonts w:ascii="Arial" w:cs="Arial" w:eastAsia="Arial" w:hAnsi="Arial"/>
          <w:sz w:val="20"/>
          <w:szCs w:val="20"/>
          <w:rtl/>
        </w:rPr>
        <w:t xml:space="preserve">لا محتوى يعتمد على اللون وحده لنقل المعنى.</w:t>
      </w:r>
    </w:p>
    <w:p>
      <w:pPr>
        <w:pStyle w:val="ListParagraph"/>
        <w:numPr>
          <w:ilvl w:val="0"/>
          <w:numId w:val="2"/>
        </w:numPr>
        <w:bidi/>
        <w:spacing w:before="60" w:after="60"/>
        <w:jc w:val="right"/>
      </w:pPr>
      <w:r>
        <w:rPr>
          <w:rFonts w:ascii="Arial" w:cs="Arial" w:eastAsia="Arial" w:hAnsi="Arial"/>
          <w:sz w:val="20"/>
          <w:szCs w:val="20"/>
          <w:rtl/>
        </w:rPr>
        <w:t xml:space="preserve">رابط 'تخطي إلى المحتوى الرئيسي' حاضر وفعّال.</w:t>
      </w:r>
    </w:p>
    <w:p>
      <w:pPr>
        <w:pBdr>
          <w:bottom w:val="single" w:color="D0E4F5" w:sz="4" w:space="1"/>
        </w:pBdr>
        <w:spacing w:before="200" w:after="200"/>
      </w:pPr>
    </w:p>
    <w:p>
      <w:pPr>
        <w:pStyle w:val="Heading1"/>
        <w:pBdr>
          <w:bottom w:val="single" w:color="1A3C5E" w:sz="8" w:space="4"/>
        </w:pBdr>
        <w:bidi/>
        <w:spacing w:before="400" w:after="160"/>
        <w:jc w:val="right"/>
      </w:pPr>
      <w:r>
        <w:rPr>
          <w:rFonts w:ascii="Arial" w:cs="Arial" w:eastAsia="Arial" w:hAnsi="Arial"/>
          <w:b/>
          <w:bCs/>
          <w:color w:val="1A3C5E"/>
          <w:sz w:val="28"/>
          <w:szCs w:val="28"/>
          <w:rtl/>
        </w:rPr>
        <w:t xml:space="preserve">القسم التاسع — القوانين غير القابلة للتفاوض</w:t>
      </w:r>
    </w:p>
    <w:p>
      <w:pPr>
        <w:bidi/>
        <w:spacing w:before="80" w:after="80"/>
        <w:jc w:val="right"/>
      </w:pPr>
      <w:r>
        <w:rPr>
          <w:rFonts w:ascii="Arial" w:cs="Arial" w:eastAsia="Arial" w:hAnsi="Arial"/>
          <w:sz w:val="20"/>
          <w:szCs w:val="20"/>
          <w:rtl/>
        </w:rPr>
        <w:t xml:space="preserve">هذه القوانين لا تحتاج تبريراً في لحظة القرار. إنها محلولة مسبقاً. أي ميزة أو طلب محتوى أو مقترح تصميم يتعارض مع قانون أدناه يُرفض دون تداول.</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600"/>
        <w:gridCol w:w="4680"/>
      </w:tblGrid>
      <w:tr>
        <w:trPr>
          <w:tblHeader/>
        </w:trPr>
        <w:tc>
          <w:tcPr>
            <w:tcW w:type="dxa" w:w="10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رقم القانون</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القانون</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مُشغِّل الرفض</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ق-01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حركة زخرفية</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أي حركة دون غرض وظيفي لنقل البيانات</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ق-02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شبكة محفظة نمطية</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شبكة صور مصغرة للمشاريع كآلية مصداقية أساسية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ق-03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نداءات فعل تجارية</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لغة أو أنماط 'وظفني'، 'احصل على عرض'، 'أنا متاح'</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ق-04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أسعار مرئية على السطح</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أي إشارة تكلفة، بطاقة أسعار، أو قائمة حزم</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ق-05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إطار عمل دون مبرر هجرة</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إضافة React أو Vue أو أي إطار عمل في المرحلة الأولى</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ق-06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محتوى مُشفَّر في الترميز</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أي سلسلة محتوى يجب أن تكون في طبقة JSON</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ق-07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أنماط مضمنة في الإنتاج</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أي سمة style في HTML إلا ما يُحدَّد ديناميكياً عبر JS لغرض وظيفي</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ق-08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تلوث للفضاء الأسمائي العام في JS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متغيرات أو دوال مُرفقة بـ window دون سبب صريح</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ق-09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مكونات يتيمة</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أي وحدة UI دون غرض موثق وخطة هجرة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ق-10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قرار دون اختبار التطور</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أي تطبيق لم يُقيَّم مقابل توافق المرحلة الثالثة وما بعدها</w:t>
            </w:r>
          </w:p>
        </w:tc>
      </w:tr>
    </w:tbl>
    <w:p>
      <w:pPr>
        <w:spacing w:before="200" w:after="0"/>
      </w:pPr>
    </w:p>
    <w:p>
      <w:pPr>
        <w:pBdr>
          <w:bottom w:val="single" w:color="D0E4F5" w:sz="4" w:space="1"/>
        </w:pBdr>
        <w:spacing w:before="200" w:after="200"/>
      </w:pPr>
    </w:p>
    <w:p>
      <w:pPr>
        <w:pStyle w:val="Heading1"/>
        <w:pBdr>
          <w:bottom w:val="single" w:color="1A3C5E" w:sz="8" w:space="4"/>
        </w:pBdr>
        <w:bidi/>
        <w:spacing w:before="400" w:after="160"/>
        <w:jc w:val="right"/>
      </w:pPr>
      <w:r>
        <w:rPr>
          <w:rFonts w:ascii="Arial" w:cs="Arial" w:eastAsia="Arial" w:hAnsi="Arial"/>
          <w:b/>
          <w:bCs/>
          <w:color w:val="1A3C5E"/>
          <w:sz w:val="28"/>
          <w:szCs w:val="28"/>
          <w:rtl/>
        </w:rPr>
        <w:t xml:space="preserve">القسم العاشر — الأنماط المضادة</w:t>
      </w:r>
    </w:p>
    <w:p>
      <w:pPr>
        <w:bidi/>
        <w:spacing w:before="80" w:after="80"/>
        <w:jc w:val="right"/>
      </w:pPr>
      <w:r>
        <w:rPr>
          <w:rFonts w:ascii="Arial" w:cs="Arial" w:eastAsia="Arial" w:hAnsi="Arial"/>
          <w:sz w:val="20"/>
          <w:szCs w:val="20"/>
          <w:rtl/>
        </w:rPr>
        <w:t xml:space="preserve">الأنماط المضادة هي أوضاع فشل لها أسماء. تسميتها تُتيح رفضاً أسرع عند نقطة القرار.</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النمط المضاد</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الوصف</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وضع الفشل</w:t>
            </w:r>
          </w:p>
        </w:tc>
        <w:tc>
          <w:tcPr>
            <w:tcW w:type="dxa" w:w="2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النمط الصحيح</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الزيادة الزخرفية</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عناصر بصرية مُضافة لجدة جمالية دون غرض وظيفي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يُخفف إشارة الثقة؛ يجذب الجمهور الخطأ</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كل عنصر يجتاز اختبار 'ماذا يعني هذا؟'</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الربط بإطار العمل</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إدخال إطار عمل قبل أن تُبرره بنية الهجرة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يخلق دين هجرة؛ يوحي بضعف الحكم</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المرحلة الأولى خالية من أطر العمل بالتصميم</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إلهاء المحتوى الثقيل</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كتل نصية طويلة دون تراتبية طباعية أو بنية معلومات</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تُرهق؛ تُشير إلى ضعف مهارة التواصل</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تراتبية عناوين صارمة؛ إفصاح تدريجي</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المكونات المعزولة</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وحدات UI ذات تبعيات متقاطعة تمنع الاستخراج المستقل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تعيق هجرة مكونات المرحلة الثالثة</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كل وحدة مكتفية هيكلياً بذاتها</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انجراف وحدات التصميم</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قيم اللون والتباعد والطباعة مُعرَّفة خارج نظام المتغير</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يكسر الاتساق البصري؛ يخلق دين صيانة</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جميع قيم التصميم تُشير فقط إلى متغيرات :root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تضخيم الحماس</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لغة تسويقية تدّعي التميز بدلاً من إظهاره</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تُدمر المصداقية التقنية مع المقيّمين التقنيين</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اللغة وصفية ومحددة، لا ترويجية أبداً</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فخ الإلحاح</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ميزات أو لغة توحي بالتوافر، الشوق، أو السعي للحجم</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تضع المالك كمورد لا شريك</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عملية تواصل انتقائية؛ لا إشارات توافر</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اقتران المصدر</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JS يتلاعب بـ CSS مباشرة عبر خصائص style خارج نظام الوحدات</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يكسر فصل المسؤوليات؛ يُهاجر بصعوبة</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JS يُحدد data-attributes؛ CSS يستجيب عبر محددات السمة</w:t>
            </w:r>
          </w:p>
        </w:tc>
      </w:tr>
    </w:tbl>
    <w:p>
      <w:pPr>
        <w:spacing w:before="200" w:after="0"/>
      </w:pPr>
    </w:p>
    <w:p>
      <w:pPr>
        <w:pBdr>
          <w:bottom w:val="single" w:color="D0E4F5" w:sz="4" w:space="1"/>
        </w:pBdr>
        <w:spacing w:before="200" w:after="200"/>
      </w:pPr>
    </w:p>
    <w:p>
      <w:pPr>
        <w:pStyle w:val="Heading1"/>
        <w:pBdr>
          <w:bottom w:val="single" w:color="1A3C5E" w:sz="8" w:space="4"/>
        </w:pBdr>
        <w:bidi/>
        <w:spacing w:before="400" w:after="160"/>
        <w:jc w:val="right"/>
      </w:pPr>
      <w:r>
        <w:rPr>
          <w:rFonts w:ascii="Arial" w:cs="Arial" w:eastAsia="Arial" w:hAnsi="Arial"/>
          <w:b/>
          <w:bCs/>
          <w:color w:val="1A3C5E"/>
          <w:sz w:val="28"/>
          <w:szCs w:val="28"/>
          <w:rtl/>
        </w:rPr>
        <w:t xml:space="preserve">القسم الحادي عشر — نموذج محرك القرار</w:t>
      </w:r>
    </w:p>
    <w:p>
      <w:pPr>
        <w:pStyle w:val="Heading2"/>
        <w:bidi/>
        <w:spacing w:before="320" w:after="120"/>
        <w:jc w:val="right"/>
      </w:pPr>
      <w:r>
        <w:rPr>
          <w:rFonts w:ascii="Arial" w:cs="Arial" w:eastAsia="Arial" w:hAnsi="Arial"/>
          <w:b/>
          <w:bCs/>
          <w:color w:val="2E6DA4"/>
          <w:sz w:val="24"/>
          <w:szCs w:val="24"/>
          <w:rtl/>
        </w:rPr>
        <w:t xml:space="preserve">11.1 بروتوكول القرار الأساسي</w:t>
      </w:r>
    </w:p>
    <w:p>
      <w:pPr>
        <w:bidi/>
        <w:spacing w:before="80" w:after="80"/>
        <w:jc w:val="right"/>
      </w:pPr>
      <w:r>
        <w:rPr>
          <w:rFonts w:ascii="Arial" w:cs="Arial" w:eastAsia="Arial" w:hAnsi="Arial"/>
          <w:sz w:val="20"/>
          <w:szCs w:val="20"/>
          <w:rtl/>
        </w:rPr>
        <w:t xml:space="preserve">جميع قرارات التنفيذ — تصميم، محتوى، كود، ميزة — تُقيَّم عبر هذا البروتوكول بالتسلسل. 'لا' عند أي بوابة يُنهي المقترح:</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2880"/>
        <w:gridCol w:w="2760"/>
      </w:tblGrid>
      <w:tr>
        <w:trPr>
          <w:tblHeader/>
        </w:trPr>
        <w:tc>
          <w:tcPr>
            <w:tcW w:type="dxa" w:w="7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البوابة</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السؤال</w:t>
            </w:r>
          </w:p>
        </w:tc>
        <w:tc>
          <w:tcPr>
            <w:tcW w:type="dxa" w:w="28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شرط الاجتياز</w:t>
            </w:r>
          </w:p>
        </w:tc>
        <w:tc>
          <w:tcPr>
            <w:tcW w:type="dxa" w:w="2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إجراء الرفض</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هل يُحسّن هذا التموضع أو الثقة؟</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انطباع المقيّم محسّن قياسياً</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رفض أو إعادة تصميم</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هل يخرق هذا أي قانون غير قابل للتفاوض؟</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تعارض مع أي قانون مُحدَّد</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رفض فوري</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هل يسمح هذا بهجرة المرحلة الثانية وما بعدها؟</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التطبيق يُعادل مكافئه المُنمَّط/المكوَّن</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إعادة تصميم لأمان الهجرة</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هل يُقلل أو يحافظ هذا على الدين التقني؟</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لا اقتران جديد، لا حالة عامة جديدة</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إعادة تصميم أو إزالة</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هل يبقى ضمن ميزانية الأداء؟</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يُضيف أقل من 10 كيلوبايت للوزن الإجمالي</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تحسين قبل التنفيذ</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ب-06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هل يتطابق مع نموذج سيكولوجية العميل؟</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يُجيب على سؤال المقيّم في المرحلة الصحيحة</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إعادة تصميم المحتوى أو الموضع</w:t>
            </w:r>
          </w:p>
        </w:tc>
      </w:tr>
    </w:tbl>
    <w:p>
      <w:pPr>
        <w:spacing w:before="200" w:after="0"/>
      </w:pPr>
    </w:p>
    <w:p>
      <w:pPr>
        <w:pStyle w:val="Heading2"/>
        <w:bidi/>
        <w:spacing w:before="320" w:after="120"/>
        <w:jc w:val="right"/>
      </w:pPr>
      <w:r>
        <w:rPr>
          <w:rFonts w:ascii="Arial" w:cs="Arial" w:eastAsia="Arial" w:hAnsi="Arial"/>
          <w:b/>
          <w:bCs/>
          <w:color w:val="2E6DA4"/>
          <w:sz w:val="24"/>
          <w:szCs w:val="24"/>
          <w:rtl/>
        </w:rPr>
        <w:t xml:space="preserve">11.2 تراتبية حل التعارض</w:t>
      </w:r>
    </w:p>
    <w:p>
      <w:pPr>
        <w:bidi/>
        <w:spacing w:before="80" w:after="80"/>
        <w:jc w:val="right"/>
      </w:pPr>
      <w:r>
        <w:rPr>
          <w:rFonts w:ascii="Arial" w:cs="Arial" w:eastAsia="Arial" w:hAnsi="Arial"/>
          <w:sz w:val="20"/>
          <w:szCs w:val="20"/>
          <w:rtl/>
        </w:rPr>
        <w:t xml:space="preserve">حين يتعارض مبدآن صالحان، يُحلّ التعارض بترتيب الأولوية:</w:t>
      </w:r>
    </w:p>
    <w:p>
      <w:pPr>
        <w:pStyle w:val="ListParagraph"/>
        <w:numPr>
          <w:ilvl w:val="0"/>
          <w:numId w:val="2"/>
        </w:numPr>
        <w:bidi/>
        <w:spacing w:before="60" w:after="60"/>
        <w:jc w:val="right"/>
      </w:pPr>
      <w:r>
        <w:rPr>
          <w:rFonts w:ascii="Arial" w:cs="Arial" w:eastAsia="Arial" w:hAnsi="Arial"/>
          <w:sz w:val="20"/>
          <w:szCs w:val="20"/>
          <w:rtl/>
        </w:rPr>
        <w:t xml:space="preserve">الأول: القوانين غير القابلة للتفاوض — تتجاوز دائماً كل شيء.</w:t>
      </w:r>
    </w:p>
    <w:p>
      <w:pPr>
        <w:pStyle w:val="ListParagraph"/>
        <w:numPr>
          <w:ilvl w:val="0"/>
          <w:numId w:val="2"/>
        </w:numPr>
        <w:bidi/>
        <w:spacing w:before="60" w:after="60"/>
        <w:jc w:val="right"/>
      </w:pPr>
      <w:r>
        <w:rPr>
          <w:rFonts w:ascii="Arial" w:cs="Arial" w:eastAsia="Arial" w:hAnsi="Arial"/>
          <w:sz w:val="20"/>
          <w:szCs w:val="20"/>
          <w:rtl/>
        </w:rPr>
        <w:t xml:space="preserve">الثاني: أمان الهجرة — توافق المرحلة الثالثة لا يُتاجَر به لراحة المرحلة الأولى.</w:t>
      </w:r>
    </w:p>
    <w:p>
      <w:pPr>
        <w:pStyle w:val="ListParagraph"/>
        <w:numPr>
          <w:ilvl w:val="0"/>
          <w:numId w:val="2"/>
        </w:numPr>
        <w:bidi/>
        <w:spacing w:before="60" w:after="60"/>
        <w:jc w:val="right"/>
      </w:pPr>
      <w:r>
        <w:rPr>
          <w:rFonts w:ascii="Arial" w:cs="Arial" w:eastAsia="Arial" w:hAnsi="Arial"/>
          <w:sz w:val="20"/>
          <w:szCs w:val="20"/>
          <w:rtl/>
        </w:rPr>
        <w:t xml:space="preserve">الثالث: نزاهة التموضع — إشارة الثقة لا تُخفَّف لثراء الميزات.</w:t>
      </w:r>
    </w:p>
    <w:p>
      <w:pPr>
        <w:pStyle w:val="ListParagraph"/>
        <w:numPr>
          <w:ilvl w:val="0"/>
          <w:numId w:val="2"/>
        </w:numPr>
        <w:bidi/>
        <w:spacing w:before="60" w:after="60"/>
        <w:jc w:val="right"/>
      </w:pPr>
      <w:r>
        <w:rPr>
          <w:rFonts w:ascii="Arial" w:cs="Arial" w:eastAsia="Arial" w:hAnsi="Arial"/>
          <w:sz w:val="20"/>
          <w:szCs w:val="20"/>
          <w:rtl/>
        </w:rPr>
        <w:t xml:space="preserve">الرابع: ميزانية الأداء — لا تُضاف وظيفة على حساب تجاوز سقف الأداء.</w:t>
      </w:r>
    </w:p>
    <w:p>
      <w:pPr>
        <w:pStyle w:val="ListParagraph"/>
        <w:numPr>
          <w:ilvl w:val="0"/>
          <w:numId w:val="2"/>
        </w:numPr>
        <w:bidi/>
        <w:spacing w:before="60" w:after="60"/>
        <w:jc w:val="right"/>
      </w:pPr>
      <w:r>
        <w:rPr>
          <w:rFonts w:ascii="Arial" w:cs="Arial" w:eastAsia="Arial" w:hAnsi="Arial"/>
          <w:sz w:val="20"/>
          <w:szCs w:val="20"/>
          <w:rtl/>
        </w:rPr>
        <w:t xml:space="preserve">الخامس: أناقة الكود — الكود النظيف مهم لكنه خاضع لجميع ما سبق.</w:t>
      </w:r>
    </w:p>
    <w:p>
      <w:pPr>
        <w:pBdr>
          <w:bottom w:val="single" w:color="D0E4F5" w:sz="4" w:space="1"/>
        </w:pBdr>
        <w:spacing w:before="200" w:after="200"/>
      </w:pPr>
    </w:p>
    <w:p>
      <w:pPr>
        <w:pStyle w:val="Heading1"/>
        <w:pBdr>
          <w:bottom w:val="single" w:color="1A3C5E" w:sz="8" w:space="4"/>
        </w:pBdr>
        <w:bidi/>
        <w:spacing w:before="400" w:after="160"/>
        <w:jc w:val="right"/>
      </w:pPr>
      <w:r>
        <w:rPr>
          <w:rFonts w:ascii="Arial" w:cs="Arial" w:eastAsia="Arial" w:hAnsi="Arial"/>
          <w:b/>
          <w:bCs/>
          <w:color w:val="1A3C5E"/>
          <w:sz w:val="28"/>
          <w:szCs w:val="28"/>
          <w:rtl/>
        </w:rPr>
        <w:t xml:space="preserve">القسم الثاني عشر — النموذج المعرفي للعلامة التجارية</w:t>
      </w:r>
    </w:p>
    <w:p>
      <w:pPr>
        <w:pStyle w:val="Heading2"/>
        <w:bidi/>
        <w:spacing w:before="320" w:after="120"/>
        <w:jc w:val="right"/>
      </w:pPr>
      <w:r>
        <w:rPr>
          <w:rFonts w:ascii="Arial" w:cs="Arial" w:eastAsia="Arial" w:hAnsi="Arial"/>
          <w:b/>
          <w:bCs/>
          <w:color w:val="2E6DA4"/>
          <w:sz w:val="24"/>
          <w:szCs w:val="24"/>
          <w:rtl/>
        </w:rPr>
        <w:t xml:space="preserve">12.1 سمات العلامة التجارية الأساسية</w:t>
      </w:r>
    </w:p>
    <w:p>
      <w:pPr>
        <w:bidi/>
        <w:spacing w:before="80" w:after="80"/>
        <w:jc w:val="right"/>
      </w:pPr>
      <w:r>
        <w:rPr>
          <w:rFonts w:ascii="Arial" w:cs="Arial" w:eastAsia="Arial" w:hAnsi="Arial"/>
          <w:sz w:val="20"/>
          <w:szCs w:val="20"/>
          <w:rtl/>
        </w:rPr>
        <w:t xml:space="preserve">هذه السمات الخمس هي البصمة المعرفية التي يجب أن تترسخ في ذاكرة المقيّم بعد أول تواصل. كل قرار تصميم ومحتوى يُختبر في مواجهة هذه البصمة: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السمة</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التعريف</w:t>
            </w:r>
          </w:p>
        </w:tc>
        <w:tc>
          <w:tcPr>
            <w:tcW w:type="dxa" w:w="4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التعبير البصري/الهيكلي</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الدقة</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الضبط في التنفيذ؛ لا غموض في البنية أو اللغة</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شبكة محكمة، لغة محددة، تباعد متسق للبكسل</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الانضباط</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الضبط والتخفيض المتعمد؛ التعقيد مُحلول لا مُتجنَّب</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لوحة ألوان محدودة، لا زخرفة، لا محتوى حشو</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التفكير المنهجي</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كل مكون مفهوم في علاقته بالكل</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بنية معيارية، نظام وحدات، تبعيات موثقة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الجدارة بالثقة</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الاتساق، الشفافية، وعدم الفجوة بين الموقع والواقع</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طباعة متسقة، كود نظيف مرئي في المصدر، لا وعود مبالغ فيها</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قابلية التوسع</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الاستعداد لنطاق أوسع؛ لا يقيّد الحالة الراهنة</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بنية جاهزة للهجرة، مخطط JSON قابل للتوسع، خارطة طريق المراحل</w:t>
            </w:r>
          </w:p>
        </w:tc>
      </w:tr>
    </w:tbl>
    <w:p>
      <w:pPr>
        <w:spacing w:before="200" w:after="0"/>
      </w:pPr>
    </w:p>
    <w:p>
      <w:pPr>
        <w:pStyle w:val="Heading2"/>
        <w:bidi/>
        <w:spacing w:before="320" w:after="120"/>
        <w:jc w:val="right"/>
      </w:pPr>
      <w:r>
        <w:rPr>
          <w:rFonts w:ascii="Arial" w:cs="Arial" w:eastAsia="Arial" w:hAnsi="Arial"/>
          <w:b/>
          <w:bCs/>
          <w:color w:val="2E6DA4"/>
          <w:sz w:val="24"/>
          <w:szCs w:val="24"/>
          <w:rtl/>
        </w:rPr>
        <w:t xml:space="preserve">12.2 قيود اللغة البصرية</w:t>
      </w:r>
    </w:p>
    <w:p>
      <w:pPr>
        <w:pStyle w:val="ListParagraph"/>
        <w:numPr>
          <w:ilvl w:val="0"/>
          <w:numId w:val="2"/>
        </w:numPr>
        <w:bidi/>
        <w:spacing w:before="60" w:after="60"/>
        <w:jc w:val="right"/>
      </w:pPr>
      <w:r>
        <w:rPr>
          <w:rFonts w:ascii="Arial" w:cs="Arial" w:eastAsia="Arial" w:hAnsi="Arial"/>
          <w:sz w:val="20"/>
          <w:szCs w:val="20"/>
          <w:rtl/>
        </w:rPr>
        <w:t xml:space="preserve">اللون: الوضع الداكن افتراضياً؛ لون تأكيد واحد بدرجة باردة (hex محدد في نظام الوحدات)؛ لا لون تأكيد ثانوي؛ لا تدرج.</w:t>
      </w:r>
    </w:p>
    <w:p>
      <w:pPr>
        <w:pStyle w:val="ListParagraph"/>
        <w:numPr>
          <w:ilvl w:val="0"/>
          <w:numId w:val="2"/>
        </w:numPr>
        <w:bidi/>
        <w:spacing w:before="60" w:after="60"/>
        <w:jc w:val="right"/>
      </w:pPr>
      <w:r>
        <w:rPr>
          <w:rFonts w:ascii="Arial" w:cs="Arial" w:eastAsia="Arial" w:hAnsi="Arial"/>
          <w:sz w:val="20"/>
          <w:szCs w:val="20"/>
          <w:rtl/>
        </w:rPr>
        <w:t xml:space="preserve">الطباعة: حد أقصى خطان — خط هندسي أو serif للعناوين؛ خط sans مقروء للنص. سلم نوع من 5 درجات. لا خط زخرفي.</w:t>
      </w:r>
    </w:p>
    <w:p>
      <w:pPr>
        <w:pStyle w:val="ListParagraph"/>
        <w:numPr>
          <w:ilvl w:val="0"/>
          <w:numId w:val="2"/>
        </w:numPr>
        <w:bidi/>
        <w:spacing w:before="60" w:after="60"/>
        <w:jc w:val="right"/>
      </w:pPr>
      <w:r>
        <w:rPr>
          <w:rFonts w:ascii="Arial" w:cs="Arial" w:eastAsia="Arial" w:hAnsi="Arial"/>
          <w:sz w:val="20"/>
          <w:szCs w:val="20"/>
          <w:rtl/>
        </w:rPr>
        <w:t xml:space="preserve">التباعد: قائم على الوحدات؛ شبكة أساسية 8 نقاط؛ لا قيم اعتباطية أبداً.</w:t>
      </w:r>
    </w:p>
    <w:p>
      <w:pPr>
        <w:pStyle w:val="ListParagraph"/>
        <w:numPr>
          <w:ilvl w:val="0"/>
          <w:numId w:val="2"/>
        </w:numPr>
        <w:bidi/>
        <w:spacing w:before="60" w:after="60"/>
        <w:jc w:val="right"/>
      </w:pPr>
      <w:r>
        <w:rPr>
          <w:rFonts w:ascii="Arial" w:cs="Arial" w:eastAsia="Arial" w:hAnsi="Arial"/>
          <w:sz w:val="20"/>
          <w:szCs w:val="20"/>
          <w:rtl/>
        </w:rPr>
        <w:t xml:space="preserve">الصور: تصوير فوتوغرافي فقط إن كان ذا صلة مباشرة وإنتاجاً عالي الجودة. لا صور stock. لا توضيح زخرفي.</w:t>
      </w:r>
    </w:p>
    <w:p>
      <w:pPr>
        <w:pStyle w:val="ListParagraph"/>
        <w:numPr>
          <w:ilvl w:val="0"/>
          <w:numId w:val="2"/>
        </w:numPr>
        <w:bidi/>
        <w:spacing w:before="60" w:after="60"/>
        <w:jc w:val="right"/>
      </w:pPr>
      <w:r>
        <w:rPr>
          <w:rFonts w:ascii="Arial" w:cs="Arial" w:eastAsia="Arial" w:hAnsi="Arial"/>
          <w:sz w:val="20"/>
          <w:szCs w:val="20"/>
          <w:rtl/>
        </w:rPr>
        <w:t xml:space="preserve">الأيقونات: أيقونات FontAwesome الوظيفية فقط؛ لا مجموعات أيقونات توضيحية؛ لا استخدام أيقونة-كزخرفة.</w:t>
      </w:r>
    </w:p>
    <w:p>
      <w:pPr>
        <w:spacing w:before="120" w:after="0"/>
      </w:pPr>
    </w:p>
    <w:p>
      <w:pPr>
        <w:pStyle w:val="Heading2"/>
        <w:bidi/>
        <w:spacing w:before="320" w:after="120"/>
        <w:jc w:val="right"/>
      </w:pPr>
      <w:r>
        <w:rPr>
          <w:rFonts w:ascii="Arial" w:cs="Arial" w:eastAsia="Arial" w:hAnsi="Arial"/>
          <w:b/>
          <w:bCs/>
          <w:color w:val="2E6DA4"/>
          <w:sz w:val="24"/>
          <w:szCs w:val="24"/>
          <w:rtl/>
        </w:rPr>
        <w:t xml:space="preserve">12.3 حوكمة اللغة</w:t>
      </w:r>
    </w:p>
    <w:p>
      <w:pPr>
        <w:pStyle w:val="ListParagraph"/>
        <w:numPr>
          <w:ilvl w:val="0"/>
          <w:numId w:val="2"/>
        </w:numPr>
        <w:bidi/>
        <w:spacing w:before="60" w:after="60"/>
        <w:jc w:val="right"/>
      </w:pPr>
      <w:r>
        <w:rPr>
          <w:rFonts w:ascii="Arial" w:cs="Arial" w:eastAsia="Arial" w:hAnsi="Arial"/>
          <w:sz w:val="20"/>
          <w:szCs w:val="20"/>
          <w:rtl/>
        </w:rPr>
        <w:t xml:space="preserve">التحديد التقني فوق الادعاءات العامة. ('بنية مكونات React معيارية' لا 'أبني تطبيقات عصرية'.)</w:t>
      </w:r>
    </w:p>
    <w:p>
      <w:pPr>
        <w:pStyle w:val="ListParagraph"/>
        <w:numPr>
          <w:ilvl w:val="0"/>
          <w:numId w:val="2"/>
        </w:numPr>
        <w:bidi/>
        <w:spacing w:before="60" w:after="60"/>
        <w:jc w:val="right"/>
      </w:pPr>
      <w:r>
        <w:rPr>
          <w:rFonts w:ascii="Arial" w:cs="Arial" w:eastAsia="Arial" w:hAnsi="Arial"/>
          <w:sz w:val="20"/>
          <w:szCs w:val="20"/>
          <w:rtl/>
        </w:rPr>
        <w:t xml:space="preserve">ضمير المتكلم، صوت فاعل. لا تراكيب مبنية للمجهول تُبهم الفاعلية.</w:t>
      </w:r>
    </w:p>
    <w:p>
      <w:pPr>
        <w:pStyle w:val="ListParagraph"/>
        <w:numPr>
          <w:ilvl w:val="0"/>
          <w:numId w:val="2"/>
        </w:numPr>
        <w:bidi/>
        <w:spacing w:before="60" w:after="60"/>
        <w:jc w:val="right"/>
      </w:pPr>
      <w:r>
        <w:rPr>
          <w:rFonts w:ascii="Arial" w:cs="Arial" w:eastAsia="Arial" w:hAnsi="Arial"/>
          <w:sz w:val="20"/>
          <w:szCs w:val="20"/>
          <w:rtl/>
        </w:rPr>
        <w:t xml:space="preserve">لا صفات تفضيل عليا. ('ذو خبرة' لا 'شديد الخبرة'؛ 'سلّمت' لا 'نجحت في تسليم'.)</w:t>
      </w:r>
    </w:p>
    <w:p>
      <w:pPr>
        <w:pStyle w:val="ListParagraph"/>
        <w:numPr>
          <w:ilvl w:val="0"/>
          <w:numId w:val="2"/>
        </w:numPr>
        <w:bidi/>
        <w:spacing w:before="60" w:after="60"/>
        <w:jc w:val="right"/>
      </w:pPr>
      <w:r>
        <w:rPr>
          <w:rFonts w:ascii="Arial" w:cs="Arial" w:eastAsia="Arial" w:hAnsi="Arial"/>
          <w:sz w:val="20"/>
          <w:szCs w:val="20"/>
          <w:rtl/>
        </w:rPr>
        <w:t xml:space="preserve">لا تضخيم حماس. السجل المهني هادئ، دقيق، وواثق — لا متلهف أبداً.</w:t>
      </w:r>
    </w:p>
    <w:p>
      <w:pPr>
        <w:pStyle w:val="ListParagraph"/>
        <w:numPr>
          <w:ilvl w:val="0"/>
          <w:numId w:val="2"/>
        </w:numPr>
        <w:bidi/>
        <w:spacing w:before="60" w:after="60"/>
        <w:jc w:val="right"/>
      </w:pPr>
      <w:r>
        <w:rPr>
          <w:rFonts w:ascii="Arial" w:cs="Arial" w:eastAsia="Arial" w:hAnsi="Arial"/>
          <w:sz w:val="20"/>
          <w:szCs w:val="20"/>
          <w:rtl/>
        </w:rPr>
        <w:t xml:space="preserve">لغة المجال مسموحة ومُفضَّلة — هذا الجمهور متعلم تقنياً.</w:t>
      </w:r>
    </w:p>
    <w:p>
      <w:pPr>
        <w:pBdr>
          <w:bottom w:val="single" w:color="D0E4F5" w:sz="4" w:space="1"/>
        </w:pBdr>
        <w:spacing w:before="200" w:after="200"/>
      </w:pPr>
    </w:p>
    <w:p>
      <w:pPr>
        <w:pStyle w:val="Heading1"/>
        <w:pBdr>
          <w:bottom w:val="single" w:color="1A3C5E" w:sz="8" w:space="4"/>
        </w:pBdr>
        <w:bidi/>
        <w:spacing w:before="400" w:after="160"/>
        <w:jc w:val="right"/>
      </w:pPr>
      <w:r>
        <w:rPr>
          <w:rFonts w:ascii="Arial" w:cs="Arial" w:eastAsia="Arial" w:hAnsi="Arial"/>
          <w:b/>
          <w:bCs/>
          <w:color w:val="1A3C5E"/>
          <w:sz w:val="28"/>
          <w:szCs w:val="28"/>
          <w:rtl/>
        </w:rPr>
        <w:t xml:space="preserve">القسم الثالث عشر — مشهد المخاطر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1000"/>
        <w:gridCol w:w="1000"/>
        <w:gridCol w:w="800"/>
        <w:gridCol w:w="3440"/>
      </w:tblGrid>
      <w:tr>
        <w:trPr>
          <w:tblHeader/>
        </w:trPr>
        <w:tc>
          <w:tcPr>
            <w:tcW w:type="dxa" w:w="7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رقم المخاطرة</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المخاطرة</w:t>
            </w:r>
          </w:p>
        </w:tc>
        <w:tc>
          <w:tcPr>
            <w:tcW w:type="dxa" w:w="1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الفئة</w:t>
            </w:r>
          </w:p>
        </w:tc>
        <w:tc>
          <w:tcPr>
            <w:tcW w:type="dxa" w:w="1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الاحتمالية</w:t>
            </w:r>
          </w:p>
        </w:tc>
        <w:tc>
          <w:tcPr>
            <w:tcW w:type="dxa" w:w="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التأثير</w:t>
            </w:r>
          </w:p>
        </w:tc>
        <w:tc>
          <w:tcPr>
            <w:tcW w:type="dxa" w:w="34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الحد</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انجراف وحدات التصميم</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تقني</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متوسطة</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ملف متغير :root واحد؛ قواعد linting لتطبيقه</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زحف الإطناب في المحتوى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تموضع</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عالية</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قاعدة حوكمة المحتوى: حد 3 فقرات لكل قسم؛ بوابة مراجعة تحريرية</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إدخال نمط مضاد عبر 'استثناء صغير'</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حوكمة</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عالية</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القوانين غير القابلة للتفاوض مُحلولة مسبقاً؛ لا عملية استثناء</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قرارات المرحلة 1 تعيق هجرة المرحلة 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بنية</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متوسطة</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حرج</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بوابة أمان الهجرة في محرك القرار؛ معيار عزل المكون</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تآكل الثقة عبر تناقض الطباعة</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انطباع</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منخفضة</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سلم النوع مُعرَّف في الوحدات؛ لا يُحدَّد اعتباطياً</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سوء تصنيف المقيّم (جمهور خاطئ)</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تموضع</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متوسطة</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إشارات اللغة والبنية المضادة للنمطية تُراجَع عند كل تحديث محتوى</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تجاوز سقف الأداء من نمو الأصول</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تقني</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متوسطة</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متوسط</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ميزانية الأداء مُطبَّقة عند كل commit؛ فحص Lighthouse تلقائي</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تراجع إمكانية الوصول</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قانوني / تقني</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منخفضة</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اختبار WCAG 2.1 AA تلقائي في CI من المرحلة 2</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كشف الكود المصدري عن بنية رديئة للمقيّمين التقنيين</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مصداقية</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منخفضة</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حرج</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معيار مراجعة الكود مُطبَّق؛ مكونات موثقة؛ لا كود ميت</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تخفيف الهوية عبر طلبات العميل لـ 'تصميم أكثر قرباً'</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تموضع</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متوسطة</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حرج</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هذه الوثيقة هي المرجع. الهوية ثابتة. الطلبات تُقيَّم في مواجهتها.</w:t>
            </w:r>
          </w:p>
        </w:tc>
      </w:tr>
    </w:tbl>
    <w:p>
      <w:pPr>
        <w:spacing w:before="200" w:after="0"/>
      </w:pPr>
    </w:p>
    <w:p>
      <w:pPr>
        <w:pBdr>
          <w:bottom w:val="single" w:color="D0E4F5" w:sz="4" w:space="1"/>
        </w:pBdr>
        <w:spacing w:before="200" w:after="200"/>
      </w:pPr>
    </w:p>
    <w:p>
      <w:pPr>
        <w:pStyle w:val="Heading1"/>
        <w:pBdr>
          <w:bottom w:val="single" w:color="1A3C5E" w:sz="8" w:space="4"/>
        </w:pBdr>
        <w:bidi/>
        <w:spacing w:before="400" w:after="160"/>
        <w:jc w:val="right"/>
      </w:pPr>
      <w:r>
        <w:rPr>
          <w:rFonts w:ascii="Arial" w:cs="Arial" w:eastAsia="Arial" w:hAnsi="Arial"/>
          <w:b/>
          <w:bCs/>
          <w:color w:val="1A3C5E"/>
          <w:sz w:val="28"/>
          <w:szCs w:val="28"/>
          <w:rtl/>
        </w:rPr>
        <w:t xml:space="preserve">القسم الرابع عشر — مخطط رسم الوثائق</w:t>
      </w:r>
    </w:p>
    <w:p>
      <w:pPr>
        <w:bidi/>
        <w:spacing w:before="80" w:after="80"/>
        <w:jc w:val="right"/>
      </w:pPr>
      <w:r>
        <w:rPr>
          <w:rFonts w:ascii="Arial" w:cs="Arial" w:eastAsia="Arial" w:hAnsi="Arial"/>
          <w:sz w:val="20"/>
          <w:szCs w:val="20"/>
          <w:rtl/>
        </w:rPr>
        <w:t xml:space="preserve">هذا الدستور الرئيسي هو الوثيقة المصدرية لأكثر من 30 وثيقة فرعية. كل استخراج مُدرج أدناه مع قسمه المصدري وأولويته:</w:t>
      </w:r>
    </w:p>
    <w:p>
      <w:pPr>
        <w:spacing w:before="120" w:after="0"/>
      </w:pPr>
    </w:p>
    <w:p>
      <w:pPr>
        <w:pStyle w:val="Heading2"/>
        <w:bidi/>
        <w:spacing w:before="320" w:after="120"/>
        <w:jc w:val="right"/>
      </w:pPr>
      <w:r>
        <w:rPr>
          <w:rFonts w:ascii="Arial" w:cs="Arial" w:eastAsia="Arial" w:hAnsi="Arial"/>
          <w:b/>
          <w:bCs/>
          <w:color w:val="2E6DA4"/>
          <w:sz w:val="24"/>
          <w:szCs w:val="24"/>
          <w:rtl/>
        </w:rPr>
        <w:t xml:space="preserve">14.1 وثائق الفلسفة والاستراتيجية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200"/>
        <w:gridCol w:w="2400"/>
        <w:gridCol w:w="1680"/>
      </w:tblGrid>
      <w:tr>
        <w:trPr>
          <w:tblHeader/>
        </w:trPr>
        <w:tc>
          <w:tcPr>
            <w:tcW w:type="dxa" w:w="10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رمز الوثيقة</w:t>
            </w:r>
          </w:p>
        </w:tc>
        <w:tc>
          <w:tcPr>
            <w:tcW w:type="dxa" w:w="4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عنوان الوثيقة</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القسم المصدري</w:t>
            </w:r>
          </w:p>
        </w:tc>
        <w:tc>
          <w:tcPr>
            <w:tcW w:type="dxa" w:w="1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الأولوية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غرض الموقع والتعريف التشغيلي</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الأول</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حرجة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و-02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بيان فلسفة التموضع</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القسمان الثاني والثالث</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حرجة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بيان مضاد لمحفظة الأعمال</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الثالث-4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عالية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و-04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إطار سيكولوجية العميل والتقييم</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الرابع</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عالية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وثيقة منطق التصفية بالثقة</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الثالث-2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عالية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و-06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النموذج المعرفي للعلامة التجارية</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الثاني عشر</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حرجة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و-07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دليل حوكمة اللغة</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الثاني عشر-3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عالية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و-08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سجل المخاطر</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الثالث عشر</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متوسطة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و-09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تحليل التمايز التنافسي</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الثالث-4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متوسطة</w:t>
            </w:r>
          </w:p>
        </w:tc>
      </w:tr>
    </w:tbl>
    <w:p>
      <w:pPr>
        <w:spacing w:before="120" w:after="0"/>
      </w:pPr>
    </w:p>
    <w:p>
      <w:pPr>
        <w:pStyle w:val="Heading2"/>
        <w:bidi/>
        <w:spacing w:before="320" w:after="120"/>
        <w:jc w:val="right"/>
      </w:pPr>
      <w:r>
        <w:rPr>
          <w:rFonts w:ascii="Arial" w:cs="Arial" w:eastAsia="Arial" w:hAnsi="Arial"/>
          <w:b/>
          <w:bCs/>
          <w:color w:val="2E6DA4"/>
          <w:sz w:val="24"/>
          <w:szCs w:val="24"/>
          <w:rtl/>
        </w:rPr>
        <w:t xml:space="preserve">14.2 الوثائق التقنية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200"/>
        <w:gridCol w:w="2400"/>
        <w:gridCol w:w="1680"/>
      </w:tblGrid>
      <w:tr>
        <w:trPr>
          <w:tblHeader/>
        </w:trPr>
        <w:tc>
          <w:tcPr>
            <w:tcW w:type="dxa" w:w="10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رمز الوثيقة</w:t>
            </w:r>
          </w:p>
        </w:tc>
        <w:tc>
          <w:tcPr>
            <w:tcW w:type="dxa" w:w="4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عنوان الوثيقة</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القسم المصدري</w:t>
            </w:r>
          </w:p>
        </w:tc>
        <w:tc>
          <w:tcPr>
            <w:tcW w:type="dxa" w:w="1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الأولوية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الفلسفة التقنية والبديهيات</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الخامس</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حرجة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وثيقة مبرر المكدس التقني</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الخامس-2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حرجة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دليل بنية CSS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القسمان الخامس والسابع</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حرجة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و-13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مواصفة نظام وحدات CSS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القسمان السادس-2 والثاني عشر-2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حرجة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و-14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بنية وحدات JavaScript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القسمان الخامس والسابع</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عالية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و-15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مواصفة مخطط محتوى JSON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السادس-2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عالية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و-16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دليل البنية الدلالية لـ HTML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الثامن</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عالية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و-17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مواصفة ميزانية الأداء</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القسمان السابع-4 والثامن-1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حرجة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و-18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وثيقة بنية SEO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الثامن-2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متوسطة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و-19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قائمة مراجعة الامتثال لإمكانية الوصول</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الثامن-3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عالية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و-20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مواصفة اصطلاح التسمية</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السابع-1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عالية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و-21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سير عمل Git ومعيار الـ Commit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السابع-3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متوسطة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و-22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معيار عزل المكون</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السادس-3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حرجة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و-23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مواصفة متطلبات التوثيق</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السابع-2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متوسطة</w:t>
            </w:r>
          </w:p>
        </w:tc>
      </w:tr>
    </w:tbl>
    <w:p>
      <w:pPr>
        <w:spacing w:before="120" w:after="0"/>
      </w:pPr>
    </w:p>
    <w:p>
      <w:pPr>
        <w:pStyle w:val="Heading2"/>
        <w:bidi/>
        <w:spacing w:before="320" w:after="120"/>
        <w:jc w:val="right"/>
      </w:pPr>
      <w:r>
        <w:rPr>
          <w:rFonts w:ascii="Arial" w:cs="Arial" w:eastAsia="Arial" w:hAnsi="Arial"/>
          <w:b/>
          <w:bCs/>
          <w:color w:val="2E6DA4"/>
          <w:sz w:val="24"/>
          <w:szCs w:val="24"/>
          <w:rtl/>
        </w:rPr>
        <w:t xml:space="preserve">14.3 وثائق التخطيط والحوكمة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200"/>
        <w:gridCol w:w="2400"/>
        <w:gridCol w:w="1680"/>
      </w:tblGrid>
      <w:tr>
        <w:trPr>
          <w:tblHeader/>
        </w:trPr>
        <w:tc>
          <w:tcPr>
            <w:tcW w:type="dxa" w:w="10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رمز الوثيقة</w:t>
            </w:r>
          </w:p>
        </w:tc>
        <w:tc>
          <w:tcPr>
            <w:tcW w:type="dxa" w:w="4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عنوان الوثيقة</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القسم المصدري</w:t>
            </w:r>
          </w:p>
        </w:tc>
        <w:tc>
          <w:tcPr>
            <w:tcW w:type="dxa" w:w="1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bidi/>
              <w:jc w:val="right"/>
            </w:pPr>
            <w:r>
              <w:rPr>
                <w:rFonts w:ascii="Arial" w:cs="Arial" w:eastAsia="Arial" w:hAnsi="Arial"/>
                <w:b/>
                <w:bCs/>
                <w:color w:val="FFFFFF"/>
                <w:sz w:val="18"/>
                <w:szCs w:val="18"/>
                <w:rtl/>
              </w:rPr>
              <w:t xml:space="preserve">الأولوية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و-24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مصفوفة تطور المراحل</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السادس-1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حرجة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و-25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قائمة مراجعة أمان الهجرة</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السادس-2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حرجة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و-26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بروتوكول محرك القرار</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الحادي عشر</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حرجة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و-27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بطاقة مرجعية للقوانين غير القابلة للتفاوض</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التاسع</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حرجة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و-28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دليل مرجعي للأنماط المضادة</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العاشر</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عالية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و-29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تراتبية حل التعارض</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الحادي عشر-2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متوسطة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و-30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خطة هجرة TypeScript (المرحلة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السادس-1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متوسطة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و-31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خطة هجرة React/Next.js (المرحلة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السادس-1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متوسطة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و-32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مرجع ترجمة الهوية الإنسانية</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الثاني</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عالية</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و-33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مرجع إشارات السلطة حسب الوسيلة</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القسم الثالث-3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tl/>
              </w:rPr>
              <w:t xml:space="preserve">متوسطة</w:t>
            </w:r>
          </w:p>
        </w:tc>
      </w:tr>
    </w:tbl>
    <w:p>
      <w:pPr>
        <w:spacing w:before="200" w:after="0"/>
      </w:pPr>
    </w:p>
    <w:p>
      <w:pPr>
        <w:pBdr>
          <w:bottom w:val="single" w:color="D0E4F5" w:sz="4" w:space="1"/>
        </w:pBdr>
        <w:spacing w:before="200" w:after="200"/>
      </w:pPr>
    </w:p>
    <w:p>
      <w:pPr>
        <w:spacing w:before="400" w:after="120"/>
      </w:pPr>
    </w:p>
    <w:p>
      <w:pPr>
        <w:pBdr>
          <w:top w:val="single" w:color="1A3C5E" w:sz="6"/>
          <w:bottom w:val="single" w:color="1A3C5E" w:sz="6"/>
        </w:pBdr>
        <w:spacing w:before="80" w:after="80"/>
        <w:jc w:val="center"/>
      </w:pPr>
      <w:r>
        <w:rPr>
          <w:rFonts w:ascii="Arial" w:cs="Arial" w:eastAsia="Arial" w:hAnsi="Arial"/>
          <w:b/>
          <w:bCs/>
          <w:color w:val="1A3C5E"/>
          <w:sz w:val="22"/>
          <w:szCs w:val="22"/>
          <w:rtl/>
        </w:rPr>
        <w:t xml:space="preserve">بيان سلامة الدستور</w:t>
      </w:r>
    </w:p>
    <w:p>
      <w:pPr>
        <w:spacing w:before="120" w:after="0"/>
      </w:pPr>
    </w:p>
    <w:p>
      <w:pPr>
        <w:bidi/>
        <w:spacing w:before="120" w:after="120"/>
        <w:jc w:val="center"/>
      </w:pPr>
      <w:r>
        <w:rPr>
          <w:rFonts w:ascii="Arial" w:cs="Arial" w:eastAsia="Arial" w:hAnsi="Arial"/>
          <w:i/>
          <w:iCs/>
          <w:color w:val="333333"/>
          <w:sz w:val="20"/>
          <w:szCs w:val="20"/>
          <w:rtl/>
        </w:rPr>
        <w:t xml:space="preserve">تُحدد هذه الوثيقة الإطار الدستوري الكامل لمنظومة التموضع المهني لعامر. إنها المرجع الوحيد الموثوق لجميع قرارات التصميم والمحتوى والتقنية والاستراتيجية عبر جميع المراحل. لا وثيقة فرعية يمكنها مخالفة أي مبدأ مُرسَّخ هنا. لا عملية استثناء لأي قانون غير قابل للتفاوض. الهوية ثابتة. البنية مقصودة. التنفيذ منضبط.</w:t>
      </w:r>
    </w:p>
    <w:p>
      <w:pPr>
        <w:spacing w:before="120" w:after="0"/>
      </w:pPr>
    </w:p>
    <w:p>
      <w:pPr>
        <w:jc w:val="center"/>
      </w:pPr>
      <w:r>
        <w:rPr>
          <w:rFonts w:ascii="Arial" w:cs="Arial" w:eastAsia="Arial" w:hAnsi="Arial"/>
          <w:color w:val="888888"/>
          <w:sz w:val="18"/>
          <w:szCs w:val="18"/>
          <w:rtl/>
        </w:rPr>
        <w:t xml:space="preserve">الإصدار 1.0.0  ·  2026  ·  عامر</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lvl w:ilvl="1" w15:tentative="1">
      <w:start w:val="1"/>
      <w:numFmt w:val="bullet"/>
      <w:lvlText w:val="–"/>
      <w:lvlJc w:val="righ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bidi/>
      <w:spacing w:before="400" w:after="160"/>
      <w:jc w:val="right"/>
      <w:outlineLvl w:val="0"/>
    </w:pPr>
    <w:rPr>
      <w:rFonts w:ascii="Arial" w:cs="Arial" w:eastAsia="Arial" w:hAnsi="Arial"/>
      <w:b/>
      <w:bCs/>
      <w:color w:val="1A3C5E"/>
      <w:sz w:val="28"/>
      <w:szCs w:val="28"/>
      <w:rtl/>
    </w:rPr>
  </w:style>
  <w:style w:type="paragraph" w:styleId="Heading2">
    <w:name w:val="Heading 2"/>
    <w:basedOn w:val="Normal"/>
    <w:next w:val="Normal"/>
    <w:qFormat/>
    <w:pPr>
      <w:bidi/>
      <w:spacing w:before="320" w:after="120"/>
      <w:jc w:val="right"/>
      <w:outlineLvl w:val="1"/>
    </w:pPr>
    <w:rPr>
      <w:rFonts w:ascii="Arial" w:cs="Arial" w:eastAsia="Arial" w:hAnsi="Arial"/>
      <w:b/>
      <w:bCs/>
      <w:color w:val="2E6DA4"/>
      <w:sz w:val="24"/>
      <w:szCs w:val="24"/>
      <w:rtl/>
    </w:rPr>
  </w:style>
  <w:style w:type="paragraph" w:styleId="Heading3">
    <w:name w:val="Heading 3"/>
    <w:basedOn w:val="Normal"/>
    <w:next w:val="Normal"/>
    <w:qFormat/>
    <w:pPr>
      <w:bidi/>
      <w:spacing w:before="240" w:after="80"/>
      <w:jc w:val="right"/>
      <w:outlineLvl w:val="2"/>
    </w:pPr>
    <w:rPr>
      <w:rFonts w:ascii="Arial" w:cs="Arial" w:eastAsia="Arial" w:hAnsi="Arial"/>
      <w:b/>
      <w:bCs/>
      <w:color w:val="333333"/>
      <w:sz w:val="22"/>
      <w:szCs w:val="22"/>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2026-02-21T21:20:57.249Z</dcterms:created>
  <dcterms:modified xsi:type="dcterms:W3CDTF">2026-02-21T21:20:57.250Z</dcterms:modified>
</cp:coreProperties>
</file>

<file path=docProps/custom.xml><?xml version="1.0" encoding="utf-8"?>
<Properties xmlns="http://schemas.openxmlformats.org/officeDocument/2006/custom-properties" xmlns:vt="http://schemas.openxmlformats.org/officeDocument/2006/docPropsVTypes"/>
</file>