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results</w:t>
      </w:r>
    </w:p>
    <w:p>
      <w:pPr>
        <w:pStyle w:val="Author"/>
      </w:pPr>
      <w:r>
        <w:t xml:space="preserve">Andrew</w:t>
      </w:r>
      <w:r>
        <w:t xml:space="preserve"> </w:t>
      </w:r>
      <w:r>
        <w:t xml:space="preserve">Mertens</w:t>
      </w:r>
    </w:p>
    <w:p>
      <w:pPr>
        <w:pStyle w:val="Date"/>
      </w:pPr>
      <w:r>
        <w:t xml:space="preserve">2024-11-18</w:t>
      </w:r>
    </w:p>
    <w:p>
      <w:pPr>
        <w:pStyle w:val="FirstParagraph"/>
      </w:pPr>
      <w:r>
        <w:t xml:space="preserve">#Write a paragraph here about the setup of the simulation in this repo:</w:t>
      </w:r>
    </w:p>
    <w:bookmarkStart w:id="20" w:name="setup-of-simulation"/>
    <w:p>
      <w:pPr>
        <w:pStyle w:val="Heading2"/>
      </w:pPr>
      <w:r>
        <w:t xml:space="preserve">Setup of simulation</w:t>
      </w:r>
    </w:p>
    <w:p>
      <w:pPr>
        <w:pStyle w:val="FirstParagraph"/>
      </w:pPr>
      <w:r>
        <w:t xml:space="preserve">-1000 iterations, define oracle coverage</w:t>
      </w:r>
    </w:p>
    <w:bookmarkEnd w:id="20"/>
    <w:bookmarkStart w:id="21" w:name="comparison-of-different-parameters"/>
    <w:p>
      <w:pPr>
        <w:pStyle w:val="Heading2"/>
      </w:pPr>
      <w:r>
        <w:t xml:space="preserve">Comparison of different parameters</w:t>
      </w:r>
    </w:p>
    <w:p>
      <w:pPr>
        <w:pStyle w:val="FirstParagraph"/>
      </w:pPr>
      <w:r>
        <w:t xml:space="preserve">*Note the bias and variance columns are multiplied by 1000 for readability</w:t>
      </w:r>
    </w:p>
    <w:tbl>
      <w:tblPr>
        <w:tblStyle w:val="Table"/>
        <w:tblW w:type="pct" w:w="5000"/>
        <w:tblLayout w:type="fixed"/>
        <w:tblLook w:firstRow="1" w:lastRow="0" w:firstColumn="0" w:lastColumn="0" w:noHBand="0" w:noVBand="0" w:val="0020"/>
      </w:tblPr>
      <w:tblGrid>
        <w:gridCol w:w="527"/>
        <w:gridCol w:w="2375"/>
        <w:gridCol w:w="1055"/>
        <w:gridCol w:w="923"/>
        <w:gridCol w:w="923"/>
        <w:gridCol w:w="923"/>
        <w:gridCol w:w="395"/>
        <w:gridCol w:w="791"/>
      </w:tblGrid>
      <w:tr>
        <w:trPr>
          <w:tblHeader w:val="on"/>
        </w:trPr>
        <w:tc>
          <w:tcPr/>
          <w:p>
            <w:pPr>
              <w:pStyle w:val="Compact"/>
              <w:jc w:val="left"/>
            </w:pPr>
            <w:r>
              <w:t xml:space="preserve">Level</w:t>
            </w:r>
          </w:p>
        </w:tc>
        <w:tc>
          <w:tcPr/>
          <w:p>
            <w:pPr>
              <w:pStyle w:val="Compact"/>
              <w:jc w:val="left"/>
            </w:pPr>
            <w:r>
              <w:t xml:space="preserve">Parameter</w:t>
            </w:r>
          </w:p>
        </w:tc>
        <w:tc>
          <w:tcPr/>
          <w:p>
            <w:pPr>
              <w:pStyle w:val="Compact"/>
              <w:jc w:val="right"/>
            </w:pPr>
            <w:r>
              <w:t xml:space="preserve">Oracle coverage</w:t>
            </w:r>
          </w:p>
        </w:tc>
        <w:tc>
          <w:tcPr/>
          <w:p>
            <w:pPr>
              <w:pStyle w:val="Compact"/>
              <w:jc w:val="right"/>
            </w:pPr>
            <w:r>
              <w:t xml:space="preserve">Absolute bias</w:t>
            </w:r>
          </w:p>
        </w:tc>
        <w:tc>
          <w:tcPr/>
          <w:p>
            <w:pPr>
              <w:pStyle w:val="Compact"/>
              <w:jc w:val="right"/>
            </w:pPr>
            <w:r>
              <w:t xml:space="preserve">Mean variance</w:t>
            </w:r>
          </w:p>
        </w:tc>
        <w:tc>
          <w:tcPr/>
          <w:p>
            <w:pPr>
              <w:pStyle w:val="Compact"/>
              <w:jc w:val="right"/>
            </w:pPr>
            <w:r>
              <w:t xml:space="preserve">Bias/SE ratio</w:t>
            </w:r>
          </w:p>
        </w:tc>
        <w:tc>
          <w:tcPr/>
          <w:p>
            <w:pPr>
              <w:pStyle w:val="Compact"/>
              <w:jc w:val="right"/>
            </w:pPr>
            <w:r>
              <w:t xml:space="preserve">Power</w:t>
            </w:r>
          </w:p>
        </w:tc>
        <w:tc>
          <w:tcPr/>
          <w:p>
            <w:pPr>
              <w:pStyle w:val="Compact"/>
              <w:jc w:val="right"/>
            </w:pPr>
            <w:r>
              <w:t xml:space="preserve">CI coverage</w:t>
            </w:r>
          </w:p>
        </w:tc>
      </w:tr>
      <w:tr>
        <w:tc>
          <w:tcPr/>
          <w:p>
            <w:pPr>
              <w:pStyle w:val="Compact"/>
              <w:jc w:val="left"/>
            </w:pPr>
            <w:r>
              <w:t xml:space="preserve">main</w:t>
            </w:r>
          </w:p>
        </w:tc>
        <w:tc>
          <w:tcPr/>
          <w:p>
            <w:pPr>
              <w:pStyle w:val="Compact"/>
              <w:jc w:val="left"/>
            </w:pPr>
            <w:r>
              <w:t xml:space="preserve">GLM cumulative incidence difference</w:t>
            </w:r>
          </w:p>
        </w:tc>
        <w:tc>
          <w:tcPr/>
          <w:p>
            <w:pPr>
              <w:pStyle w:val="Compact"/>
              <w:jc w:val="right"/>
            </w:pPr>
            <w:r>
              <w:t xml:space="preserve">88.44</w:t>
            </w:r>
          </w:p>
        </w:tc>
        <w:tc>
          <w:tcPr/>
          <w:p>
            <w:pPr>
              <w:pStyle w:val="Compact"/>
              <w:jc w:val="right"/>
            </w:pPr>
            <w:r>
              <w:t xml:space="preserve">1.211</w:t>
            </w:r>
          </w:p>
        </w:tc>
        <w:tc>
          <w:tcPr/>
          <w:p>
            <w:pPr>
              <w:pStyle w:val="Compact"/>
              <w:jc w:val="right"/>
            </w:pPr>
            <w:r>
              <w:t xml:space="preserve">0.009</w:t>
            </w:r>
          </w:p>
        </w:tc>
        <w:tc>
          <w:tcPr/>
          <w:p>
            <w:pPr>
              <w:pStyle w:val="Compact"/>
              <w:jc w:val="right"/>
            </w:pPr>
            <w:r>
              <w:t xml:space="preserve">0.396</w:t>
            </w:r>
          </w:p>
        </w:tc>
        <w:tc>
          <w:tcPr/>
          <w:p>
            <w:pPr>
              <w:pStyle w:val="Compact"/>
              <w:jc w:val="right"/>
            </w:pPr>
            <w:r>
              <w:t xml:space="preserve">99.89</w:t>
            </w:r>
          </w:p>
        </w:tc>
        <w:tc>
          <w:tcPr/>
          <w:p>
            <w:pPr>
              <w:pStyle w:val="Compact"/>
              <w:jc w:val="right"/>
            </w:pPr>
            <w:r>
              <w:t xml:space="preserve">100.00</w:t>
            </w:r>
          </w:p>
        </w:tc>
      </w:tr>
      <w:tr>
        <w:tc>
          <w:tcPr/>
          <w:p>
            <w:pPr>
              <w:pStyle w:val="Compact"/>
              <w:jc w:val="left"/>
            </w:pPr>
            <w:r>
              <w:t xml:space="preserve">male</w:t>
            </w:r>
          </w:p>
        </w:tc>
        <w:tc>
          <w:tcPr/>
          <w:p>
            <w:pPr>
              <w:pStyle w:val="Compact"/>
              <w:jc w:val="left"/>
            </w:pPr>
            <w:r>
              <w:t xml:space="preserve">GLM cumulative incidence difference</w:t>
            </w:r>
          </w:p>
        </w:tc>
        <w:tc>
          <w:tcPr/>
          <w:p>
            <w:pPr>
              <w:pStyle w:val="Compact"/>
              <w:jc w:val="right"/>
            </w:pPr>
            <w:r>
              <w:t xml:space="preserve">92.89</w:t>
            </w:r>
          </w:p>
        </w:tc>
        <w:tc>
          <w:tcPr/>
          <w:p>
            <w:pPr>
              <w:pStyle w:val="Compact"/>
              <w:jc w:val="right"/>
            </w:pPr>
            <w:r>
              <w:t xml:space="preserve">1.300</w:t>
            </w:r>
          </w:p>
        </w:tc>
        <w:tc>
          <w:tcPr/>
          <w:p>
            <w:pPr>
              <w:pStyle w:val="Compact"/>
              <w:jc w:val="right"/>
            </w:pPr>
            <w:r>
              <w:t xml:space="preserve">0.011</w:t>
            </w:r>
          </w:p>
        </w:tc>
        <w:tc>
          <w:tcPr/>
          <w:p>
            <w:pPr>
              <w:pStyle w:val="Compact"/>
              <w:jc w:val="right"/>
            </w:pPr>
            <w:r>
              <w:t xml:space="preserve">0.388</w:t>
            </w:r>
          </w:p>
        </w:tc>
        <w:tc>
          <w:tcPr/>
          <w:p>
            <w:pPr>
              <w:pStyle w:val="Compact"/>
              <w:jc w:val="right"/>
            </w:pPr>
            <w:r>
              <w:t xml:space="preserve">99.33</w:t>
            </w:r>
          </w:p>
        </w:tc>
        <w:tc>
          <w:tcPr/>
          <w:p>
            <w:pPr>
              <w:pStyle w:val="Compact"/>
              <w:jc w:val="right"/>
            </w:pPr>
            <w:r>
              <w:t xml:space="preserve">100.00</w:t>
            </w:r>
          </w:p>
        </w:tc>
      </w:tr>
      <w:tr>
        <w:tc>
          <w:tcPr/>
          <w:p>
            <w:pPr>
              <w:pStyle w:val="Compact"/>
              <w:jc w:val="left"/>
            </w:pPr>
            <w:r>
              <w:t xml:space="preserve">female</w:t>
            </w:r>
          </w:p>
        </w:tc>
        <w:tc>
          <w:tcPr/>
          <w:p>
            <w:pPr>
              <w:pStyle w:val="Compact"/>
              <w:jc w:val="left"/>
            </w:pPr>
            <w:r>
              <w:t xml:space="preserve">GLM cumulative incidence difference</w:t>
            </w:r>
          </w:p>
        </w:tc>
        <w:tc>
          <w:tcPr/>
          <w:p>
            <w:pPr>
              <w:pStyle w:val="Compact"/>
              <w:jc w:val="right"/>
            </w:pPr>
            <w:r>
              <w:t xml:space="preserve">94.56</w:t>
            </w:r>
          </w:p>
        </w:tc>
        <w:tc>
          <w:tcPr/>
          <w:p>
            <w:pPr>
              <w:pStyle w:val="Compact"/>
              <w:jc w:val="right"/>
            </w:pPr>
            <w:r>
              <w:t xml:space="preserve">1.159</w:t>
            </w:r>
          </w:p>
        </w:tc>
        <w:tc>
          <w:tcPr/>
          <w:p>
            <w:pPr>
              <w:pStyle w:val="Compact"/>
              <w:jc w:val="right"/>
            </w:pPr>
            <w:r>
              <w:t xml:space="preserve">0.008</w:t>
            </w:r>
          </w:p>
        </w:tc>
        <w:tc>
          <w:tcPr/>
          <w:p>
            <w:pPr>
              <w:pStyle w:val="Compact"/>
              <w:jc w:val="right"/>
            </w:pPr>
            <w:r>
              <w:t xml:space="preserve">0.407</w:t>
            </w:r>
          </w:p>
        </w:tc>
        <w:tc>
          <w:tcPr/>
          <w:p>
            <w:pPr>
              <w:pStyle w:val="Compact"/>
              <w:jc w:val="right"/>
            </w:pPr>
            <w:r>
              <w:t xml:space="preserve">98.67</w:t>
            </w:r>
          </w:p>
        </w:tc>
        <w:tc>
          <w:tcPr/>
          <w:p>
            <w:pPr>
              <w:pStyle w:val="Compact"/>
              <w:jc w:val="right"/>
            </w:pPr>
            <w:r>
              <w:t xml:space="preserve">99.00</w:t>
            </w:r>
          </w:p>
        </w:tc>
      </w:tr>
      <w:tr>
        <w:tc>
          <w:tcPr/>
          <w:p>
            <w:pPr>
              <w:pStyle w:val="Compact"/>
              <w:jc w:val="left"/>
            </w:pPr>
            <w:r>
              <w:t xml:space="preserve">1-5mo</w:t>
            </w:r>
          </w:p>
        </w:tc>
        <w:tc>
          <w:tcPr/>
          <w:p>
            <w:pPr>
              <w:pStyle w:val="Compact"/>
              <w:jc w:val="left"/>
            </w:pPr>
            <w:r>
              <w:t xml:space="preserve">GLM cumulative incidence difference</w:t>
            </w:r>
          </w:p>
        </w:tc>
        <w:tc>
          <w:tcPr/>
          <w:p>
            <w:pPr>
              <w:pStyle w:val="Compact"/>
              <w:jc w:val="right"/>
            </w:pPr>
            <w:r>
              <w:t xml:space="preserve">94.89</w:t>
            </w:r>
          </w:p>
        </w:tc>
        <w:tc>
          <w:tcPr/>
          <w:p>
            <w:pPr>
              <w:pStyle w:val="Compact"/>
              <w:jc w:val="right"/>
            </w:pPr>
            <w:r>
              <w:t xml:space="preserve">4.130</w:t>
            </w:r>
          </w:p>
        </w:tc>
        <w:tc>
          <w:tcPr/>
          <w:p>
            <w:pPr>
              <w:pStyle w:val="Compact"/>
              <w:jc w:val="right"/>
            </w:pPr>
            <w:r>
              <w:t xml:space="preserve">0.078</w:t>
            </w:r>
          </w:p>
        </w:tc>
        <w:tc>
          <w:tcPr/>
          <w:p>
            <w:pPr>
              <w:pStyle w:val="Compact"/>
              <w:jc w:val="right"/>
            </w:pPr>
            <w:r>
              <w:t xml:space="preserve">0.468</w:t>
            </w:r>
          </w:p>
        </w:tc>
        <w:tc>
          <w:tcPr/>
          <w:p>
            <w:pPr>
              <w:pStyle w:val="Compact"/>
              <w:jc w:val="right"/>
            </w:pPr>
            <w:r>
              <w:t xml:space="preserve">90.89</w:t>
            </w:r>
          </w:p>
        </w:tc>
        <w:tc>
          <w:tcPr/>
          <w:p>
            <w:pPr>
              <w:pStyle w:val="Compact"/>
              <w:jc w:val="right"/>
            </w:pPr>
            <w:r>
              <w:t xml:space="preserve">98.67</w:t>
            </w:r>
          </w:p>
        </w:tc>
      </w:tr>
      <w:tr>
        <w:tc>
          <w:tcPr/>
          <w:p>
            <w:pPr>
              <w:pStyle w:val="Compact"/>
              <w:jc w:val="left"/>
            </w:pPr>
            <w:r>
              <w:t xml:space="preserve">6-11mo</w:t>
            </w:r>
          </w:p>
        </w:tc>
        <w:tc>
          <w:tcPr/>
          <w:p>
            <w:pPr>
              <w:pStyle w:val="Compact"/>
              <w:jc w:val="left"/>
            </w:pPr>
            <w:r>
              <w:t xml:space="preserve">GLM cumulative incidence difference</w:t>
            </w:r>
          </w:p>
        </w:tc>
        <w:tc>
          <w:tcPr/>
          <w:p>
            <w:pPr>
              <w:pStyle w:val="Compact"/>
              <w:jc w:val="right"/>
            </w:pPr>
            <w:r>
              <w:t xml:space="preserve">94.89</w:t>
            </w:r>
          </w:p>
        </w:tc>
        <w:tc>
          <w:tcPr/>
          <w:p>
            <w:pPr>
              <w:pStyle w:val="Compact"/>
              <w:jc w:val="right"/>
            </w:pPr>
            <w:r>
              <w:t xml:space="preserve">2.607</w:t>
            </w:r>
          </w:p>
        </w:tc>
        <w:tc>
          <w:tcPr/>
          <w:p>
            <w:pPr>
              <w:pStyle w:val="Compact"/>
              <w:jc w:val="right"/>
            </w:pPr>
            <w:r>
              <w:t xml:space="preserve">0.032</w:t>
            </w:r>
          </w:p>
        </w:tc>
        <w:tc>
          <w:tcPr/>
          <w:p>
            <w:pPr>
              <w:pStyle w:val="Compact"/>
              <w:jc w:val="right"/>
            </w:pPr>
            <w:r>
              <w:t xml:space="preserve">0.461</w:t>
            </w:r>
          </w:p>
        </w:tc>
        <w:tc>
          <w:tcPr/>
          <w:p>
            <w:pPr>
              <w:pStyle w:val="Compact"/>
              <w:jc w:val="right"/>
            </w:pPr>
            <w:r>
              <w:t xml:space="preserve">89.56</w:t>
            </w:r>
          </w:p>
        </w:tc>
        <w:tc>
          <w:tcPr/>
          <w:p>
            <w:pPr>
              <w:pStyle w:val="Compact"/>
              <w:jc w:val="right"/>
            </w:pPr>
            <w:r>
              <w:t xml:space="preserve">98.78</w:t>
            </w:r>
          </w:p>
        </w:tc>
      </w:tr>
      <w:tr>
        <w:tc>
          <w:tcPr/>
          <w:p>
            <w:pPr>
              <w:pStyle w:val="Compact"/>
              <w:jc w:val="left"/>
            </w:pPr>
            <w:r>
              <w:t xml:space="preserve">12-23mo</w:t>
            </w:r>
          </w:p>
        </w:tc>
        <w:tc>
          <w:tcPr/>
          <w:p>
            <w:pPr>
              <w:pStyle w:val="Compact"/>
              <w:jc w:val="left"/>
            </w:pPr>
            <w:r>
              <w:t xml:space="preserve">GLM cumulative incidence difference</w:t>
            </w:r>
          </w:p>
        </w:tc>
        <w:tc>
          <w:tcPr/>
          <w:p>
            <w:pPr>
              <w:pStyle w:val="Compact"/>
              <w:jc w:val="right"/>
            </w:pPr>
            <w:r>
              <w:t xml:space="preserve">95.78</w:t>
            </w:r>
          </w:p>
        </w:tc>
        <w:tc>
          <w:tcPr/>
          <w:p>
            <w:pPr>
              <w:pStyle w:val="Compact"/>
              <w:jc w:val="right"/>
            </w:pPr>
            <w:r>
              <w:t xml:space="preserve">1.644</w:t>
            </w:r>
          </w:p>
        </w:tc>
        <w:tc>
          <w:tcPr/>
          <w:p>
            <w:pPr>
              <w:pStyle w:val="Compact"/>
              <w:jc w:val="right"/>
            </w:pPr>
            <w:r>
              <w:t xml:space="preserve">0.012</w:t>
            </w:r>
          </w:p>
        </w:tc>
        <w:tc>
          <w:tcPr/>
          <w:p>
            <w:pPr>
              <w:pStyle w:val="Compact"/>
              <w:jc w:val="right"/>
            </w:pPr>
            <w:r>
              <w:t xml:space="preserve">0.476</w:t>
            </w:r>
          </w:p>
        </w:tc>
        <w:tc>
          <w:tcPr/>
          <w:p>
            <w:pPr>
              <w:pStyle w:val="Compact"/>
              <w:jc w:val="right"/>
            </w:pPr>
            <w:r>
              <w:t xml:space="preserve">90.44</w:t>
            </w:r>
          </w:p>
        </w:tc>
        <w:tc>
          <w:tcPr/>
          <w:p>
            <w:pPr>
              <w:pStyle w:val="Compact"/>
              <w:jc w:val="right"/>
            </w:pPr>
            <w:r>
              <w:t xml:space="preserve">97.78</w:t>
            </w:r>
          </w:p>
        </w:tc>
      </w:tr>
      <w:tr>
        <w:tc>
          <w:tcPr/>
          <w:p>
            <w:pPr>
              <w:pStyle w:val="Compact"/>
              <w:jc w:val="left"/>
            </w:pPr>
            <w:r>
              <w:t xml:space="preserve">24-59mo</w:t>
            </w:r>
          </w:p>
        </w:tc>
        <w:tc>
          <w:tcPr/>
          <w:p>
            <w:pPr>
              <w:pStyle w:val="Compact"/>
              <w:jc w:val="left"/>
            </w:pPr>
            <w:r>
              <w:t xml:space="preserve">GLM cumulative incidence difference</w:t>
            </w:r>
          </w:p>
        </w:tc>
        <w:tc>
          <w:tcPr/>
          <w:p>
            <w:pPr>
              <w:pStyle w:val="Compact"/>
              <w:jc w:val="right"/>
            </w:pPr>
            <w:r>
              <w:t xml:space="preserve">95.00</w:t>
            </w:r>
          </w:p>
        </w:tc>
        <w:tc>
          <w:tcPr/>
          <w:p>
            <w:pPr>
              <w:pStyle w:val="Compact"/>
              <w:jc w:val="right"/>
            </w:pPr>
            <w:r>
              <w:t xml:space="preserve">0.910</w:t>
            </w:r>
          </w:p>
        </w:tc>
        <w:tc>
          <w:tcPr/>
          <w:p>
            <w:pPr>
              <w:pStyle w:val="Compact"/>
              <w:jc w:val="right"/>
            </w:pPr>
            <w:r>
              <w:t xml:space="preserve">0.005</w:t>
            </w:r>
          </w:p>
        </w:tc>
        <w:tc>
          <w:tcPr/>
          <w:p>
            <w:pPr>
              <w:pStyle w:val="Compact"/>
              <w:jc w:val="right"/>
            </w:pPr>
            <w:r>
              <w:t xml:space="preserve">0.427</w:t>
            </w:r>
          </w:p>
        </w:tc>
        <w:tc>
          <w:tcPr/>
          <w:p>
            <w:pPr>
              <w:pStyle w:val="Compact"/>
              <w:jc w:val="right"/>
            </w:pPr>
            <w:r>
              <w:t xml:space="preserve">96.44</w:t>
            </w:r>
          </w:p>
        </w:tc>
        <w:tc>
          <w:tcPr/>
          <w:p>
            <w:pPr>
              <w:pStyle w:val="Compact"/>
              <w:jc w:val="right"/>
            </w:pPr>
            <w:r>
              <w:t xml:space="preserve">99.00</w:t>
            </w:r>
          </w:p>
        </w:tc>
      </w:tr>
      <w:tr>
        <w:tc>
          <w:tcPr/>
          <w:p>
            <w:pPr>
              <w:pStyle w:val="Compact"/>
              <w:jc w:val="left"/>
            </w:pPr>
            <w:r>
              <w:t xml:space="preserve">main</w:t>
            </w:r>
          </w:p>
        </w:tc>
        <w:tc>
          <w:tcPr/>
          <w:p>
            <w:pPr>
              <w:pStyle w:val="Compact"/>
              <w:jc w:val="left"/>
            </w:pPr>
            <w:r>
              <w:t xml:space="preserve">GLM cumulative incidence ratio</w:t>
            </w:r>
          </w:p>
        </w:tc>
        <w:tc>
          <w:tcPr/>
          <w:p>
            <w:pPr>
              <w:pStyle w:val="Compact"/>
              <w:jc w:val="right"/>
            </w:pPr>
            <w:r>
              <w:t xml:space="preserve">81.67</w:t>
            </w:r>
          </w:p>
        </w:tc>
        <w:tc>
          <w:tcPr/>
          <w:p>
            <w:pPr>
              <w:pStyle w:val="Compact"/>
              <w:jc w:val="right"/>
            </w:pPr>
            <w:r>
              <w:t xml:space="preserve">3.733</w:t>
            </w:r>
          </w:p>
        </w:tc>
        <w:tc>
          <w:tcPr/>
          <w:p>
            <w:pPr>
              <w:pStyle w:val="Compact"/>
              <w:jc w:val="right"/>
            </w:pPr>
            <w:r>
              <w:t xml:space="preserve">0.501</w:t>
            </w:r>
          </w:p>
        </w:tc>
        <w:tc>
          <w:tcPr/>
          <w:p>
            <w:pPr>
              <w:pStyle w:val="Compact"/>
              <w:jc w:val="right"/>
            </w:pPr>
            <w:r>
              <w:t xml:space="preserve">0.528</w:t>
            </w:r>
          </w:p>
        </w:tc>
        <w:tc>
          <w:tcPr/>
          <w:p>
            <w:pPr>
              <w:pStyle w:val="Compact"/>
              <w:jc w:val="right"/>
            </w:pPr>
            <w:r>
              <w:t xml:space="preserve">96.00</w:t>
            </w:r>
          </w:p>
        </w:tc>
        <w:tc>
          <w:tcPr/>
          <w:p>
            <w:pPr>
              <w:pStyle w:val="Compact"/>
              <w:jc w:val="right"/>
            </w:pPr>
            <w:r>
              <w:t xml:space="preserve">99.89</w:t>
            </w:r>
          </w:p>
        </w:tc>
      </w:tr>
      <w:tr>
        <w:tc>
          <w:tcPr/>
          <w:p>
            <w:pPr>
              <w:pStyle w:val="Compact"/>
              <w:jc w:val="left"/>
            </w:pPr>
            <w:r>
              <w:t xml:space="preserve">male</w:t>
            </w:r>
          </w:p>
        </w:tc>
        <w:tc>
          <w:tcPr/>
          <w:p>
            <w:pPr>
              <w:pStyle w:val="Compact"/>
              <w:jc w:val="left"/>
            </w:pPr>
            <w:r>
              <w:t xml:space="preserve">GLM cumulative incidence ratio</w:t>
            </w:r>
          </w:p>
        </w:tc>
        <w:tc>
          <w:tcPr/>
          <w:p>
            <w:pPr>
              <w:pStyle w:val="Compact"/>
              <w:jc w:val="right"/>
            </w:pPr>
            <w:r>
              <w:t xml:space="preserve">90.67</w:t>
            </w:r>
          </w:p>
        </w:tc>
        <w:tc>
          <w:tcPr/>
          <w:p>
            <w:pPr>
              <w:pStyle w:val="Compact"/>
              <w:jc w:val="right"/>
            </w:pPr>
            <w:r>
              <w:t xml:space="preserve">2.965</w:t>
            </w:r>
          </w:p>
        </w:tc>
        <w:tc>
          <w:tcPr/>
          <w:p>
            <w:pPr>
              <w:pStyle w:val="Compact"/>
              <w:jc w:val="right"/>
            </w:pPr>
            <w:r>
              <w:t xml:space="preserve">0.387</w:t>
            </w:r>
          </w:p>
        </w:tc>
        <w:tc>
          <w:tcPr/>
          <w:p>
            <w:pPr>
              <w:pStyle w:val="Compact"/>
              <w:jc w:val="right"/>
            </w:pPr>
            <w:r>
              <w:t xml:space="preserve">0.477</w:t>
            </w:r>
          </w:p>
        </w:tc>
        <w:tc>
          <w:tcPr/>
          <w:p>
            <w:pPr>
              <w:pStyle w:val="Compact"/>
              <w:jc w:val="right"/>
            </w:pPr>
            <w:r>
              <w:t xml:space="preserve">94.89</w:t>
            </w:r>
          </w:p>
        </w:tc>
        <w:tc>
          <w:tcPr/>
          <w:p>
            <w:pPr>
              <w:pStyle w:val="Compact"/>
              <w:jc w:val="right"/>
            </w:pPr>
            <w:r>
              <w:t xml:space="preserve">98.78</w:t>
            </w:r>
          </w:p>
        </w:tc>
      </w:tr>
      <w:tr>
        <w:tc>
          <w:tcPr/>
          <w:p>
            <w:pPr>
              <w:pStyle w:val="Compact"/>
              <w:jc w:val="left"/>
            </w:pPr>
            <w:r>
              <w:t xml:space="preserve">female</w:t>
            </w:r>
          </w:p>
        </w:tc>
        <w:tc>
          <w:tcPr/>
          <w:p>
            <w:pPr>
              <w:pStyle w:val="Compact"/>
              <w:jc w:val="left"/>
            </w:pPr>
            <w:r>
              <w:t xml:space="preserve">GLM cumulative incidence ratio</w:t>
            </w:r>
          </w:p>
        </w:tc>
        <w:tc>
          <w:tcPr/>
          <w:p>
            <w:pPr>
              <w:pStyle w:val="Compact"/>
              <w:jc w:val="right"/>
            </w:pPr>
            <w:r>
              <w:t xml:space="preserve">94.00</w:t>
            </w:r>
          </w:p>
        </w:tc>
        <w:tc>
          <w:tcPr/>
          <w:p>
            <w:pPr>
              <w:pStyle w:val="Compact"/>
              <w:jc w:val="right"/>
            </w:pPr>
            <w:r>
              <w:t xml:space="preserve">2.543</w:t>
            </w:r>
          </w:p>
        </w:tc>
        <w:tc>
          <w:tcPr/>
          <w:p>
            <w:pPr>
              <w:pStyle w:val="Compact"/>
              <w:jc w:val="right"/>
            </w:pPr>
            <w:r>
              <w:t xml:space="preserve">0.273</w:t>
            </w:r>
          </w:p>
        </w:tc>
        <w:tc>
          <w:tcPr/>
          <w:p>
            <w:pPr>
              <w:pStyle w:val="Compact"/>
              <w:jc w:val="right"/>
            </w:pPr>
            <w:r>
              <w:t xml:space="preserve">0.487</w:t>
            </w:r>
          </w:p>
        </w:tc>
        <w:tc>
          <w:tcPr/>
          <w:p>
            <w:pPr>
              <w:pStyle w:val="Compact"/>
              <w:jc w:val="right"/>
            </w:pPr>
            <w:r>
              <w:t xml:space="preserve">94.22</w:t>
            </w:r>
          </w:p>
        </w:tc>
        <w:tc>
          <w:tcPr/>
          <w:p>
            <w:pPr>
              <w:pStyle w:val="Compact"/>
              <w:jc w:val="right"/>
            </w:pPr>
            <w:r>
              <w:t xml:space="preserve">98.22</w:t>
            </w:r>
          </w:p>
        </w:tc>
      </w:tr>
      <w:tr>
        <w:tc>
          <w:tcPr/>
          <w:p>
            <w:pPr>
              <w:pStyle w:val="Compact"/>
              <w:jc w:val="left"/>
            </w:pPr>
            <w:r>
              <w:t xml:space="preserve">1-5mo</w:t>
            </w:r>
          </w:p>
        </w:tc>
        <w:tc>
          <w:tcPr/>
          <w:p>
            <w:pPr>
              <w:pStyle w:val="Compact"/>
              <w:jc w:val="left"/>
            </w:pPr>
            <w:r>
              <w:t xml:space="preserve">GLM cumulative incidence ratio</w:t>
            </w:r>
          </w:p>
        </w:tc>
        <w:tc>
          <w:tcPr/>
          <w:p>
            <w:pPr>
              <w:pStyle w:val="Compact"/>
              <w:jc w:val="right"/>
            </w:pPr>
            <w:r>
              <w:t xml:space="preserve">95.11</w:t>
            </w:r>
          </w:p>
        </w:tc>
        <w:tc>
          <w:tcPr/>
          <w:p>
            <w:pPr>
              <w:pStyle w:val="Compact"/>
              <w:jc w:val="right"/>
            </w:pPr>
            <w:r>
              <w:t xml:space="preserve">3.396</w:t>
            </w:r>
          </w:p>
        </w:tc>
        <w:tc>
          <w:tcPr/>
          <w:p>
            <w:pPr>
              <w:pStyle w:val="Compact"/>
              <w:jc w:val="right"/>
            </w:pPr>
            <w:r>
              <w:t xml:space="preserve">0.340</w:t>
            </w:r>
          </w:p>
        </w:tc>
        <w:tc>
          <w:tcPr/>
          <w:p>
            <w:pPr>
              <w:pStyle w:val="Compact"/>
              <w:jc w:val="right"/>
            </w:pPr>
            <w:r>
              <w:t xml:space="preserve">0.582</w:t>
            </w:r>
          </w:p>
        </w:tc>
        <w:tc>
          <w:tcPr/>
          <w:p>
            <w:pPr>
              <w:pStyle w:val="Compact"/>
              <w:jc w:val="right"/>
            </w:pPr>
            <w:r>
              <w:t xml:space="preserve">94.00</w:t>
            </w:r>
          </w:p>
        </w:tc>
        <w:tc>
          <w:tcPr/>
          <w:p>
            <w:pPr>
              <w:pStyle w:val="Compact"/>
              <w:jc w:val="right"/>
            </w:pPr>
            <w:r>
              <w:t xml:space="preserve">97.11</w:t>
            </w:r>
          </w:p>
        </w:tc>
      </w:tr>
      <w:tr>
        <w:tc>
          <w:tcPr/>
          <w:p>
            <w:pPr>
              <w:pStyle w:val="Compact"/>
              <w:jc w:val="left"/>
            </w:pPr>
            <w:r>
              <w:t xml:space="preserve">6-11mo</w:t>
            </w:r>
          </w:p>
        </w:tc>
        <w:tc>
          <w:tcPr/>
          <w:p>
            <w:pPr>
              <w:pStyle w:val="Compact"/>
              <w:jc w:val="left"/>
            </w:pPr>
            <w:r>
              <w:t xml:space="preserve">GLM cumulative incidence ratio</w:t>
            </w:r>
          </w:p>
        </w:tc>
        <w:tc>
          <w:tcPr/>
          <w:p>
            <w:pPr>
              <w:pStyle w:val="Compact"/>
              <w:jc w:val="right"/>
            </w:pPr>
            <w:r>
              <w:t xml:space="preserve">94.44</w:t>
            </w:r>
          </w:p>
        </w:tc>
        <w:tc>
          <w:tcPr/>
          <w:p>
            <w:pPr>
              <w:pStyle w:val="Compact"/>
              <w:jc w:val="right"/>
            </w:pPr>
            <w:r>
              <w:t xml:space="preserve">3.086</w:t>
            </w:r>
          </w:p>
        </w:tc>
        <w:tc>
          <w:tcPr/>
          <w:p>
            <w:pPr>
              <w:pStyle w:val="Compact"/>
              <w:jc w:val="right"/>
            </w:pPr>
            <w:r>
              <w:t xml:space="preserve">0.292</w:t>
            </w:r>
          </w:p>
        </w:tc>
        <w:tc>
          <w:tcPr/>
          <w:p>
            <w:pPr>
              <w:pStyle w:val="Compact"/>
              <w:jc w:val="right"/>
            </w:pPr>
            <w:r>
              <w:t xml:space="preserve">0.571</w:t>
            </w:r>
          </w:p>
        </w:tc>
        <w:tc>
          <w:tcPr/>
          <w:p>
            <w:pPr>
              <w:pStyle w:val="Compact"/>
              <w:jc w:val="right"/>
            </w:pPr>
            <w:r>
              <w:t xml:space="preserve">93.11</w:t>
            </w:r>
          </w:p>
        </w:tc>
        <w:tc>
          <w:tcPr/>
          <w:p>
            <w:pPr>
              <w:pStyle w:val="Compact"/>
              <w:jc w:val="right"/>
            </w:pPr>
            <w:r>
              <w:t xml:space="preserve">97.44</w:t>
            </w:r>
          </w:p>
        </w:tc>
      </w:tr>
      <w:tr>
        <w:tc>
          <w:tcPr/>
          <w:p>
            <w:pPr>
              <w:pStyle w:val="Compact"/>
              <w:jc w:val="left"/>
            </w:pPr>
            <w:r>
              <w:t xml:space="preserve">12-23mo</w:t>
            </w:r>
          </w:p>
        </w:tc>
        <w:tc>
          <w:tcPr/>
          <w:p>
            <w:pPr>
              <w:pStyle w:val="Compact"/>
              <w:jc w:val="left"/>
            </w:pPr>
            <w:r>
              <w:t xml:space="preserve">GLM cumulative incidence ratio</w:t>
            </w:r>
          </w:p>
        </w:tc>
        <w:tc>
          <w:tcPr/>
          <w:p>
            <w:pPr>
              <w:pStyle w:val="Compact"/>
              <w:jc w:val="right"/>
            </w:pPr>
            <w:r>
              <w:t xml:space="preserve">95.56</w:t>
            </w:r>
          </w:p>
        </w:tc>
        <w:tc>
          <w:tcPr/>
          <w:p>
            <w:pPr>
              <w:pStyle w:val="Compact"/>
              <w:jc w:val="right"/>
            </w:pPr>
            <w:r>
              <w:t xml:space="preserve">2.839</w:t>
            </w:r>
          </w:p>
        </w:tc>
        <w:tc>
          <w:tcPr/>
          <w:p>
            <w:pPr>
              <w:pStyle w:val="Compact"/>
              <w:jc w:val="right"/>
            </w:pPr>
            <w:r>
              <w:t xml:space="preserve">0.253</w:t>
            </w:r>
          </w:p>
        </w:tc>
        <w:tc>
          <w:tcPr/>
          <w:p>
            <w:pPr>
              <w:pStyle w:val="Compact"/>
              <w:jc w:val="right"/>
            </w:pPr>
            <w:r>
              <w:t xml:space="preserve">0.565</w:t>
            </w:r>
          </w:p>
        </w:tc>
        <w:tc>
          <w:tcPr/>
          <w:p>
            <w:pPr>
              <w:pStyle w:val="Compact"/>
              <w:jc w:val="right"/>
            </w:pPr>
            <w:r>
              <w:t xml:space="preserve">92.33</w:t>
            </w:r>
          </w:p>
        </w:tc>
        <w:tc>
          <w:tcPr/>
          <w:p>
            <w:pPr>
              <w:pStyle w:val="Compact"/>
              <w:jc w:val="right"/>
            </w:pPr>
            <w:r>
              <w:t xml:space="preserve">98.11</w:t>
            </w:r>
          </w:p>
        </w:tc>
      </w:tr>
      <w:tr>
        <w:tc>
          <w:tcPr/>
          <w:p>
            <w:pPr>
              <w:pStyle w:val="Compact"/>
              <w:jc w:val="left"/>
            </w:pPr>
            <w:r>
              <w:t xml:space="preserve">24-59mo</w:t>
            </w:r>
          </w:p>
        </w:tc>
        <w:tc>
          <w:tcPr/>
          <w:p>
            <w:pPr>
              <w:pStyle w:val="Compact"/>
              <w:jc w:val="left"/>
            </w:pPr>
            <w:r>
              <w:t xml:space="preserve">GLM cumulative incidence ratio</w:t>
            </w:r>
          </w:p>
        </w:tc>
        <w:tc>
          <w:tcPr/>
          <w:p>
            <w:pPr>
              <w:pStyle w:val="Compact"/>
              <w:jc w:val="right"/>
            </w:pPr>
            <w:r>
              <w:t xml:space="preserve">94.22</w:t>
            </w:r>
          </w:p>
        </w:tc>
        <w:tc>
          <w:tcPr/>
          <w:p>
            <w:pPr>
              <w:pStyle w:val="Compact"/>
              <w:jc w:val="right"/>
            </w:pPr>
            <w:r>
              <w:t xml:space="preserve">2.460</w:t>
            </w:r>
          </w:p>
        </w:tc>
        <w:tc>
          <w:tcPr/>
          <w:p>
            <w:pPr>
              <w:pStyle w:val="Compact"/>
              <w:jc w:val="right"/>
            </w:pPr>
            <w:r>
              <w:t xml:space="preserve">0.235</w:t>
            </w:r>
          </w:p>
        </w:tc>
        <w:tc>
          <w:tcPr/>
          <w:p>
            <w:pPr>
              <w:pStyle w:val="Compact"/>
              <w:jc w:val="right"/>
            </w:pPr>
            <w:r>
              <w:t xml:space="preserve">0.507</w:t>
            </w:r>
          </w:p>
        </w:tc>
        <w:tc>
          <w:tcPr/>
          <w:p>
            <w:pPr>
              <w:pStyle w:val="Compact"/>
              <w:jc w:val="right"/>
            </w:pPr>
            <w:r>
              <w:t xml:space="preserve">94.56</w:t>
            </w:r>
          </w:p>
        </w:tc>
        <w:tc>
          <w:tcPr/>
          <w:p>
            <w:pPr>
              <w:pStyle w:val="Compact"/>
              <w:jc w:val="right"/>
            </w:pPr>
            <w:r>
              <w:t xml:space="preserve">98.22</w:t>
            </w:r>
          </w:p>
        </w:tc>
      </w:tr>
    </w:tbl>
    <w:bookmarkEnd w:id="21"/>
    <w:bookmarkStart w:id="22" w:name="comparison-of-estimators"/>
    <w:p>
      <w:pPr>
        <w:pStyle w:val="Heading2"/>
      </w:pPr>
      <w:r>
        <w:t xml:space="preserve">Comparison of estimators</w:t>
      </w:r>
    </w:p>
    <w:tbl>
      <w:tblPr>
        <w:tblStyle w:val="Table"/>
        <w:tblW w:type="pct" w:w="5000"/>
        <w:tblLayout w:type="fixed"/>
        <w:tblLook w:firstRow="1" w:lastRow="0" w:firstColumn="0" w:lastColumn="0" w:noHBand="0" w:noVBand="0" w:val="0020"/>
      </w:tblPr>
      <w:tblGrid>
        <w:gridCol w:w="2401"/>
        <w:gridCol w:w="584"/>
        <w:gridCol w:w="1038"/>
        <w:gridCol w:w="908"/>
        <w:gridCol w:w="908"/>
        <w:gridCol w:w="908"/>
        <w:gridCol w:w="389"/>
        <w:gridCol w:w="779"/>
      </w:tblGrid>
      <w:tr>
        <w:trPr>
          <w:tblHeader w:val="on"/>
        </w:trPr>
        <w:tc>
          <w:tcPr/>
          <w:p>
            <w:pPr>
              <w:pStyle w:val="Compact"/>
              <w:jc w:val="left"/>
            </w:pPr>
            <w:r>
              <w:t xml:space="preserve">Parameter</w:t>
            </w:r>
          </w:p>
        </w:tc>
        <w:tc>
          <w:tcPr/>
          <w:p>
            <w:pPr>
              <w:pStyle w:val="Compact"/>
              <w:jc w:val="left"/>
            </w:pPr>
            <w:r>
              <w:t xml:space="preserve">Adjusted</w:t>
            </w:r>
          </w:p>
        </w:tc>
        <w:tc>
          <w:tcPr/>
          <w:p>
            <w:pPr>
              <w:pStyle w:val="Compact"/>
              <w:jc w:val="right"/>
            </w:pPr>
            <w:r>
              <w:t xml:space="preserve">Oracle coverage</w:t>
            </w:r>
          </w:p>
        </w:tc>
        <w:tc>
          <w:tcPr/>
          <w:p>
            <w:pPr>
              <w:pStyle w:val="Compact"/>
              <w:jc w:val="right"/>
            </w:pPr>
            <w:r>
              <w:t xml:space="preserve">Absolute bias</w:t>
            </w:r>
          </w:p>
        </w:tc>
        <w:tc>
          <w:tcPr/>
          <w:p>
            <w:pPr>
              <w:pStyle w:val="Compact"/>
              <w:jc w:val="right"/>
            </w:pPr>
            <w:r>
              <w:t xml:space="preserve">Mean variance</w:t>
            </w:r>
          </w:p>
        </w:tc>
        <w:tc>
          <w:tcPr/>
          <w:p>
            <w:pPr>
              <w:pStyle w:val="Compact"/>
              <w:jc w:val="right"/>
            </w:pPr>
            <w:r>
              <w:t xml:space="preserve">Bias/SE ratio</w:t>
            </w:r>
          </w:p>
        </w:tc>
        <w:tc>
          <w:tcPr/>
          <w:p>
            <w:pPr>
              <w:pStyle w:val="Compact"/>
              <w:jc w:val="right"/>
            </w:pPr>
            <w:r>
              <w:t xml:space="preserve">Power</w:t>
            </w:r>
          </w:p>
        </w:tc>
        <w:tc>
          <w:tcPr/>
          <w:p>
            <w:pPr>
              <w:pStyle w:val="Compact"/>
              <w:jc w:val="right"/>
            </w:pPr>
            <w:r>
              <w:t xml:space="preserve">CI coverage</w:t>
            </w:r>
          </w:p>
        </w:tc>
      </w:tr>
      <w:tr>
        <w:tc>
          <w:tcPr/>
          <w:p>
            <w:pPr>
              <w:pStyle w:val="Compact"/>
              <w:jc w:val="left"/>
            </w:pPr>
            <w:r>
              <w:t xml:space="preserve">GLM cumulative incidence difference</w:t>
            </w:r>
          </w:p>
        </w:tc>
        <w:tc>
          <w:tcPr/>
          <w:p>
            <w:pPr>
              <w:pStyle w:val="Compact"/>
              <w:jc w:val="left"/>
            </w:pPr>
            <w:r>
              <w:t xml:space="preserve">FALSE</w:t>
            </w:r>
          </w:p>
        </w:tc>
        <w:tc>
          <w:tcPr/>
          <w:p>
            <w:pPr>
              <w:pStyle w:val="Compact"/>
              <w:jc w:val="right"/>
            </w:pPr>
            <w:r>
              <w:t xml:space="preserve">93.83</w:t>
            </w:r>
          </w:p>
        </w:tc>
        <w:tc>
          <w:tcPr/>
          <w:p>
            <w:pPr>
              <w:pStyle w:val="Compact"/>
              <w:jc w:val="right"/>
            </w:pPr>
            <w:r>
              <w:t xml:space="preserve">1.858</w:t>
            </w:r>
          </w:p>
        </w:tc>
        <w:tc>
          <w:tcPr/>
          <w:p>
            <w:pPr>
              <w:pStyle w:val="Compact"/>
              <w:jc w:val="right"/>
            </w:pPr>
            <w:r>
              <w:t xml:space="preserve">0.022</w:t>
            </w:r>
          </w:p>
        </w:tc>
        <w:tc>
          <w:tcPr/>
          <w:p>
            <w:pPr>
              <w:pStyle w:val="Compact"/>
              <w:jc w:val="right"/>
            </w:pPr>
            <w:r>
              <w:t xml:space="preserve">0.433</w:t>
            </w:r>
          </w:p>
        </w:tc>
        <w:tc>
          <w:tcPr/>
          <w:p>
            <w:pPr>
              <w:pStyle w:val="Compact"/>
              <w:jc w:val="right"/>
            </w:pPr>
            <w:r>
              <w:t xml:space="preserve">95.14</w:t>
            </w:r>
          </w:p>
        </w:tc>
        <w:tc>
          <w:tcPr/>
          <w:p>
            <w:pPr>
              <w:pStyle w:val="Compact"/>
              <w:jc w:val="right"/>
            </w:pPr>
            <w:r>
              <w:t xml:space="preserve">99.05</w:t>
            </w:r>
          </w:p>
        </w:tc>
      </w:tr>
      <w:tr>
        <w:tc>
          <w:tcPr/>
          <w:p>
            <w:pPr>
              <w:pStyle w:val="Compact"/>
              <w:jc w:val="left"/>
            </w:pPr>
            <w:r>
              <w:t xml:space="preserve">TMLE cumulative incidence difference</w:t>
            </w:r>
          </w:p>
        </w:tc>
        <w:tc>
          <w:tcPr/>
          <w:p>
            <w:pPr>
              <w:pStyle w:val="Compact"/>
              <w:jc w:val="left"/>
            </w:pPr>
            <w:r>
              <w:t xml:space="preserve">TRUE</w:t>
            </w:r>
          </w:p>
        </w:tc>
        <w:tc>
          <w:tcPr/>
          <w:p>
            <w:pPr>
              <w:pStyle w:val="Compact"/>
              <w:jc w:val="right"/>
            </w:pPr>
            <w:r>
              <w:t xml:space="preserve">93.83</w:t>
            </w:r>
          </w:p>
        </w:tc>
        <w:tc>
          <w:tcPr/>
          <w:p>
            <w:pPr>
              <w:pStyle w:val="Compact"/>
              <w:jc w:val="right"/>
            </w:pPr>
            <w:r>
              <w:t xml:space="preserve">1.828</w:t>
            </w:r>
          </w:p>
        </w:tc>
        <w:tc>
          <w:tcPr/>
          <w:p>
            <w:pPr>
              <w:pStyle w:val="Compact"/>
              <w:jc w:val="right"/>
            </w:pPr>
            <w:r>
              <w:t xml:space="preserve">0.022</w:t>
            </w:r>
          </w:p>
        </w:tc>
        <w:tc>
          <w:tcPr/>
          <w:p>
            <w:pPr>
              <w:pStyle w:val="Compact"/>
              <w:jc w:val="right"/>
            </w:pPr>
            <w:r>
              <w:t xml:space="preserve">0.430</w:t>
            </w:r>
          </w:p>
        </w:tc>
        <w:tc>
          <w:tcPr/>
          <w:p>
            <w:pPr>
              <w:pStyle w:val="Compact"/>
              <w:jc w:val="right"/>
            </w:pPr>
            <w:r>
              <w:t xml:space="preserve">94.90</w:t>
            </w:r>
          </w:p>
        </w:tc>
        <w:tc>
          <w:tcPr/>
          <w:p>
            <w:pPr>
              <w:pStyle w:val="Compact"/>
              <w:jc w:val="right"/>
            </w:pPr>
            <w:r>
              <w:t xml:space="preserve">98.98</w:t>
            </w:r>
          </w:p>
        </w:tc>
      </w:tr>
      <w:tr>
        <w:tc>
          <w:tcPr/>
          <w:p>
            <w:pPr>
              <w:pStyle w:val="Compact"/>
              <w:jc w:val="left"/>
            </w:pPr>
            <w:r>
              <w:t xml:space="preserve">GLM cumulative incidence difference</w:t>
            </w:r>
          </w:p>
        </w:tc>
        <w:tc>
          <w:tcPr/>
          <w:p>
            <w:pPr>
              <w:pStyle w:val="Compact"/>
              <w:jc w:val="left"/>
            </w:pPr>
            <w:r>
              <w:t xml:space="preserve">TRUE</w:t>
            </w:r>
          </w:p>
        </w:tc>
        <w:tc>
          <w:tcPr/>
          <w:p>
            <w:pPr>
              <w:pStyle w:val="Compact"/>
              <w:jc w:val="right"/>
            </w:pPr>
            <w:r>
              <w:t xml:space="preserve">93.78</w:t>
            </w:r>
          </w:p>
        </w:tc>
        <w:tc>
          <w:tcPr/>
          <w:p>
            <w:pPr>
              <w:pStyle w:val="Compact"/>
              <w:jc w:val="right"/>
            </w:pPr>
            <w:r>
              <w:t xml:space="preserve">1.851</w:t>
            </w:r>
          </w:p>
        </w:tc>
        <w:tc>
          <w:tcPr/>
          <w:p>
            <w:pPr>
              <w:pStyle w:val="Compact"/>
              <w:jc w:val="right"/>
            </w:pPr>
            <w:r>
              <w:t xml:space="preserve">0.022</w:t>
            </w:r>
          </w:p>
        </w:tc>
        <w:tc>
          <w:tcPr/>
          <w:p>
            <w:pPr>
              <w:pStyle w:val="Compact"/>
              <w:jc w:val="right"/>
            </w:pPr>
            <w:r>
              <w:t xml:space="preserve">0.432</w:t>
            </w:r>
          </w:p>
        </w:tc>
        <w:tc>
          <w:tcPr/>
          <w:p>
            <w:pPr>
              <w:pStyle w:val="Compact"/>
              <w:jc w:val="right"/>
            </w:pPr>
            <w:r>
              <w:t xml:space="preserve">95.03</w:t>
            </w:r>
          </w:p>
        </w:tc>
        <w:tc>
          <w:tcPr/>
          <w:p>
            <w:pPr>
              <w:pStyle w:val="Compact"/>
              <w:jc w:val="right"/>
            </w:pPr>
            <w:r>
              <w:t xml:space="preserve">99.03</w:t>
            </w:r>
          </w:p>
        </w:tc>
      </w:tr>
    </w:tbl>
    <w:p>
      <w:pPr>
        <w:pStyle w:val="BodyText"/>
      </w:pPr>
      <w:r>
        <w:t xml:space="preserve">-and adjusted and unadjusted</w:t>
      </w:r>
    </w:p>
    <w:bookmarkEnd w:id="22"/>
    <w:bookmarkStart w:id="23" w:name="comparison-on-1-and-2-step-ipds"/>
    <w:p>
      <w:pPr>
        <w:pStyle w:val="Heading2"/>
      </w:pPr>
      <w:r>
        <w:t xml:space="preserve">Comparison on 1 and 2-step IPD’s</w:t>
      </w:r>
    </w:p>
    <w:p>
      <w:pPr>
        <w:pStyle w:val="SourceCode"/>
      </w:pPr>
      <w:r>
        <w:rPr>
          <w:rStyle w:val="NormalTok"/>
        </w:rPr>
        <w:t xml:space="preserve">tab1step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"TMLE cumulative incidence difference"</w:t>
      </w:r>
      <w:r>
        <w:rPr>
          <w:rStyle w:val="NormalTok"/>
        </w:rPr>
        <w:t xml:space="preserve">,Parameter),</w:t>
      </w:r>
      <w:r>
        <w:rPr>
          <w:rStyle w:val="FunctionTok"/>
        </w:rPr>
        <w:t xml:space="preserve">grepl</w:t>
      </w:r>
      <w:r>
        <w:rPr>
          <w:rStyle w:val="NormalTok"/>
        </w:rPr>
        <w:t xml:space="preserve">(</w:t>
      </w:r>
      <w:r>
        <w:rPr>
          <w:rStyle w:val="StringTok"/>
        </w:rPr>
        <w:t xml:space="preserve">"RE"</w:t>
      </w:r>
      <w:r>
        <w:rPr>
          <w:rStyle w:val="NormalTok"/>
        </w:rPr>
        <w:t xml:space="preserve">,Pooling))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Oracle coverage</w:t>
      </w:r>
      <w:r>
        <w:rPr>
          <w:rStyle w:val="StringTok"/>
        </w:rPr>
        <w:t xml:space="preserve">`</w:t>
      </w:r>
      <w:r>
        <w:rPr>
          <w:rStyle w:val="NormalTok"/>
        </w:rPr>
        <w:t xml:space="preserve">,</w:t>
      </w:r>
      <w:r>
        <w:rPr>
          <w:rStyle w:val="StringTok"/>
        </w:rPr>
        <w:t xml:space="preserve">`</w:t>
      </w:r>
      <w:r>
        <w:rPr>
          <w:rStyle w:val="AttributeTok"/>
        </w:rPr>
        <w:t xml:space="preserve">Absolute bias</w:t>
      </w:r>
      <w:r>
        <w:rPr>
          <w:rStyle w:val="StringTok"/>
        </w:rPr>
        <w:t xml:space="preserve">`</w:t>
      </w:r>
      <w:r>
        <w:rPr>
          <w:rStyle w:val="NormalTok"/>
        </w:rPr>
        <w:t xml:space="preserve">,</w:t>
      </w:r>
      <w:r>
        <w:rPr>
          <w:rStyle w:val="StringTok"/>
        </w:rPr>
        <w:t xml:space="preserve">`</w:t>
      </w:r>
      <w:r>
        <w:rPr>
          <w:rStyle w:val="AttributeTok"/>
        </w:rPr>
        <w:t xml:space="preserve">Mean variance</w:t>
      </w:r>
      <w:r>
        <w:rPr>
          <w:rStyle w:val="StringTok"/>
        </w:rPr>
        <w:t xml:space="preserve">`</w:t>
      </w:r>
      <w:r>
        <w:rPr>
          <w:rStyle w:val="NormalTok"/>
        </w:rPr>
        <w:t xml:space="preserve">,</w:t>
      </w:r>
      <w:r>
        <w:rPr>
          <w:rStyle w:val="StringTok"/>
        </w:rPr>
        <w:t xml:space="preserve">`</w:t>
      </w:r>
      <w:r>
        <w:rPr>
          <w:rStyle w:val="AttributeTok"/>
        </w:rPr>
        <w:t xml:space="preserve">Bias/SE ratio</w:t>
      </w:r>
      <w:r>
        <w:rPr>
          <w:rStyle w:val="StringTok"/>
        </w:rPr>
        <w:t xml:space="preserve">`</w:t>
      </w:r>
      <w:r>
        <w:rPr>
          <w:rStyle w:val="NormalTok"/>
        </w:rPr>
        <w:t xml:space="preserve">,</w:t>
      </w:r>
      <w:r>
        <w:rPr>
          <w:rStyle w:val="StringTok"/>
        </w:rPr>
        <w:t xml:space="preserve">`</w:t>
      </w:r>
      <w:r>
        <w:rPr>
          <w:rStyle w:val="AttributeTok"/>
        </w:rPr>
        <w:t xml:space="preserve">Power</w:t>
      </w:r>
      <w:r>
        <w:rPr>
          <w:rStyle w:val="StringTok"/>
        </w:rPr>
        <w:t xml:space="preserve">`</w:t>
      </w:r>
      <w:r>
        <w:rPr>
          <w:rStyle w:val="NormalTok"/>
        </w:rPr>
        <w:t xml:space="preserve">,</w:t>
      </w:r>
      <w:r>
        <w:rPr>
          <w:rStyle w:val="StringTok"/>
        </w:rPr>
        <w:t xml:space="preserve">`</w:t>
      </w:r>
      <w:r>
        <w:rPr>
          <w:rStyle w:val="AttributeTok"/>
        </w:rPr>
        <w:t xml:space="preserve">CI coverage</w:t>
      </w:r>
      <w:r>
        <w:rPr>
          <w:rStyle w:val="StringTok"/>
        </w:rPr>
        <w:t xml:space="preserve">`</w:t>
      </w:r>
      <w:r>
        <w:rPr>
          <w:rStyle w:val="NormalTok"/>
        </w:rPr>
        <w:t xml:space="preserv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1604"/>
        <w:gridCol w:w="1403"/>
        <w:gridCol w:w="1403"/>
        <w:gridCol w:w="1403"/>
        <w:gridCol w:w="902"/>
        <w:gridCol w:w="1203"/>
      </w:tblGrid>
      <w:tr>
        <w:trPr>
          <w:tblHeader w:val="on"/>
        </w:trPr>
        <w:tc>
          <w:tcPr/>
          <w:p>
            <w:pPr>
              <w:pStyle w:val="Compact"/>
              <w:jc w:val="right"/>
            </w:pPr>
            <w:r>
              <w:t xml:space="preserve">Oracle coverage</w:t>
            </w:r>
          </w:p>
        </w:tc>
        <w:tc>
          <w:tcPr/>
          <w:p>
            <w:pPr>
              <w:pStyle w:val="Compact"/>
              <w:jc w:val="right"/>
            </w:pPr>
            <w:r>
              <w:t xml:space="preserve">Absolute bias</w:t>
            </w:r>
          </w:p>
        </w:tc>
        <w:tc>
          <w:tcPr/>
          <w:p>
            <w:pPr>
              <w:pStyle w:val="Compact"/>
              <w:jc w:val="right"/>
            </w:pPr>
            <w:r>
              <w:t xml:space="preserve">Mean variance</w:t>
            </w:r>
          </w:p>
        </w:tc>
        <w:tc>
          <w:tcPr/>
          <w:p>
            <w:pPr>
              <w:pStyle w:val="Compact"/>
              <w:jc w:val="right"/>
            </w:pPr>
            <w:r>
              <w:t xml:space="preserve">Bias/SE ratio</w:t>
            </w:r>
          </w:p>
        </w:tc>
        <w:tc>
          <w:tcPr/>
          <w:p>
            <w:pPr>
              <w:pStyle w:val="Compact"/>
              <w:jc w:val="right"/>
            </w:pPr>
            <w:r>
              <w:t xml:space="preserve">Power</w:t>
            </w:r>
          </w:p>
        </w:tc>
        <w:tc>
          <w:tcPr/>
          <w:p>
            <w:pPr>
              <w:pStyle w:val="Compact"/>
              <w:jc w:val="right"/>
            </w:pPr>
            <w:r>
              <w:t xml:space="preserve">CI coverage</w:t>
            </w:r>
          </w:p>
        </w:tc>
      </w:tr>
      <w:tr>
        <w:tc>
          <w:tcPr/>
          <w:p>
            <w:pPr>
              <w:pStyle w:val="Compact"/>
              <w:jc w:val="right"/>
            </w:pPr>
            <w:r>
              <w:t xml:space="preserve">89.44444</w:t>
            </w:r>
          </w:p>
        </w:tc>
        <w:tc>
          <w:tcPr/>
          <w:p>
            <w:pPr>
              <w:pStyle w:val="Compact"/>
              <w:jc w:val="right"/>
            </w:pPr>
            <w:r>
              <w:t xml:space="preserve">1.190226</w:t>
            </w:r>
          </w:p>
        </w:tc>
        <w:tc>
          <w:tcPr/>
          <w:p>
            <w:pPr>
              <w:pStyle w:val="Compact"/>
              <w:jc w:val="right"/>
            </w:pPr>
            <w:r>
              <w:t xml:space="preserve">0.009</w:t>
            </w:r>
          </w:p>
        </w:tc>
        <w:tc>
          <w:tcPr/>
          <w:p>
            <w:pPr>
              <w:pStyle w:val="Compact"/>
              <w:jc w:val="right"/>
            </w:pPr>
            <w:r>
              <w:t xml:space="preserve">0.390</w:t>
            </w:r>
          </w:p>
        </w:tc>
        <w:tc>
          <w:tcPr/>
          <w:p>
            <w:pPr>
              <w:pStyle w:val="Compact"/>
              <w:jc w:val="right"/>
            </w:pPr>
            <w:r>
              <w:t xml:space="preserve">99.88889</w:t>
            </w:r>
          </w:p>
        </w:tc>
        <w:tc>
          <w:tcPr/>
          <w:p>
            <w:pPr>
              <w:pStyle w:val="Compact"/>
              <w:jc w:val="right"/>
            </w:pPr>
            <w:r>
              <w:t xml:space="preserve">100</w:t>
            </w:r>
          </w:p>
        </w:tc>
      </w:tr>
      <w:tr>
        <w:tc>
          <w:tcPr/>
          <w:p>
            <w:pPr>
              <w:pStyle w:val="Compact"/>
              <w:jc w:val="right"/>
            </w:pPr>
            <w:r>
              <w:t xml:space="preserve">94.40000</w:t>
            </w:r>
          </w:p>
        </w:tc>
        <w:tc>
          <w:tcPr/>
          <w:p>
            <w:pPr>
              <w:pStyle w:val="Compact"/>
              <w:jc w:val="right"/>
            </w:pPr>
            <w:r>
              <w:t xml:space="preserve">1.038197</w:t>
            </w:r>
          </w:p>
        </w:tc>
        <w:tc>
          <w:tcPr/>
          <w:p>
            <w:pPr>
              <w:pStyle w:val="Compact"/>
              <w:jc w:val="right"/>
            </w:pPr>
            <w:r>
              <w:t xml:space="preserve">0.016</w:t>
            </w:r>
          </w:p>
        </w:tc>
        <w:tc>
          <w:tcPr/>
          <w:p>
            <w:pPr>
              <w:pStyle w:val="Compact"/>
              <w:jc w:val="right"/>
            </w:pPr>
            <w:r>
              <w:t xml:space="preserve">0.257</w:t>
            </w:r>
          </w:p>
        </w:tc>
        <w:tc>
          <w:tcPr/>
          <w:p>
            <w:pPr>
              <w:pStyle w:val="Compact"/>
              <w:jc w:val="right"/>
            </w:pPr>
            <w:r>
              <w:t xml:space="preserve">78.80000</w:t>
            </w:r>
          </w:p>
        </w:tc>
        <w:tc>
          <w:tcPr/>
          <w:p>
            <w:pPr>
              <w:pStyle w:val="Compact"/>
              <w:jc w:val="right"/>
            </w:pPr>
            <w:r>
              <w:t xml:space="preserve">100</w:t>
            </w:r>
          </w:p>
        </w:tc>
      </w:tr>
    </w:tbl>
    <w:p>
      <w:pPr>
        <w:pStyle w:val="BodyText"/>
      </w:pPr>
      <w:r>
        <w:t xml:space="preserve">*note abs_bias and mean_variance were scaled, they multiplied for readability by 1000 for difference measures and 100 for ratio measures. The ratio measures are evaluated on the log scale.</w:t>
      </w:r>
    </w:p>
    <w:p>
      <w:pPr>
        <w:pStyle w:val="BodyText"/>
      </w:pPr>
      <w:r>
        <w:t xml:space="preserve">*note the same relative differences in 1 versus 2-step performances are true when using regression models.</w:t>
      </w:r>
    </w:p>
    <w:p>
      <w:pPr>
        <w:pStyle w:val="BodyText"/>
      </w:pPr>
      <w:r>
        <w:t xml:space="preserve">*main intervention effect</w:t>
      </w:r>
    </w:p>
    <w:bookmarkEnd w:id="23"/>
    <w:bookmarkStart w:id="24" w:name="discussion-of-power-across-subgroups"/>
    <w:p>
      <w:pPr>
        <w:pStyle w:val="Heading2"/>
      </w:pPr>
      <w:r>
        <w:t xml:space="preserve">Discussion of power across subgroups</w:t>
      </w:r>
    </w:p>
    <w:tbl>
      <w:tblPr>
        <w:tblStyle w:val="Table"/>
        <w:tblW w:type="pct" w:w="5000"/>
        <w:tblLayout w:type="fixed"/>
        <w:tblLook w:firstRow="1" w:lastRow="0" w:firstColumn="0" w:lastColumn="0" w:noHBand="0" w:noVBand="0" w:val="0020"/>
      </w:tblPr>
      <w:tblGrid>
        <w:gridCol w:w="754"/>
        <w:gridCol w:w="1508"/>
        <w:gridCol w:w="1320"/>
        <w:gridCol w:w="1320"/>
        <w:gridCol w:w="1320"/>
        <w:gridCol w:w="565"/>
        <w:gridCol w:w="1131"/>
      </w:tblGrid>
      <w:tr>
        <w:trPr>
          <w:tblHeader w:val="on"/>
        </w:trPr>
        <w:tc>
          <w:tcPr/>
          <w:p>
            <w:pPr>
              <w:pStyle w:val="Compact"/>
              <w:jc w:val="left"/>
            </w:pPr>
            <w:r>
              <w:t xml:space="preserve">Level</w:t>
            </w:r>
          </w:p>
        </w:tc>
        <w:tc>
          <w:tcPr/>
          <w:p>
            <w:pPr>
              <w:pStyle w:val="Compact"/>
              <w:jc w:val="right"/>
            </w:pPr>
            <w:r>
              <w:t xml:space="preserve">Oracle coverage</w:t>
            </w:r>
          </w:p>
        </w:tc>
        <w:tc>
          <w:tcPr/>
          <w:p>
            <w:pPr>
              <w:pStyle w:val="Compact"/>
              <w:jc w:val="right"/>
            </w:pPr>
            <w:r>
              <w:t xml:space="preserve">Absolute bias</w:t>
            </w:r>
          </w:p>
        </w:tc>
        <w:tc>
          <w:tcPr/>
          <w:p>
            <w:pPr>
              <w:pStyle w:val="Compact"/>
              <w:jc w:val="right"/>
            </w:pPr>
            <w:r>
              <w:t xml:space="preserve">Mean variance</w:t>
            </w:r>
          </w:p>
        </w:tc>
        <w:tc>
          <w:tcPr/>
          <w:p>
            <w:pPr>
              <w:pStyle w:val="Compact"/>
              <w:jc w:val="right"/>
            </w:pPr>
            <w:r>
              <w:t xml:space="preserve">Bias/SE ratio</w:t>
            </w:r>
          </w:p>
        </w:tc>
        <w:tc>
          <w:tcPr/>
          <w:p>
            <w:pPr>
              <w:pStyle w:val="Compact"/>
              <w:jc w:val="right"/>
            </w:pPr>
            <w:r>
              <w:t xml:space="preserve">Power</w:t>
            </w:r>
          </w:p>
        </w:tc>
        <w:tc>
          <w:tcPr/>
          <w:p>
            <w:pPr>
              <w:pStyle w:val="Compact"/>
              <w:jc w:val="right"/>
            </w:pPr>
            <w:r>
              <w:t xml:space="preserve">CI coverage</w:t>
            </w:r>
          </w:p>
        </w:tc>
      </w:tr>
      <w:tr>
        <w:tc>
          <w:tcPr/>
          <w:p>
            <w:pPr>
              <w:pStyle w:val="Compact"/>
              <w:jc w:val="left"/>
            </w:pPr>
            <w:r>
              <w:t xml:space="preserve">6-11mo</w:t>
            </w:r>
          </w:p>
        </w:tc>
        <w:tc>
          <w:tcPr/>
          <w:p>
            <w:pPr>
              <w:pStyle w:val="Compact"/>
              <w:jc w:val="right"/>
            </w:pPr>
            <w:r>
              <w:t xml:space="preserve">95.00</w:t>
            </w:r>
          </w:p>
        </w:tc>
        <w:tc>
          <w:tcPr/>
          <w:p>
            <w:pPr>
              <w:pStyle w:val="Compact"/>
              <w:jc w:val="right"/>
            </w:pPr>
            <w:r>
              <w:t xml:space="preserve">2.569</w:t>
            </w:r>
          </w:p>
        </w:tc>
        <w:tc>
          <w:tcPr/>
          <w:p>
            <w:pPr>
              <w:pStyle w:val="Compact"/>
              <w:jc w:val="right"/>
            </w:pPr>
            <w:r>
              <w:t xml:space="preserve">0.031</w:t>
            </w:r>
          </w:p>
        </w:tc>
        <w:tc>
          <w:tcPr/>
          <w:p>
            <w:pPr>
              <w:pStyle w:val="Compact"/>
              <w:jc w:val="right"/>
            </w:pPr>
            <w:r>
              <w:t xml:space="preserve">0.458</w:t>
            </w:r>
          </w:p>
        </w:tc>
        <w:tc>
          <w:tcPr/>
          <w:p>
            <w:pPr>
              <w:pStyle w:val="Compact"/>
              <w:jc w:val="right"/>
            </w:pPr>
            <w:r>
              <w:t xml:space="preserve">88.89</w:t>
            </w:r>
          </w:p>
        </w:tc>
        <w:tc>
          <w:tcPr/>
          <w:p>
            <w:pPr>
              <w:pStyle w:val="Compact"/>
              <w:jc w:val="right"/>
            </w:pPr>
            <w:r>
              <w:t xml:space="preserve">98.56</w:t>
            </w:r>
          </w:p>
        </w:tc>
      </w:tr>
      <w:tr>
        <w:tc>
          <w:tcPr/>
          <w:p>
            <w:pPr>
              <w:pStyle w:val="Compact"/>
              <w:jc w:val="left"/>
            </w:pPr>
            <w:r>
              <w:t xml:space="preserve">female</w:t>
            </w:r>
          </w:p>
        </w:tc>
        <w:tc>
          <w:tcPr/>
          <w:p>
            <w:pPr>
              <w:pStyle w:val="Compact"/>
              <w:jc w:val="right"/>
            </w:pPr>
            <w:r>
              <w:t xml:space="preserve">95.11</w:t>
            </w:r>
          </w:p>
        </w:tc>
        <w:tc>
          <w:tcPr/>
          <w:p>
            <w:pPr>
              <w:pStyle w:val="Compact"/>
              <w:jc w:val="right"/>
            </w:pPr>
            <w:r>
              <w:t xml:space="preserve">1.150</w:t>
            </w:r>
          </w:p>
        </w:tc>
        <w:tc>
          <w:tcPr/>
          <w:p>
            <w:pPr>
              <w:pStyle w:val="Compact"/>
              <w:jc w:val="right"/>
            </w:pPr>
            <w:r>
              <w:t xml:space="preserve">0.008</w:t>
            </w:r>
          </w:p>
        </w:tc>
        <w:tc>
          <w:tcPr/>
          <w:p>
            <w:pPr>
              <w:pStyle w:val="Compact"/>
              <w:jc w:val="right"/>
            </w:pPr>
            <w:r>
              <w:t xml:space="preserve">0.405</w:t>
            </w:r>
          </w:p>
        </w:tc>
        <w:tc>
          <w:tcPr/>
          <w:p>
            <w:pPr>
              <w:pStyle w:val="Compact"/>
              <w:jc w:val="right"/>
            </w:pPr>
            <w:r>
              <w:t xml:space="preserve">98.22</w:t>
            </w:r>
          </w:p>
        </w:tc>
        <w:tc>
          <w:tcPr/>
          <w:p>
            <w:pPr>
              <w:pStyle w:val="Compact"/>
              <w:jc w:val="right"/>
            </w:pPr>
            <w:r>
              <w:t xml:space="preserve">99.11</w:t>
            </w:r>
          </w:p>
        </w:tc>
      </w:tr>
      <w:tr>
        <w:tc>
          <w:tcPr/>
          <w:p>
            <w:pPr>
              <w:pStyle w:val="Compact"/>
              <w:jc w:val="left"/>
            </w:pPr>
            <w:r>
              <w:t xml:space="preserve">12-23mo</w:t>
            </w:r>
          </w:p>
        </w:tc>
        <w:tc>
          <w:tcPr/>
          <w:p>
            <w:pPr>
              <w:pStyle w:val="Compact"/>
              <w:jc w:val="right"/>
            </w:pPr>
            <w:r>
              <w:t xml:space="preserve">95.44</w:t>
            </w:r>
          </w:p>
        </w:tc>
        <w:tc>
          <w:tcPr/>
          <w:p>
            <w:pPr>
              <w:pStyle w:val="Compact"/>
              <w:jc w:val="right"/>
            </w:pPr>
            <w:r>
              <w:t xml:space="preserve">1.639</w:t>
            </w:r>
          </w:p>
        </w:tc>
        <w:tc>
          <w:tcPr/>
          <w:p>
            <w:pPr>
              <w:pStyle w:val="Compact"/>
              <w:jc w:val="right"/>
            </w:pPr>
            <w:r>
              <w:t xml:space="preserve">0.012</w:t>
            </w:r>
          </w:p>
        </w:tc>
        <w:tc>
          <w:tcPr/>
          <w:p>
            <w:pPr>
              <w:pStyle w:val="Compact"/>
              <w:jc w:val="right"/>
            </w:pPr>
            <w:r>
              <w:t xml:space="preserve">0.476</w:t>
            </w:r>
          </w:p>
        </w:tc>
        <w:tc>
          <w:tcPr/>
          <w:p>
            <w:pPr>
              <w:pStyle w:val="Compact"/>
              <w:jc w:val="right"/>
            </w:pPr>
            <w:r>
              <w:t xml:space="preserve">90.44</w:t>
            </w:r>
          </w:p>
        </w:tc>
        <w:tc>
          <w:tcPr/>
          <w:p>
            <w:pPr>
              <w:pStyle w:val="Compact"/>
              <w:jc w:val="right"/>
            </w:pPr>
            <w:r>
              <w:t xml:space="preserve">97.44</w:t>
            </w:r>
          </w:p>
        </w:tc>
      </w:tr>
      <w:tr>
        <w:tc>
          <w:tcPr/>
          <w:p>
            <w:pPr>
              <w:pStyle w:val="Compact"/>
              <w:jc w:val="left"/>
            </w:pPr>
            <w:r>
              <w:t xml:space="preserve">24-59mo</w:t>
            </w:r>
          </w:p>
        </w:tc>
        <w:tc>
          <w:tcPr/>
          <w:p>
            <w:pPr>
              <w:pStyle w:val="Compact"/>
              <w:jc w:val="right"/>
            </w:pPr>
            <w:r>
              <w:t xml:space="preserve">94.56</w:t>
            </w:r>
          </w:p>
        </w:tc>
        <w:tc>
          <w:tcPr/>
          <w:p>
            <w:pPr>
              <w:pStyle w:val="Compact"/>
              <w:jc w:val="right"/>
            </w:pPr>
            <w:r>
              <w:t xml:space="preserve">0.908</w:t>
            </w:r>
          </w:p>
        </w:tc>
        <w:tc>
          <w:tcPr/>
          <w:p>
            <w:pPr>
              <w:pStyle w:val="Compact"/>
              <w:jc w:val="right"/>
            </w:pPr>
            <w:r>
              <w:t xml:space="preserve">0.005</w:t>
            </w:r>
          </w:p>
        </w:tc>
        <w:tc>
          <w:tcPr/>
          <w:p>
            <w:pPr>
              <w:pStyle w:val="Compact"/>
              <w:jc w:val="right"/>
            </w:pPr>
            <w:r>
              <w:t xml:space="preserve">0.428</w:t>
            </w:r>
          </w:p>
        </w:tc>
        <w:tc>
          <w:tcPr/>
          <w:p>
            <w:pPr>
              <w:pStyle w:val="Compact"/>
              <w:jc w:val="right"/>
            </w:pPr>
            <w:r>
              <w:t xml:space="preserve">96.44</w:t>
            </w:r>
          </w:p>
        </w:tc>
        <w:tc>
          <w:tcPr/>
          <w:p>
            <w:pPr>
              <w:pStyle w:val="Compact"/>
              <w:jc w:val="right"/>
            </w:pPr>
            <w:r>
              <w:t xml:space="preserve">99.11</w:t>
            </w:r>
          </w:p>
        </w:tc>
      </w:tr>
      <w:tr>
        <w:tc>
          <w:tcPr/>
          <w:p>
            <w:pPr>
              <w:pStyle w:val="Compact"/>
              <w:jc w:val="left"/>
            </w:pPr>
            <w:r>
              <w:t xml:space="preserve">1-5mo</w:t>
            </w:r>
          </w:p>
        </w:tc>
        <w:tc>
          <w:tcPr/>
          <w:p>
            <w:pPr>
              <w:pStyle w:val="Compact"/>
              <w:jc w:val="right"/>
            </w:pPr>
            <w:r>
              <w:t xml:space="preserve">94.33</w:t>
            </w:r>
          </w:p>
        </w:tc>
        <w:tc>
          <w:tcPr/>
          <w:p>
            <w:pPr>
              <w:pStyle w:val="Compact"/>
              <w:jc w:val="right"/>
            </w:pPr>
            <w:r>
              <w:t xml:space="preserve">4.055</w:t>
            </w:r>
          </w:p>
        </w:tc>
        <w:tc>
          <w:tcPr/>
          <w:p>
            <w:pPr>
              <w:pStyle w:val="Compact"/>
              <w:jc w:val="right"/>
            </w:pPr>
            <w:r>
              <w:t xml:space="preserve">0.075</w:t>
            </w:r>
          </w:p>
        </w:tc>
        <w:tc>
          <w:tcPr/>
          <w:p>
            <w:pPr>
              <w:pStyle w:val="Compact"/>
              <w:jc w:val="right"/>
            </w:pPr>
            <w:r>
              <w:t xml:space="preserve">0.468</w:t>
            </w:r>
          </w:p>
        </w:tc>
        <w:tc>
          <w:tcPr/>
          <w:p>
            <w:pPr>
              <w:pStyle w:val="Compact"/>
              <w:jc w:val="right"/>
            </w:pPr>
            <w:r>
              <w:t xml:space="preserve">91.11</w:t>
            </w:r>
          </w:p>
        </w:tc>
        <w:tc>
          <w:tcPr/>
          <w:p>
            <w:pPr>
              <w:pStyle w:val="Compact"/>
              <w:jc w:val="right"/>
            </w:pPr>
            <w:r>
              <w:t xml:space="preserve">98.78</w:t>
            </w:r>
          </w:p>
        </w:tc>
      </w:tr>
      <w:tr>
        <w:tc>
          <w:tcPr/>
          <w:p>
            <w:pPr>
              <w:pStyle w:val="Compact"/>
              <w:jc w:val="left"/>
            </w:pPr>
            <w:r>
              <w:t xml:space="preserve">male</w:t>
            </w:r>
          </w:p>
        </w:tc>
        <w:tc>
          <w:tcPr/>
          <w:p>
            <w:pPr>
              <w:pStyle w:val="Compact"/>
              <w:jc w:val="right"/>
            </w:pPr>
            <w:r>
              <w:t xml:space="preserve">92.89</w:t>
            </w:r>
          </w:p>
        </w:tc>
        <w:tc>
          <w:tcPr/>
          <w:p>
            <w:pPr>
              <w:pStyle w:val="Compact"/>
              <w:jc w:val="right"/>
            </w:pPr>
            <w:r>
              <w:t xml:space="preserve">1.284</w:t>
            </w:r>
          </w:p>
        </w:tc>
        <w:tc>
          <w:tcPr/>
          <w:p>
            <w:pPr>
              <w:pStyle w:val="Compact"/>
              <w:jc w:val="right"/>
            </w:pPr>
            <w:r>
              <w:t xml:space="preserve">0.011</w:t>
            </w:r>
          </w:p>
        </w:tc>
        <w:tc>
          <w:tcPr/>
          <w:p>
            <w:pPr>
              <w:pStyle w:val="Compact"/>
              <w:jc w:val="right"/>
            </w:pPr>
            <w:r>
              <w:t xml:space="preserve">0.384</w:t>
            </w:r>
          </w:p>
        </w:tc>
        <w:tc>
          <w:tcPr/>
          <w:p>
            <w:pPr>
              <w:pStyle w:val="Compact"/>
              <w:jc w:val="right"/>
            </w:pPr>
            <w:r>
              <w:t xml:space="preserve">99.33</w:t>
            </w:r>
          </w:p>
        </w:tc>
        <w:tc>
          <w:tcPr/>
          <w:p>
            <w:pPr>
              <w:pStyle w:val="Compact"/>
              <w:jc w:val="right"/>
            </w:pPr>
            <w:r>
              <w:t xml:space="preserve">99.89</w:t>
            </w:r>
          </w:p>
        </w:tc>
      </w:tr>
      <w:tr>
        <w:tc>
          <w:tcPr/>
          <w:p>
            <w:pPr>
              <w:pStyle w:val="Compact"/>
              <w:jc w:val="left"/>
            </w:pPr>
            <w:r>
              <w:t xml:space="preserve">main</w:t>
            </w:r>
          </w:p>
        </w:tc>
        <w:tc>
          <w:tcPr/>
          <w:p>
            <w:pPr>
              <w:pStyle w:val="Compact"/>
              <w:jc w:val="right"/>
            </w:pPr>
            <w:r>
              <w:t xml:space="preserve">89.44</w:t>
            </w:r>
          </w:p>
        </w:tc>
        <w:tc>
          <w:tcPr/>
          <w:p>
            <w:pPr>
              <w:pStyle w:val="Compact"/>
              <w:jc w:val="right"/>
            </w:pPr>
            <w:r>
              <w:t xml:space="preserve">1.190</w:t>
            </w:r>
          </w:p>
        </w:tc>
        <w:tc>
          <w:tcPr/>
          <w:p>
            <w:pPr>
              <w:pStyle w:val="Compact"/>
              <w:jc w:val="right"/>
            </w:pPr>
            <w:r>
              <w:t xml:space="preserve">0.009</w:t>
            </w:r>
          </w:p>
        </w:tc>
        <w:tc>
          <w:tcPr/>
          <w:p>
            <w:pPr>
              <w:pStyle w:val="Compact"/>
              <w:jc w:val="right"/>
            </w:pPr>
            <w:r>
              <w:t xml:space="preserve">0.390</w:t>
            </w:r>
          </w:p>
        </w:tc>
        <w:tc>
          <w:tcPr/>
          <w:p>
            <w:pPr>
              <w:pStyle w:val="Compact"/>
              <w:jc w:val="right"/>
            </w:pPr>
            <w:r>
              <w:t xml:space="preserve">99.89</w:t>
            </w:r>
          </w:p>
        </w:tc>
        <w:tc>
          <w:tcPr/>
          <w:p>
            <w:pPr>
              <w:pStyle w:val="Compact"/>
              <w:jc w:val="right"/>
            </w:pPr>
            <w:r>
              <w:t xml:space="preserve">100.00</w:t>
            </w:r>
          </w:p>
        </w:tc>
      </w:tr>
    </w:tbl>
    <w:bookmarkEnd w:id="24"/>
    <w:bookmarkStart w:id="25" w:name="Xd1582ff72d5a6ef147af46441256996e3f1915f"/>
    <w:p>
      <w:pPr>
        <w:pStyle w:val="Heading2"/>
      </w:pPr>
      <w:r>
        <w:t xml:space="preserve">Assumptions and limitations of simulation study</w:t>
      </w:r>
    </w:p>
    <w:bookmarkEnd w:id="25"/>
    <w:bookmarkStart w:id="26" w:name="conclusions"/>
    <w:p>
      <w:pPr>
        <w:pStyle w:val="Heading2"/>
      </w:pPr>
      <w:r>
        <w:t xml:space="preserve">Conclusions</w:t>
      </w:r>
    </w:p>
    <w:p>
      <w:pPr>
        <w:pStyle w:val="FirstParagraph"/>
      </w:pPr>
      <w:r>
        <w:t xml:space="preserve">-is it worth it to do an IPD</w:t>
      </w:r>
    </w:p>
    <w:bookmarkEnd w:id="26"/>
    <w:bookmarkStart w:id="30" w:name="plot-results"/>
    <w:p>
      <w:pPr>
        <w:pStyle w:val="Heading2"/>
      </w:pPr>
      <w:r>
        <w:t xml:space="preserve">Plot results</w:t>
      </w:r>
    </w:p>
    <w:p>
      <w:pPr>
        <w:pStyle w:val="FirstParagraph"/>
      </w:pPr>
      <w:r>
        <w:rPr>
          <w:b/>
          <w:bCs/>
        </w:rPr>
        <w:t xml:space="preserve">Figure 1.</w:t>
      </w:r>
      <w:r>
        <w:t xml:space="preserve"> </w:t>
      </w:r>
      <w:r>
        <w:t xml:space="preserve">Performance metrics for the cumulative incidence difference across different subgroups pooled via random effects meta-analyses. The mean absolute bias, mean variance, bias to standard error ratio, power, oracle coverage, and coverage are shown for each subgroup. The oracle coverage is the proportion of confidence intervals that contain the true value. The coverage is the proportion of confidence intervals that contain the true value where the confidence interval is constructed from the variance of the point estimates across the simulation iteractions.</w:t>
      </w:r>
    </w:p>
    <w:p>
      <w:pPr>
        <w:pStyle w:val="SourceCode"/>
      </w:pPr>
      <w:r>
        <w:rPr>
          <w:rStyle w:val="VerbatimChar"/>
        </w:rPr>
        <w:t xml:space="preserve">## Warning: A numeric `legend.position` argument in `theme()` was deprecated in ggplot2</w:t>
      </w:r>
      <w:r>
        <w:br/>
      </w:r>
      <w:r>
        <w:rPr>
          <w:rStyle w:val="VerbatimChar"/>
        </w:rPr>
        <w:t xml:space="preserve">## 3.5.0.</w:t>
      </w:r>
      <w:r>
        <w:br/>
      </w:r>
      <w:r>
        <w:rPr>
          <w:rStyle w:val="VerbatimChar"/>
        </w:rPr>
        <w:t xml:space="preserve">## ℹ Please use the `legend.position.inside` argument of `theme()`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8" name="Picture"/>
            <a:graphic>
              <a:graphicData uri="http://schemas.openxmlformats.org/drawingml/2006/picture">
                <pic:pic>
                  <pic:nvPicPr>
                    <pic:cNvPr descr="simulation_results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results</dc:title>
  <dc:creator>Andrew Mertens</dc:creator>
  <cp:keywords/>
  <dcterms:created xsi:type="dcterms:W3CDTF">2024-12-02T13:37:06Z</dcterms:created>
  <dcterms:modified xsi:type="dcterms:W3CDTF">2024-12-02T13:37:06Z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2024-11-18</vt:lpwstr>
  </property>
  <property fmtid="{D5CDD505-2E9C-101B-9397-08002B2CF9AE}" pid="3" name="output">
    <vt:lpwstr/>
  </property>
</Properties>
</file>