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  <Override PartName="/word/media/rId117.png" ContentType="image/png"/>
  <Override PartName="/word/media/rId97.png" ContentType="image/png"/>
  <Override PartName="/word/media/rId107.png" ContentType="image/png"/>
  <Override PartName="/word/media/rId156.png" ContentType="image/png"/>
  <Override PartName="/word/media/rId120.png" ContentType="image/png"/>
  <Override PartName="/word/media/rId152.png" ContentType="image/png"/>
  <Override PartName="/word/media/rId70.png" ContentType="image/png"/>
  <Override PartName="/word/media/rId89.png" ContentType="image/png"/>
  <Override PartName="/word/media/rId66.png" ContentType="image/png"/>
  <Override PartName="/word/media/rId78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Worst-Case Selection of Targeted-Learning Estimators under Prespecified Data-Quality Threats: An Outcome-Blind Workflow</w:t>
      </w:r>
    </w:p>
    <w:p>
      <w:pPr>
        <w:pStyle w:val="Author"/>
      </w:pPr>
      <w:r>
        <w:t xml:space="preserve">Andrew Mertens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Estimator selection in real-world evidence usually ranks candidate</w:t>
      </w:r>
      <w:r>
        <w:t xml:space="preserve"> </w:t>
      </w:r>
      <w:r>
        <w:t xml:space="preserve">estimators by their error on the data as observed, which ignores how each</w:t>
      </w:r>
      <w:r>
        <w:t xml:space="preserve"> </w:t>
      </w:r>
      <w:r>
        <w:t xml:space="preserve">candidate behaves when the data fall short of the assumptions the analysis</w:t>
      </w:r>
      <w:r>
        <w:t xml:space="preserve"> </w:t>
      </w:r>
      <w:r>
        <w:t xml:space="preserve">relies on. We develop an outcome-blind procedure that selects among</w:t>
      </w:r>
      <w:r>
        <w:t xml:space="preserve"> </w:t>
      </w:r>
      <w:r>
        <w:t xml:space="preserve">prespecified targeted-learning estimators by their worst-case performance</w:t>
      </w:r>
      <w:r>
        <w:t xml:space="preserve"> </w:t>
      </w:r>
      <w:r>
        <w:t xml:space="preserve">across a declared set of data-quality threats, and we show that this</w:t>
      </w:r>
      <w:r>
        <w:t xml:space="preserve"> </w:t>
      </w:r>
      <w:r>
        <w:t xml:space="preserve">worst-case rule can lock a different estimator from the rule that minimises</w:t>
      </w:r>
      <w:r>
        <w:t xml:space="preserve"> </w:t>
      </w:r>
      <w:r>
        <w:t xml:space="preserve">error on undisturbed data. In a constructed demonstration with three</w:t>
      </w:r>
      <w:r>
        <w:t xml:space="preserve"> </w:t>
      </w:r>
      <w:r>
        <w:t xml:space="preserve">propensity-score-truncation candidates and a prespecified threat sweep that</w:t>
      </w:r>
      <w:r>
        <w:t xml:space="preserve"> </w:t>
      </w:r>
      <w:r>
        <w:t xml:space="preserve">includes a positivity violation as a first-class package threat, the baseline</w:t>
      </w:r>
      <w:r>
        <w:t xml:space="preserve"> </w:t>
      </w:r>
      <w:r>
        <w:t xml:space="preserve">rule (</w:t>
      </w:r>
      <w:r>
        <w:rPr>
          <w:rStyle w:val="VerbatimChar"/>
        </w:rPr>
        <w:t xml:space="preserve">min_rmse</w:t>
      </w:r>
      <w:r>
        <w:t xml:space="preserve">) selected the heavily truncated candidate and the worst-case</w:t>
      </w:r>
      <w:r>
        <w:t xml:space="preserve"> </w:t>
      </w:r>
      <w:r>
        <w:t xml:space="preserve">rule (</w:t>
      </w:r>
      <w:r>
        <w:rPr>
          <w:rStyle w:val="VerbatimChar"/>
        </w:rPr>
        <w:t xml:space="preserve">min_max_rmse</w:t>
      </w:r>
      <w:r>
        <w:t xml:space="preserve">) selected an intermediate candidate, with the two winners</w:t>
      </w:r>
      <w:r>
        <w:t xml:space="preserve"> </w:t>
      </w:r>
      <w:r>
        <w:t xml:space="preserve">separated on worst-case root mean squared error by more than six times the</w:t>
      </w:r>
      <w:r>
        <w:t xml:space="preserve"> </w:t>
      </w:r>
      <w:r>
        <w:t xml:space="preserve">combined Monte Carlo standard error. The demonstration establishes that such</w:t>
      </w:r>
      <w:r>
        <w:t xml:space="preserve"> </w:t>
      </w:r>
      <w:r>
        <w:t xml:space="preserve">divergence occurs under realistic threats, and it does not claim the divergence</w:t>
      </w:r>
      <w:r>
        <w:t xml:space="preserve"> </w:t>
      </w:r>
      <w:r>
        <w:t xml:space="preserve">is generic.</w:t>
      </w:r>
    </w:p>
    <w:p>
      <w:pPr>
        <w:pStyle w:val="BodyText"/>
      </w:pPr>
      <w:r>
        <w:t xml:space="preserve">The procedure sits inside a staged, outcome-blind targeted-learning workflow</w:t>
      </w:r>
      <w:r>
        <w:t xml:space="preserve"> </w:t>
      </w:r>
      <w:r>
        <w:t xml:space="preserve">for binary point-treatment studies, implemented in the R package cleanTMLE.</w:t>
      </w:r>
      <w:r>
        <w:t xml:space="preserve"> </w:t>
      </w:r>
      <w:r>
        <w:t xml:space="preserve">The analyst defines the causal question, the observed data, the identification</w:t>
      </w:r>
      <w:r>
        <w:t xml:space="preserve"> </w:t>
      </w:r>
      <w:r>
        <w:t xml:space="preserve">assumptions, the statistical estimand, and a set of candidate estimators, then</w:t>
      </w:r>
      <w:r>
        <w:t xml:space="preserve"> </w:t>
      </w:r>
      <w:r>
        <w:t xml:space="preserve">compares the candidates on synthetic outcomes before inspecting the observed</w:t>
      </w:r>
      <w:r>
        <w:t xml:space="preserve"> </w:t>
      </w:r>
      <w:r>
        <w:t xml:space="preserve">treatment-outcome association. The data-quality stress test extends this loop</w:t>
      </w:r>
      <w:r>
        <w:t xml:space="preserve"> </w:t>
      </w:r>
      <w:r>
        <w:t xml:space="preserve">by scoring each candidate under prespecified threats on the same decision scale</w:t>
      </w:r>
      <w:r>
        <w:t xml:space="preserve"> </w:t>
      </w:r>
      <w:r>
        <w:t xml:space="preserve">as the baseline plasmode. A fingerprinted analysis lock, an audit trail, and a</w:t>
      </w:r>
      <w:r>
        <w:t xml:space="preserve"> </w:t>
      </w:r>
      <w:r>
        <w:t xml:space="preserve">decision log record the prespecification so that an external reviewer can</w:t>
      </w:r>
      <w:r>
        <w:t xml:space="preserve"> </w:t>
      </w:r>
      <w:r>
        <w:t xml:space="preserve">reconstruct it.</w:t>
      </w:r>
    </w:p>
    <w:p>
      <w:pPr>
        <w:pStyle w:val="BodyText"/>
      </w:pPr>
      <w:r>
        <w:t xml:space="preserve">Real-world evidence studies often require many analytic decisions</w:t>
      </w:r>
      <w:r>
        <w:t xml:space="preserve"> </w:t>
      </w:r>
      <w:r>
        <w:t xml:space="preserve">before an effect estimate is produced: how to define the study</w:t>
      </w:r>
      <w:r>
        <w:t xml:space="preserve"> </w:t>
      </w:r>
      <w:r>
        <w:t xml:space="preserve">population, how to handle limited overlap, which estimator to use,</w:t>
      </w:r>
      <w:r>
        <w:t xml:space="preserve"> </w:t>
      </w:r>
      <w:r>
        <w:t xml:space="preserve">and how to assess whether the data are reliable enough for the</w:t>
      </w:r>
      <w:r>
        <w:t xml:space="preserve"> </w:t>
      </w:r>
      <w:r>
        <w:t xml:space="preserve">question. In practice, these decisions are commonly documented in</w:t>
      </w:r>
      <w:r>
        <w:t xml:space="preserve"> </w:t>
      </w:r>
      <w:r>
        <w:t xml:space="preserve">separate places. The causal question and target-trial design may</w:t>
      </w:r>
      <w:r>
        <w:t xml:space="preserve"> </w:t>
      </w:r>
      <w:r>
        <w:t xml:space="preserve">be described in a protocol, data fitness may be assessed in a</w:t>
      </w:r>
      <w:r>
        <w:t xml:space="preserve"> </w:t>
      </w:r>
      <w:r>
        <w:t xml:space="preserve">checklist, and estimator choice may be justified in a statistical</w:t>
      </w:r>
      <w:r>
        <w:t xml:space="preserve"> </w:t>
      </w:r>
      <w:r>
        <w:t xml:space="preserve">analysis plan. This separation makes it difficult for reviewers to</w:t>
      </w:r>
      <w:r>
        <w:t xml:space="preserve"> </w:t>
      </w:r>
      <w:r>
        <w:t xml:space="preserve">see how design assumptions, data limitations, and estimation</w:t>
      </w:r>
      <w:r>
        <w:t xml:space="preserve"> </w:t>
      </w:r>
      <w:r>
        <w:t xml:space="preserve">choices are connected.</w:t>
      </w:r>
    </w:p>
    <w:p>
      <w:pPr>
        <w:pStyle w:val="BodyText"/>
      </w:pPr>
      <w:r>
        <w:t xml:space="preserve">cleanTMLE is an R package for staged, outcome-blind targeted</w:t>
      </w:r>
      <w:r>
        <w:t xml:space="preserve"> </w:t>
      </w:r>
      <w:r>
        <w:t xml:space="preserve">learning on binary point-treatment studies. Working inside the</w:t>
      </w:r>
      <w:r>
        <w:t xml:space="preserve"> </w:t>
      </w:r>
      <w:r>
        <w:t xml:space="preserve">causal roadmap, the analyst first defines the causal question,</w:t>
      </w:r>
      <w:r>
        <w:t xml:space="preserve"> </w:t>
      </w:r>
      <w:r>
        <w:t xml:space="preserve">observed data, identification assumptions, statistical estimand,</w:t>
      </w:r>
      <w:r>
        <w:t xml:space="preserve"> </w:t>
      </w:r>
      <w:r>
        <w:t xml:space="preserve">and a set of candidate estimators, then uses outcome-blind</w:t>
      </w:r>
      <w:r>
        <w:t xml:space="preserve"> </w:t>
      </w:r>
      <w:r>
        <w:t xml:space="preserve">simulation to compare those candidates before inspecting the</w:t>
      </w:r>
      <w:r>
        <w:t xml:space="preserve"> </w:t>
      </w:r>
      <w:r>
        <w:t xml:space="preserve">observed treatment-outcome association. Outcome-blind here has a</w:t>
      </w:r>
      <w:r>
        <w:t xml:space="preserve"> </w:t>
      </w:r>
      <w:r>
        <w:t xml:space="preserve">precise sense: the plasmode generator fits the marginal mean of the</w:t>
      </w:r>
      <w:r>
        <w:t xml:space="preserve"> </w:t>
      </w:r>
      <w:r>
        <w:t xml:space="preserve">observed outcome given covariates, and the joint treatment-outcome</w:t>
      </w:r>
      <w:r>
        <w:t xml:space="preserve"> </w:t>
      </w:r>
      <w:r>
        <w:t xml:space="preserve">association is never inspected before the pre-outcome decision. The</w:t>
      </w:r>
      <w:r>
        <w:t xml:space="preserve"> </w:t>
      </w:r>
      <w:r>
        <w:t xml:space="preserve">package extends this loop with a plasmode data-quality stress test</w:t>
      </w:r>
      <w:r>
        <w:t xml:space="preserve"> </w:t>
      </w:r>
      <w:r>
        <w:t xml:space="preserve">that generates synthetic outcomes from the empirical covariate and</w:t>
      </w:r>
      <w:r>
        <w:t xml:space="preserve"> </w:t>
      </w:r>
      <w:r>
        <w:t xml:space="preserve">treatment structure and evaluates each candidate under prespecified</w:t>
      </w:r>
      <w:r>
        <w:t xml:space="preserve"> </w:t>
      </w:r>
      <w:r>
        <w:t xml:space="preserve">threats, including covariate missingness, exposure misclassification,</w:t>
      </w:r>
      <w:r>
        <w:t xml:space="preserve"> </w:t>
      </w:r>
      <w:r>
        <w:t xml:space="preserve">outcome misclassification, and unmeasured confounding.</w:t>
      </w:r>
    </w:p>
    <w:p>
      <w:pPr>
        <w:pStyle w:val="BodyText"/>
      </w:pPr>
      <w:r>
        <w:t xml:space="preserve">In Monte Carlo experiments, adjusted estimators recovered the true</w:t>
      </w:r>
      <w:r>
        <w:t xml:space="preserve"> </w:t>
      </w:r>
      <w:r>
        <w:t xml:space="preserve">risk difference under good overlap, and TMLE and cross-validated</w:t>
      </w:r>
      <w:r>
        <w:t xml:space="preserve"> </w:t>
      </w:r>
      <w:r>
        <w:t xml:space="preserve">TMLE held bias small relative to the empirical standard deviation</w:t>
      </w:r>
      <w:r>
        <w:t xml:space="preserve"> </w:t>
      </w:r>
      <w:r>
        <w:t xml:space="preserve">under marginal overlap. A supplementary variance comparison found that the matched-cohort</w:t>
      </w:r>
      <w:r>
        <w:t xml:space="preserve"> </w:t>
      </w:r>
      <w:r>
        <w:t xml:space="preserve">TMLE paired-difference SE is anti-conservative under good overlap</w:t>
      </w:r>
      <w:r>
        <w:t xml:space="preserve"> </w:t>
      </w:r>
      <w:r>
        <w:t xml:space="preserve">(95% CI coverage 0.89, Monte Carlo SE</w:t>
      </w:r>
      <w:r>
        <w:t xml:space="preserve"> </w:t>
      </w:r>
      <w:r>
        <w:t xml:space="preserve">0.03), because it ignores</w:t>
      </w:r>
      <w:r>
        <w:t xml:space="preserve"> </w:t>
      </w:r>
      <w:r>
        <w:t xml:space="preserve">matching-draw variance, the variability from which controls are</w:t>
      </w:r>
      <w:r>
        <w:t xml:space="preserve"> </w:t>
      </w:r>
      <w:r>
        <w:t xml:space="preserve">selected when data are re-sampled. The standard nonparametric</w:t>
      </w:r>
      <w:r>
        <w:t xml:space="preserve"> </w:t>
      </w:r>
      <w:r>
        <w:t xml:space="preserve">bootstrap is not consistent for matching estimators (Abadie and</w:t>
      </w:r>
      <w:r>
        <w:t xml:space="preserve"> </w:t>
      </w:r>
      <w:r>
        <w:t xml:space="preserve">Imbens 2008); a full-pipeline variant that re-runs matching on each</w:t>
      </w:r>
      <w:r>
        <w:t xml:space="preserve"> </w:t>
      </w:r>
      <w:r>
        <w:t xml:space="preserve">resample raised coverage to 0.95 in this</w:t>
      </w:r>
      <w:r>
        <w:t xml:space="preserve"> </w:t>
      </w:r>
      <w:r>
        <w:t xml:space="preserve">comparison, which we report as an empirical finding. The stabilised</w:t>
      </w:r>
      <w:r>
        <w:t xml:space="preserve"> </w:t>
      </w:r>
      <w:r>
        <w:t xml:space="preserve">IPTW IF-SE is moderately conservative under marginal overlap (SE/SD</w:t>
      </w:r>
      <w:r>
        <w:t xml:space="preserve"> </w:t>
      </w:r>
      <w:r>
        <w:t xml:space="preserve">ratio ≈ 1.23) because it treats the</w:t>
      </w:r>
      <w:r>
        <w:t xml:space="preserve"> </w:t>
      </w:r>
      <w:r>
        <w:t xml:space="preserve">propensity score as known, and correcting this requires an</w:t>
      </w:r>
      <w:r>
        <w:t xml:space="preserve"> </w:t>
      </w:r>
      <w:r>
        <w:t xml:space="preserve">M-estimator rather than resampling.</w:t>
      </w:r>
      <w:r>
        <w:t xml:space="preserve"> </w:t>
      </w:r>
      <w:r>
        <w:rPr>
          <w:rStyle w:val="VerbatimChar"/>
        </w:rPr>
        <w:t xml:space="preserve">select_variance_method()</w:t>
      </w:r>
      <w:r>
        <w:t xml:space="preserve"> </w:t>
      </w:r>
      <w:r>
        <w:t xml:space="preserve">uses oracle coverage on</w:t>
      </w:r>
      <w:r>
        <w:t xml:space="preserve"> </w:t>
      </w:r>
      <w:r>
        <w:t xml:space="preserve">plasmode-generated synthetic data to identify, for each</w:t>
      </w:r>
      <w:r>
        <w:t xml:space="preserve"> </w:t>
      </w:r>
      <w:r>
        <w:t xml:space="preserve">estimator-scenario combination, which variance method achieves nominal</w:t>
      </w:r>
      <w:r>
        <w:t xml:space="preserve"> </w:t>
      </w:r>
      <w:r>
        <w:t xml:space="preserve">coverage. When</w:t>
      </w:r>
      <w:r>
        <w:t xml:space="preserve"> </w:t>
      </w:r>
      <w:r>
        <w:t xml:space="preserve">unmeasured confounding was introduced, all estimators were biased</w:t>
      </w:r>
      <w:r>
        <w:t xml:space="preserve"> </w:t>
      </w:r>
      <w:r>
        <w:t xml:space="preserve">in the same direction, and the prespecified pre-outcome decision</w:t>
      </w:r>
      <w:r>
        <w:t xml:space="preserve"> </w:t>
      </w:r>
      <w:r>
        <w:t xml:space="preserve">correctly returned STOP, illustrating that the workflow flags</w:t>
      </w:r>
      <w:r>
        <w:t xml:space="preserve"> </w:t>
      </w:r>
      <w:r>
        <w:t xml:space="preserve">prespecified unmeasured-confounding scenarios under which the</w:t>
      </w:r>
      <w:r>
        <w:t xml:space="preserve"> </w:t>
      </w:r>
      <w:r>
        <w:t xml:space="preserve">planned analysis would no longer meet the locked</w:t>
      </w:r>
      <w:r>
        <w:t xml:space="preserve"> </w:t>
      </w:r>
      <w:r>
        <w:t xml:space="preserve">operating-characteristic thresholds. The data-quality stress test further showed that</w:t>
      </w:r>
      <w:r>
        <w:t xml:space="preserve"> </w:t>
      </w:r>
      <w:r>
        <w:t xml:space="preserve">outcome misclassification and unmeasured confounding produced the</w:t>
      </w:r>
      <w:r>
        <w:t xml:space="preserve"> </w:t>
      </w:r>
      <w:r>
        <w:t xml:space="preserve">largest degradation in estimator performance. In a constructed</w:t>
      </w:r>
      <w:r>
        <w:t xml:space="preserve"> </w:t>
      </w:r>
      <w:r>
        <w:t xml:space="preserve">demonstration with a propensity-score-truncation candidate grid and a</w:t>
      </w:r>
      <w:r>
        <w:t xml:space="preserve"> </w:t>
      </w:r>
      <w:r>
        <w:t xml:space="preserve">prespecified threat sweep that includes a positivity violation, the</w:t>
      </w:r>
      <w:r>
        <w:t xml:space="preserve"> </w:t>
      </w:r>
      <w:r>
        <w:t xml:space="preserve">worst-case selection rule (</w:t>
      </w:r>
      <w:r>
        <w:rPr>
          <w:rStyle w:val="VerbatimChar"/>
        </w:rPr>
        <w:t xml:space="preserve">min_max_rmse</w:t>
      </w:r>
      <w:r>
        <w:t xml:space="preserve">) selected a different</w:t>
      </w:r>
      <w:r>
        <w:t xml:space="preserve"> </w:t>
      </w:r>
      <w:r>
        <w:t xml:space="preserve">candidate from the baseline rule (</w:t>
      </w:r>
      <w:r>
        <w:rPr>
          <w:rStyle w:val="VerbatimChar"/>
        </w:rPr>
        <w:t xml:space="preserve">min_rmse</w:t>
      </w:r>
      <w:r>
        <w:t xml:space="preserve">), which shows that</w:t>
      </w:r>
      <w:r>
        <w:t xml:space="preserve"> </w:t>
      </w:r>
      <w:r>
        <w:t xml:space="preserve">screening candidates against their worst case across data-quality</w:t>
      </w:r>
      <w:r>
        <w:t xml:space="preserve"> </w:t>
      </w:r>
      <w:r>
        <w:t xml:space="preserve">threats can change which estimator is locked.</w:t>
      </w:r>
    </w:p>
    <w:p>
      <w:pPr>
        <w:pStyle w:val="BodyText"/>
      </w:pPr>
      <w:r>
        <w:t xml:space="preserve">We illustrate the workflow on the Rescue.Co Kenya Trauma Registry</w:t>
      </w:r>
      <w:r>
        <w:t xml:space="preserve"> </w:t>
      </w:r>
      <w:r>
        <w:t xml:space="preserve">(n = 1,693; 24.6 % outcome missingness). Six estimators agreed on</w:t>
      </w:r>
      <w:r>
        <w:t xml:space="preserve"> </w:t>
      </w:r>
      <w:r>
        <w:t xml:space="preserve">direction, with risk differences from 0.026 to 0.037 favouring</w:t>
      </w:r>
      <w:r>
        <w:t xml:space="preserve"> </w:t>
      </w:r>
      <w:r>
        <w:t xml:space="preserve">Rescue.Co transport; the prespecified primary TMLE interval crossed</w:t>
      </w:r>
      <w:r>
        <w:t xml:space="preserve"> </w:t>
      </w:r>
      <w:r>
        <w:t xml:space="preserve">zero. cleanTMLE is the software layer of an outcome-blind staged</w:t>
      </w:r>
      <w:r>
        <w:t xml:space="preserve"> </w:t>
      </w:r>
      <w:r>
        <w:t xml:space="preserve">workflow: it does not replace target-trial design, fit-for-purpose</w:t>
      </w:r>
      <w:r>
        <w:t xml:space="preserve"> </w:t>
      </w:r>
      <w:r>
        <w:t xml:space="preserve">data review, validation studies, independent governance, or</w:t>
      </w:r>
      <w:r>
        <w:t xml:space="preserve"> </w:t>
      </w:r>
      <w:r>
        <w:t xml:space="preserve">post-outcome sensitivity analyses. Its contribution is to turn</w:t>
      </w:r>
      <w:r>
        <w:t xml:space="preserve"> </w:t>
      </w:r>
      <w:r>
        <w:t xml:space="preserve">prespecified targeted-learning decisions, outcome-blind estimator</w:t>
      </w:r>
      <w:r>
        <w:t xml:space="preserve"> </w:t>
      </w:r>
      <w:r>
        <w:t xml:space="preserve">selection, and data-quality stress testing into a reproducible</w:t>
      </w:r>
      <w:r>
        <w:t xml:space="preserve"> </w:t>
      </w:r>
      <w:r>
        <w:t xml:space="preserve">record an external reviewer can reconstruct.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targeted maximum likelihood estimation, plasmode</w:t>
      </w:r>
      <w:r>
        <w:t xml:space="preserve"> </w:t>
      </w:r>
      <w:r>
        <w:t xml:space="preserve">simulation, real-world evidence, fit-for-purpose data, outcome-</w:t>
      </w:r>
      <w:r>
        <w:t xml:space="preserve"> </w:t>
      </w:r>
      <w:r>
        <w:t xml:space="preserve">blind analysis, R, statistical analysis plan, regulatory science.</w:t>
      </w:r>
    </w:p>
    <w:bookmarkEnd w:id="20"/>
    <w:bookmarkStart w:id="25" w:name="introduction"/>
    <w:p>
      <w:pPr>
        <w:pStyle w:val="Heading1"/>
      </w:pPr>
      <w:r>
        <w:t xml:space="preserve">1. Introduction</w:t>
      </w:r>
    </w:p>
    <w:bookmarkStart w:id="21" w:name="X2d9055429bcade42d1fa9cad455e8a37eb29cb6"/>
    <w:p>
      <w:pPr>
        <w:pStyle w:val="Heading2"/>
      </w:pPr>
      <w:r>
        <w:t xml:space="preserve">1.1 Prespecification and fit-for-purpose data in RWE</w:t>
      </w:r>
    </w:p>
    <w:p>
      <w:pPr>
        <w:pStyle w:val="FirstParagraph"/>
      </w:pPr>
      <w:r>
        <w:t xml:space="preserve">Outcome blinding and prespecification are governance tools, not</w:t>
      </w:r>
      <w:r>
        <w:t xml:space="preserve"> </w:t>
      </w:r>
      <w:r>
        <w:t xml:space="preserve">substitutes for causal design. In a real-world evidence (RWE) study</w:t>
      </w:r>
      <w:r>
        <w:t xml:space="preserve"> </w:t>
      </w:r>
      <w:r>
        <w:t xml:space="preserve">the analyst still has to define the target trial</w:t>
      </w:r>
      <w:r>
        <w:t xml:space="preserve"> </w:t>
      </w:r>
      <w:r>
        <w:t xml:space="preserve">(M. A. Hernán and Robins 2016; Miguel A. Hernán and Robins 2016)</w:t>
      </w:r>
      <w:r>
        <w:t xml:space="preserve">, specify a statistical</w:t>
      </w:r>
      <w:r>
        <w:t xml:space="preserve"> </w:t>
      </w:r>
      <w:r>
        <w:t xml:space="preserve">estimand consistent with the ICH E9(R1) framework</w:t>
      </w:r>
      <w:r>
        <w:t xml:space="preserve"> </w:t>
      </w:r>
      <w:r>
        <w:t xml:space="preserve">(International Council for Harmonisation 2019)</w:t>
      </w:r>
      <w:r>
        <w:t xml:space="preserve">,</w:t>
      </w:r>
      <w:r>
        <w:t xml:space="preserve"> </w:t>
      </w:r>
      <w:r>
        <w:t xml:space="preserve">justify identification from the available data, and defend the</w:t>
      </w:r>
      <w:r>
        <w:t xml:space="preserve"> </w:t>
      </w:r>
      <w:r>
        <w:t xml:space="preserve">relevance and reliability of the data source for the regulatory or</w:t>
      </w:r>
      <w:r>
        <w:t xml:space="preserve"> </w:t>
      </w:r>
      <w:r>
        <w:t xml:space="preserve">scientific question.</w:t>
      </w:r>
    </w:p>
    <w:p>
      <w:pPr>
        <w:pStyle w:val="BodyText"/>
      </w:pPr>
      <w:r>
        <w:t xml:space="preserve">Regulatory bodies have converged on this list. The FDA RWE</w:t>
      </w:r>
      <w:r>
        <w:t xml:space="preserve"> </w:t>
      </w:r>
      <w:r>
        <w:t xml:space="preserve">framework and its source-specific guidances cover</w:t>
      </w:r>
      <w:r>
        <w:t xml:space="preserve"> </w:t>
      </w:r>
      <w:r>
        <w:t xml:space="preserve">real-world data and evidence</w:t>
      </w:r>
      <w:r>
        <w:t xml:space="preserve"> </w:t>
      </w:r>
      <w:r>
        <w:t xml:space="preserve">(U.S. Food and Drug Administration 2018, 2024a)</w:t>
      </w:r>
      <w:r>
        <w:t xml:space="preserve">,</w:t>
      </w:r>
      <w:r>
        <w:t xml:space="preserve"> </w:t>
      </w:r>
      <w:r>
        <w:t xml:space="preserve">EHR and claims data</w:t>
      </w:r>
      <w:r>
        <w:t xml:space="preserve"> </w:t>
      </w:r>
      <w:r>
        <w:t xml:space="preserve">(U.S. Food and Drug Administration 2024b)</w:t>
      </w:r>
      <w:r>
        <w:t xml:space="preserve">, registries</w:t>
      </w:r>
      <w:r>
        <w:t xml:space="preserve"> </w:t>
      </w:r>
      <w:r>
        <w:t xml:space="preserve">(U.S. Food and Drug Administration 2021)</w:t>
      </w:r>
      <w:r>
        <w:t xml:space="preserve">, and non-interventional studies</w:t>
      </w:r>
      <w:r>
        <w:t xml:space="preserve"> </w:t>
      </w:r>
      <w:r>
        <w:t xml:space="preserve">(U.S. Food and Drug Administration 2024c)</w:t>
      </w:r>
      <w:r>
        <w:t xml:space="preserve">. The EMA materials add registry-based</w:t>
      </w:r>
      <w:r>
        <w:t xml:space="preserve"> </w:t>
      </w:r>
      <w:r>
        <w:t xml:space="preserve">studies</w:t>
      </w:r>
      <w:r>
        <w:t xml:space="preserve"> </w:t>
      </w:r>
      <w:r>
        <w:t xml:space="preserve">(European Medicines Agency 2021)</w:t>
      </w:r>
      <w:r>
        <w:t xml:space="preserve">, a regulator-led RWE guide</w:t>
      </w:r>
      <w:r>
        <w:t xml:space="preserve"> </w:t>
      </w:r>
      <w:r>
        <w:t xml:space="preserve">(European Medicines Agency 2024)</w:t>
      </w:r>
      <w:r>
        <w:t xml:space="preserve">, and an RWD data-quality framework</w:t>
      </w:r>
      <w:r>
        <w:t xml:space="preserve"> </w:t>
      </w:r>
      <w:r>
        <w:t xml:space="preserve">(European Medicines Agency 2026)</w:t>
      </w:r>
      <w:r>
        <w:t xml:space="preserve">. ICH M14 (March 2026) sets harmonised principles</w:t>
      </w:r>
      <w:r>
        <w:t xml:space="preserve"> </w:t>
      </w:r>
      <w:r>
        <w:t xml:space="preserve">for non-interventional studies that use real-world data for safety</w:t>
      </w:r>
      <w:r>
        <w:t xml:space="preserve"> </w:t>
      </w:r>
      <w:r>
        <w:t xml:space="preserve">assessment of medicines</w:t>
      </w:r>
      <w:r>
        <w:t xml:space="preserve"> </w:t>
      </w:r>
      <w:r>
        <w:t xml:space="preserve">(International Council for Harmonisation 2026)</w:t>
      </w:r>
      <w:r>
        <w:t xml:space="preserve">.</w:t>
      </w:r>
    </w:p>
    <w:p>
      <w:pPr>
        <w:pStyle w:val="BodyText"/>
      </w:pPr>
      <w:r>
        <w:t xml:space="preserve">Within this broader workflow, two arguments are typically</w:t>
      </w:r>
      <w:r>
        <w:t xml:space="preserve"> </w:t>
      </w:r>
      <w:r>
        <w:t xml:space="preserve">developed in parallel but reported separately. The</w:t>
      </w:r>
      <w:r>
        <w:t xml:space="preserve"> </w:t>
      </w:r>
      <w:r>
        <w:rPr>
          <w:i/>
          <w:iCs/>
        </w:rPr>
        <w:t xml:space="preserve">estimator-selection</w:t>
      </w:r>
      <w:r>
        <w:t xml:space="preserve"> </w:t>
      </w:r>
      <w:r>
        <w:t xml:space="preserve">argument is checked with outcome-blind</w:t>
      </w:r>
      <w:r>
        <w:t xml:space="preserve"> </w:t>
      </w:r>
      <w:r>
        <w:t xml:space="preserve">plasmode simulation</w:t>
      </w:r>
      <w:r>
        <w:t xml:space="preserve"> </w:t>
      </w:r>
      <w:r>
        <w:t xml:space="preserve">(Franklin et al. 2014; Schuler and Rose 2017; Dang et al. 2023; Gruber, Lee, et al. 2024; Schreck et al. 2024)</w:t>
      </w:r>
      <w:r>
        <w:t xml:space="preserve">. The</w:t>
      </w:r>
      <w:r>
        <w:t xml:space="preserve"> </w:t>
      </w:r>
      <w:r>
        <w:rPr>
          <w:i/>
          <w:iCs/>
        </w:rPr>
        <w:t xml:space="preserve">fit-for-purpose</w:t>
      </w:r>
      <w:r>
        <w:t xml:space="preserve"> </w:t>
      </w:r>
      <w:r>
        <w:t xml:space="preserve">argument is documented qualitatively through</w:t>
      </w:r>
      <w:r>
        <w:t xml:space="preserve"> </w:t>
      </w:r>
      <w:r>
        <w:t xml:space="preserve">templates such as SPIFD2</w:t>
      </w:r>
      <w:r>
        <w:t xml:space="preserve"> </w:t>
      </w:r>
      <w:r>
        <w:t xml:space="preserve">(Gatto, Reynolds, and Campbell 2022; Gatto et al. 2023)</w:t>
      </w:r>
      <w:r>
        <w:t xml:space="preserve"> </w:t>
      </w:r>
      <w:r>
        <w:t xml:space="preserve">or</w:t>
      </w:r>
      <w:r>
        <w:t xml:space="preserve"> </w:t>
      </w:r>
      <w:r>
        <w:t xml:space="preserve">HARPER</w:t>
      </w:r>
      <w:r>
        <w:t xml:space="preserve"> </w:t>
      </w:r>
      <w:r>
        <w:t xml:space="preserve">(Wang, Sreedhara, and Schneeweiss 2023)</w:t>
      </w:r>
      <w:r>
        <w:t xml:space="preserve"> </w:t>
      </w:r>
      <w:r>
        <w:t xml:space="preserve">and through reporting tools such as</w:t>
      </w:r>
      <w:r>
        <w:t xml:space="preserve"> </w:t>
      </w:r>
      <w:r>
        <w:t xml:space="preserve">TARGET</w:t>
      </w:r>
      <w:r>
        <w:t xml:space="preserve"> </w:t>
      </w:r>
      <w:r>
        <w:t xml:space="preserve">(Cashin et al. 2024)</w:t>
      </w:r>
      <w:r>
        <w:t xml:space="preserve"> </w:t>
      </w:r>
      <w:r>
        <w:t xml:space="preserve">and START-RWE</w:t>
      </w:r>
      <w:r>
        <w:t xml:space="preserve"> </w:t>
      </w:r>
      <w:r>
        <w:t xml:space="preserve">(Wang et al. 2021)</w:t>
      </w:r>
      <w:r>
        <w:t xml:space="preserve">.</w:t>
      </w:r>
    </w:p>
    <w:p>
      <w:pPr>
        <w:pStyle w:val="BodyText"/>
      </w:pPr>
      <w:r>
        <w:t xml:space="preserve">These two arguments are connected: a candidate estimator that</w:t>
      </w:r>
      <w:r>
        <w:t xml:space="preserve"> </w:t>
      </w:r>
      <w:r>
        <w:t xml:space="preserve">performs well on a simulation derived from real covariate and</w:t>
      </w:r>
      <w:r>
        <w:t xml:space="preserve"> </w:t>
      </w:r>
      <w:r>
        <w:t xml:space="preserve">treatment distributions may still fail under realistic measurement</w:t>
      </w:r>
      <w:r>
        <w:t xml:space="preserve"> </w:t>
      </w:r>
      <w:r>
        <w:t xml:space="preserve">error, missingness, or unmeasured confounding. The plasmode loop is</w:t>
      </w:r>
      <w:r>
        <w:t xml:space="preserve"> </w:t>
      </w:r>
      <w:r>
        <w:t xml:space="preserve">under the analyst’s control, so it can be extended to ask not only</w:t>
      </w:r>
      <w:r>
        <w:t xml:space="preserve"> </w:t>
      </w:r>
      <w:r>
        <w:t xml:space="preserve">“which candidate has the lowest RMSE under the locked</w:t>
      </w:r>
      <w:r>
        <w:t xml:space="preserve"> </w:t>
      </w:r>
      <w:r>
        <w:t xml:space="preserve">data-generating process?”</w:t>
      </w:r>
      <w:r>
        <w:t xml:space="preserve"> </w:t>
      </w:r>
      <w:r>
        <w:t xml:space="preserve">but also</w:t>
      </w:r>
      <w:r>
        <w:t xml:space="preserve"> </w:t>
      </w:r>
      <w:r>
        <w:t xml:space="preserve">“which candidate maintains</w:t>
      </w:r>
      <w:r>
        <w:t xml:space="preserve"> </w:t>
      </w:r>
      <w:r>
        <w:t xml:space="preserve">acceptable bias, RMSE, and coverage across the plausible range of</w:t>
      </w:r>
      <w:r>
        <w:t xml:space="preserve"> </w:t>
      </w:r>
      <w:r>
        <w:t xml:space="preserve">each threat documented in the fit-for-purpose review?”</w:t>
      </w:r>
      <w:r>
        <w:t xml:space="preserve"> </w:t>
      </w:r>
      <w:r>
        <w:t xml:space="preserve">We refer to</w:t>
      </w:r>
      <w:r>
        <w:t xml:space="preserve"> </w:t>
      </w:r>
      <w:r>
        <w:t xml:space="preserve">this extension as a</w:t>
      </w:r>
      <w:r>
        <w:t xml:space="preserve"> </w:t>
      </w:r>
      <w:r>
        <w:rPr>
          <w:i/>
          <w:iCs/>
        </w:rPr>
        <w:t xml:space="preserve">data-quality (DQ) stress test</w:t>
      </w:r>
      <w:r>
        <w:t xml:space="preserve">. It is a</w:t>
      </w:r>
      <w:r>
        <w:t xml:space="preserve"> </w:t>
      </w:r>
      <w:r>
        <w:t xml:space="preserve">pre-outcome robustness screen rather than a substitute for</w:t>
      </w:r>
      <w:r>
        <w:t xml:space="preserve"> </w:t>
      </w:r>
      <w:r>
        <w:t xml:space="preserve">variable validation or for post-unblinding sensitivity analysis.</w:t>
      </w:r>
      <w:r>
        <w:t xml:space="preserve"> </w:t>
      </w:r>
      <w:r>
        <w:t xml:space="preserve">The workflow does not guarantee that estimator rankings under</w:t>
      </w:r>
      <w:r>
        <w:t xml:space="preserve"> </w:t>
      </w:r>
      <w:r>
        <w:t xml:space="preserve">synthetic outcomes will generalise to the realised outcome</w:t>
      </w:r>
      <w:r>
        <w:t xml:space="preserve"> </w:t>
      </w:r>
      <w:r>
        <w:t xml:space="preserve">process; the conclusions are only as credible as the</w:t>
      </w:r>
      <w:r>
        <w:t xml:space="preserve"> </w:t>
      </w:r>
      <w:r>
        <w:t xml:space="preserve">synthetic-outcome model and the externally justified severity</w:t>
      </w:r>
      <w:r>
        <w:t xml:space="preserve"> </w:t>
      </w:r>
      <w:r>
        <w:t xml:space="preserve">ranges entered into the DQ stress test.</w:t>
      </w:r>
    </w:p>
    <w:p>
      <w:pPr>
        <w:pStyle w:val="BodyText"/>
      </w:pPr>
      <w:r>
        <w:t xml:space="preserve">We use</w:t>
      </w:r>
      <w:r>
        <w:t xml:space="preserve"> </w:t>
      </w:r>
      <w:r>
        <w:t xml:space="preserve">“data-quality stress testing”</w:t>
      </w:r>
      <w:r>
        <w:t xml:space="preserve"> </w:t>
      </w:r>
      <w:r>
        <w:t xml:space="preserve">in a restricted sense: the</w:t>
      </w:r>
      <w:r>
        <w:t xml:space="preserve"> </w:t>
      </w:r>
      <w:r>
        <w:t xml:space="preserve">procedure does not assess data provenance, phenotype validity,</w:t>
      </w:r>
      <w:r>
        <w:t xml:space="preserve"> </w:t>
      </w:r>
      <w:r>
        <w:t xml:space="preserve">linkage accuracy, representativeness, or regulatory acceptability,</w:t>
      </w:r>
      <w:r>
        <w:t xml:space="preserve"> </w:t>
      </w:r>
      <w:r>
        <w:t xml:space="preserve">which remain study-level evaluations. Once investigators have</w:t>
      </w:r>
      <w:r>
        <w:t xml:space="preserve"> </w:t>
      </w:r>
      <w:r>
        <w:t xml:space="preserve">specified plausible threats and severity ranges from external</w:t>
      </w:r>
      <w:r>
        <w:t xml:space="preserve"> </w:t>
      </w:r>
      <w:r>
        <w:t xml:space="preserve">validation studies, data profiling, or expert elicitation, the</w:t>
      </w:r>
      <w:r>
        <w:t xml:space="preserve"> </w:t>
      </w:r>
      <w:r>
        <w:t xml:space="preserve">package evaluates how candidate estimators behave under those</w:t>
      </w:r>
      <w:r>
        <w:t xml:space="preserve"> </w:t>
      </w:r>
      <w:r>
        <w:t xml:space="preserve">prespecified perturbations before the observed treatment-outcome</w:t>
      </w:r>
      <w:r>
        <w:t xml:space="preserve"> </w:t>
      </w:r>
      <w:r>
        <w:t xml:space="preserve">association is examined. The central contribution is a</w:t>
      </w:r>
      <w:r>
        <w:t xml:space="preserve"> </w:t>
      </w:r>
      <w:r>
        <w:t xml:space="preserve">quantitative bridge between fit-for-purpose review and estimator</w:t>
      </w:r>
      <w:r>
        <w:t xml:space="preserve"> </w:t>
      </w:r>
      <w:r>
        <w:t xml:space="preserve">selection. In a conventional workflow, data-fitness concerns are</w:t>
      </w:r>
      <w:r>
        <w:t xml:space="preserve"> </w:t>
      </w:r>
      <w:r>
        <w:t xml:space="preserve">documented qualitatively, while estimator choice is justified</w:t>
      </w:r>
      <w:r>
        <w:t xml:space="preserve"> </w:t>
      </w:r>
      <w:r>
        <w:t xml:space="preserve">separately through modeling preferences or diagnostics. cleanTMLE</w:t>
      </w:r>
      <w:r>
        <w:t xml:space="preserve"> </w:t>
      </w:r>
      <w:r>
        <w:t xml:space="preserve">uses the same outcome-blind plasmode loop used for candidate</w:t>
      </w:r>
      <w:r>
        <w:t xml:space="preserve"> </w:t>
      </w:r>
      <w:r>
        <w:t xml:space="preserve">selection to evaluate whether prespecified TMLE candidates remain</w:t>
      </w:r>
      <w:r>
        <w:t xml:space="preserve"> </w:t>
      </w:r>
      <w:r>
        <w:t xml:space="preserve">acceptable under data-quality threats derived from the</w:t>
      </w:r>
      <w:r>
        <w:t xml:space="preserve"> </w:t>
      </w:r>
      <w:r>
        <w:t xml:space="preserve">fit-for-purpose review.</w:t>
      </w:r>
    </w:p>
    <w:p>
      <w:pPr>
        <w:pStyle w:val="BodyText"/>
      </w:pPr>
      <w:r>
        <w:t xml:space="preserve">In this manuscript,</w:t>
      </w:r>
      <w:r>
        <w:t xml:space="preserve"> </w:t>
      </w:r>
      <w:r>
        <w:rPr>
          <w:i/>
          <w:iCs/>
        </w:rPr>
        <w:t xml:space="preserve">outcome-blind</w:t>
      </w:r>
      <w:r>
        <w:t xml:space="preserve"> </w:t>
      </w:r>
      <w:r>
        <w:t xml:space="preserve">means that decisions about</w:t>
      </w:r>
      <w:r>
        <w:t xml:space="preserve"> </w:t>
      </w:r>
      <w:r>
        <w:t xml:space="preserve">cohort construction, candidate estimators, simulation scenarios,</w:t>
      </w:r>
      <w:r>
        <w:t xml:space="preserve"> </w:t>
      </w:r>
      <w:r>
        <w:t xml:space="preserve">decision thresholds, and primary-estimator selection are made</w:t>
      </w:r>
      <w:r>
        <w:t xml:space="preserve"> </w:t>
      </w:r>
      <w:r>
        <w:t xml:space="preserve">without inspecting the observed treatment-outcome association.</w:t>
      </w:r>
      <w:r>
        <w:t xml:space="preserve"> </w:t>
      </w:r>
      <w:r>
        <w:t xml:space="preserve">Analysts may use baseline covariates, treatment assignment,</w:t>
      </w:r>
      <w:r>
        <w:t xml:space="preserve"> </w:t>
      </w:r>
      <w:r>
        <w:t xml:space="preserve">missingness indicators, and synthetic outcomes generated for</w:t>
      </w:r>
      <w:r>
        <w:t xml:space="preserve"> </w:t>
      </w:r>
      <w:r>
        <w:t xml:space="preserve">plasmode simulations; the marginal mean of the observed outcome on</w:t>
      </w:r>
      <w:r>
        <w:t xml:space="preserve"> </w:t>
      </w:r>
      <w:r>
        <w:t xml:space="preserve">covariates is also used internally to fit the plasmode generator.</w:t>
      </w:r>
      <w:r>
        <w:t xml:space="preserve"> </w:t>
      </w:r>
      <w:r>
        <w:t xml:space="preserve">The observed treatment-outcome relationship is not used for</w:t>
      </w:r>
      <w:r>
        <w:t xml:space="preserve"> </w:t>
      </w:r>
      <w:r>
        <w:t xml:space="preserve">estimator selection or design revision before the pre-outcome</w:t>
      </w:r>
      <w:r>
        <w:t xml:space="preserve"> </w:t>
      </w:r>
      <w:r>
        <w:t xml:space="preserve">decision point.</w:t>
      </w:r>
    </w:p>
    <w:p>
      <w:pPr>
        <w:pStyle w:val="BodyText"/>
      </w:pPr>
      <w:r>
        <w:t xml:space="preserve">Standard pre-outcome review often separates three activities:</w:t>
      </w:r>
      <w:r>
        <w:t xml:space="preserve"> </w:t>
      </w:r>
      <w:r>
        <w:t xml:space="preserve">target-trial / protocol design, qualitative fit-for-purpose data</w:t>
      </w:r>
      <w:r>
        <w:t xml:space="preserve"> </w:t>
      </w:r>
      <w:r>
        <w:t xml:space="preserve">review, and estimator selection. Standard plasmode simulation can</w:t>
      </w:r>
      <w:r>
        <w:t xml:space="preserve"> </w:t>
      </w:r>
      <w:r>
        <w:t xml:space="preserve">compare estimators before outcome access, but it usually evaluates</w:t>
      </w:r>
      <w:r>
        <w:t xml:space="preserve"> </w:t>
      </w:r>
      <w:r>
        <w:t xml:space="preserve">performance under one locked synthetic outcome mechanism. cleanTMLE</w:t>
      </w:r>
      <w:r>
        <w:t xml:space="preserve"> </w:t>
      </w:r>
      <w:r>
        <w:t xml:space="preserve">extends that loop by stress-testing the selected estimator across</w:t>
      </w:r>
      <w:r>
        <w:t xml:space="preserve"> </w:t>
      </w:r>
      <w:r>
        <w:t xml:space="preserve">prespecified data-quality threats derived from the fit-for-purpose</w:t>
      </w:r>
      <w:r>
        <w:t xml:space="preserve"> </w:t>
      </w:r>
      <w:r>
        <w:t xml:space="preserve">review, creating a quantitative bridge between the qualitative</w:t>
      </w:r>
      <w:r>
        <w:t xml:space="preserve"> </w:t>
      </w:r>
      <w:r>
        <w:t xml:space="preserve">data-fitness argument and the estimator-selection argument.</w:t>
      </w:r>
    </w:p>
    <w:bookmarkEnd w:id="21"/>
    <w:bookmarkStart w:id="22" w:name="X5c4e3544c882e58403c1eebacd36445ecf9c780"/>
    <w:p>
      <w:pPr>
        <w:pStyle w:val="Heading2"/>
      </w:pPr>
      <w:r>
        <w:t xml:space="preserve">1.2 What the package adds, and what it does not</w:t>
      </w:r>
    </w:p>
    <w:p>
      <w:pPr>
        <w:pStyle w:val="FirstParagraph"/>
      </w:pPr>
      <w:r>
        <w:t xml:space="preserve">cleanTMLE is an R</w:t>
      </w:r>
      <w:r>
        <w:t xml:space="preserve"> </w:t>
      </w:r>
      <w:r>
        <w:t xml:space="preserve">(R Core Team 2024)</w:t>
      </w:r>
      <w:r>
        <w:t xml:space="preserve"> </w:t>
      </w:r>
      <w:r>
        <w:t xml:space="preserve">package that operationalises the</w:t>
      </w:r>
      <w:r>
        <w:t xml:space="preserve"> </w:t>
      </w:r>
      <w:r>
        <w:t xml:space="preserve">estimator-selection and stress-testing steps of a staged analysis</w:t>
      </w:r>
      <w:r>
        <w:t xml:space="preserve"> </w:t>
      </w:r>
      <w:r>
        <w:t xml:space="preserve">within the causal roadmap</w:t>
      </w:r>
      <w:r>
        <w:t xml:space="preserve"> </w:t>
      </w:r>
      <w:r>
        <w:t xml:space="preserve">(Dang et al. 2023; Petersen and Laan 2014; Gruber, Lee, et al. 2024)</w:t>
      </w:r>
      <w:r>
        <w:t xml:space="preserve">. Its two methodological contributions are an</w:t>
      </w:r>
      <w:r>
        <w:t xml:space="preserve"> </w:t>
      </w:r>
      <w:r>
        <w:t xml:space="preserve">outcome-blind plasmode candidate selector and the data-quality stress</w:t>
      </w:r>
      <w:r>
        <w:t xml:space="preserve"> </w:t>
      </w:r>
      <w:r>
        <w:t xml:space="preserve">test, which extends that selector to score each candidate against</w:t>
      </w:r>
      <w:r>
        <w:t xml:space="preserve"> </w:t>
      </w:r>
      <w:r>
        <w:t xml:space="preserve">prespecified data-quality threats on the same bias, RMSE, and coverage</w:t>
      </w:r>
      <w:r>
        <w:t xml:space="preserve"> </w:t>
      </w:r>
      <w:r>
        <w:t xml:space="preserve">scale (see</w:t>
      </w:r>
      <w:r>
        <w:t xml:space="preserve"> </w:t>
      </w:r>
      <w:hyperlink w:anchor="sec-dq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for the full DQ framework;</w:t>
      </w:r>
      <w:r>
        <w:t xml:space="preserve"> </w:t>
      </w:r>
      <w:hyperlink w:anchor="sec-divergence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evidence that the worst-case selection rule can change the locked</w:t>
      </w:r>
      <w:r>
        <w:t xml:space="preserve"> </w:t>
      </w:r>
      <w:r>
        <w:t xml:space="preserve">estimator).</w:t>
      </w:r>
    </w:p>
    <w:p>
      <w:pPr>
        <w:pStyle w:val="BodyText"/>
      </w:pPr>
      <w:r>
        <w:t xml:space="preserve">Around these statistical components the package adds an optional</w:t>
      </w:r>
      <w:r>
        <w:t xml:space="preserve"> </w:t>
      </w:r>
      <w:r>
        <w:t xml:space="preserve">transparency layer: an analysis-lock object, a serialisable audit trail</w:t>
      </w:r>
      <w:r>
        <w:t xml:space="preserve"> </w:t>
      </w:r>
      <w:r>
        <w:t xml:space="preserve">and decision log in the sense of</w:t>
      </w:r>
      <w:r>
        <w:t xml:space="preserve"> </w:t>
      </w:r>
      <w:r>
        <w:t xml:space="preserve">Muntner et al. (2024)</w:t>
      </w:r>
      <w:r>
        <w:t xml:space="preserve">, and a pre-outcome</w:t>
      </w:r>
      <w:r>
        <w:t xml:space="preserve"> </w:t>
      </w:r>
      <w:r>
        <w:t xml:space="preserve">decision rule that applies the three review-team recommendations (GO,</w:t>
      </w:r>
      <w:r>
        <w:t xml:space="preserve"> </w:t>
      </w:r>
      <w:r>
        <w:t xml:space="preserve">FLAG, STOP) by withholding primary-analysis functions until the</w:t>
      </w:r>
      <w:r>
        <w:t xml:space="preserve"> </w:t>
      </w:r>
      <w:r>
        <w:t xml:space="preserve">prespecified checkpoints are recorded. This software arrangement sits</w:t>
      </w:r>
      <w:r>
        <w:t xml:space="preserve"> </w:t>
      </w:r>
      <w:r>
        <w:t xml:space="preserve">inside, rather than substitutes for, the personnel-based governance a</w:t>
      </w:r>
      <w:r>
        <w:t xml:space="preserve"> </w:t>
      </w:r>
      <w:r>
        <w:t xml:space="preserve">clean room requires, such as role separation and independent review</w:t>
      </w:r>
      <w:r>
        <w:t xml:space="preserve"> </w:t>
      </w:r>
      <w:r>
        <w:t xml:space="preserve">(</w:t>
      </w:r>
      <w:hyperlink w:anchor="sec-discussion">
        <w:r>
          <w:rPr>
            <w:rStyle w:val="Hyperlink"/>
          </w:rPr>
          <w:t xml:space="preserve">Section 13</w:t>
        </w:r>
      </w:hyperlink>
      <w:r>
        <w:t xml:space="preserve">).</w:t>
      </w:r>
      <w:r>
        <w:t xml:space="preserve"> </w:t>
      </w:r>
      <w:hyperlink w:anchor="sec-roadmap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situates the package inside the causal</w:t>
      </w:r>
      <w:r>
        <w:t xml:space="preserve"> </w:t>
      </w:r>
      <w:r>
        <w:t xml:space="preserve">roadmap.</w:t>
      </w:r>
    </w:p>
    <w:p>
      <w:pPr>
        <w:pStyle w:val="BodyText"/>
      </w:pPr>
      <w:r>
        <w:t xml:space="preserve">The scope of this paper is binary point-treatment studies with a</w:t>
      </w:r>
      <w:r>
        <w:t xml:space="preserve"> </w:t>
      </w:r>
      <w:r>
        <w:t xml:space="preserve">marginal risk-difference estimand; limitations on estimand coverage are</w:t>
      </w:r>
      <w:r>
        <w:t xml:space="preserve"> </w:t>
      </w:r>
      <w:r>
        <w:t xml:space="preserve">listed in</w:t>
      </w:r>
      <w:r>
        <w:t xml:space="preserve"> </w:t>
      </w:r>
      <w:hyperlink w:anchor="sec-discussion">
        <w:r>
          <w:rPr>
            <w:rStyle w:val="Hyperlink"/>
          </w:rPr>
          <w:t xml:space="preserve">Section 13</w:t>
        </w:r>
      </w:hyperlink>
      <w:r>
        <w:t xml:space="preserve">. This paper documents version 0.1.5 of the</w:t>
      </w:r>
      <w:r>
        <w:t xml:space="preserve"> </w:t>
      </w:r>
      <w:r>
        <w:t xml:space="preserve">package; case-study estimates in</w:t>
      </w:r>
      <w:r>
        <w:t xml:space="preserve"> </w:t>
      </w:r>
      <w:hyperlink w:anchor="sec-casestudy">
        <w:r>
          <w:rPr>
            <w:rStyle w:val="Hyperlink"/>
          </w:rPr>
          <w:t xml:space="preserve">Section 12</w:t>
        </w:r>
      </w:hyperlink>
      <w:r>
        <w:t xml:space="preserve"> </w:t>
      </w:r>
      <w:r>
        <w:t xml:space="preserve">were produced under</w:t>
      </w:r>
      <w:r>
        <w:t xml:space="preserve"> </w:t>
      </w:r>
      <w:r>
        <w:t xml:space="preserve">0.1.1 and are numerically unchanged under the backward-compatible</w:t>
      </w:r>
      <w:r>
        <w:t xml:space="preserve"> </w:t>
      </w:r>
      <w:r>
        <w:t xml:space="preserve">0.1.5 API.</w:t>
      </w:r>
    </w:p>
    <w:bookmarkEnd w:id="22"/>
    <w:bookmarkStart w:id="23" w:name="what-the-paper-contributes"/>
    <w:p>
      <w:pPr>
        <w:pStyle w:val="Heading2"/>
      </w:pPr>
      <w:r>
        <w:t xml:space="preserve">1.3 What the paper contributes</w:t>
      </w:r>
    </w:p>
    <w:p>
      <w:pPr>
        <w:pStyle w:val="FirstParagraph"/>
      </w:pPr>
      <w:r>
        <w:t xml:space="preserve">The contribution is a single, prespecified, outcome-blind procedure that</w:t>
      </w:r>
      <w:r>
        <w:t xml:space="preserve"> </w:t>
      </w:r>
      <w:r>
        <w:t xml:space="preserve">ties qualitative fit-for-purpose threats to quantitative estimator</w:t>
      </w:r>
      <w:r>
        <w:t xml:space="preserve"> </w:t>
      </w:r>
      <w:r>
        <w:t xml:space="preserve">selection on one decision scale, together with a reproducible software</w:t>
      </w:r>
      <w:r>
        <w:t xml:space="preserve"> </w:t>
      </w:r>
      <w:r>
        <w:t xml:space="preserve">implementation. We extend the outcome-blind plasmode loop</w:t>
      </w:r>
      <w:r>
        <w:t xml:space="preserve"> </w:t>
      </w:r>
      <w:r>
        <w:t xml:space="preserve">(Dang et al. 2023; Gruber, Lee, et al. 2024; Schreck et al. 2024)</w:t>
      </w:r>
      <w:r>
        <w:t xml:space="preserve"> </w:t>
      </w:r>
      <w:r>
        <w:t xml:space="preserve">from</w:t>
      </w:r>
      <w:r>
        <w:t xml:space="preserve"> </w:t>
      </w:r>
      <w:r>
        <w:t xml:space="preserve">candidate-estimator selection to estimator robustness screening under</w:t>
      </w:r>
      <w:r>
        <w:t xml:space="preserve"> </w:t>
      </w:r>
      <w:r>
        <w:t xml:space="preserve">prespecified threat ranges, and we characterise the screen’s operating</w:t>
      </w:r>
      <w:r>
        <w:t xml:space="preserve"> </w:t>
      </w:r>
      <w:r>
        <w:t xml:space="preserve">characteristics as a decision rule (</w:t>
      </w:r>
      <w:hyperlink w:anchor="sec-gate-oc">
        <w:r>
          <w:rPr>
            <w:rStyle w:val="Hyperlink"/>
          </w:rPr>
          <w:t xml:space="preserve">Section 11</w:t>
        </w:r>
      </w:hyperlink>
      <w:r>
        <w:t xml:space="preserve">).</w:t>
      </w:r>
    </w:p>
    <w:p>
      <w:pPr>
        <w:pStyle w:val="BodyText"/>
      </w:pPr>
      <w:r>
        <w:t xml:space="preserve">FIORD</w:t>
      </w:r>
      <w:r>
        <w:t xml:space="preserve"> </w:t>
      </w:r>
      <w:r>
        <w:t xml:space="preserve">(Nance et al. 2026; Kent 2026)</w:t>
      </w:r>
      <w:r>
        <w:t xml:space="preserve"> </w:t>
      </w:r>
      <w:r>
        <w:t xml:space="preserve">supplies the outcome-blind</w:t>
      </w:r>
      <w:r>
        <w:t xml:space="preserve"> </w:t>
      </w:r>
      <w:r>
        <w:t xml:space="preserve">candidate-evaluation loop and the two-stage selector. This paper</w:t>
      </w:r>
      <w:r>
        <w:t xml:space="preserve"> </w:t>
      </w:r>
      <w:r>
        <w:t xml:space="preserve">contributes the software implementation of that loop, the data-quality</w:t>
      </w:r>
      <w:r>
        <w:t xml:space="preserve"> </w:t>
      </w:r>
      <w:r>
        <w:t xml:space="preserve">stress-test extension, and the lock, audit, and pre-outcome-decision</w:t>
      </w:r>
      <w:r>
        <w:t xml:space="preserve"> </w:t>
      </w:r>
      <w:r>
        <w:t xml:space="preserve">record. We hold to this division of labour throughout.</w:t>
      </w:r>
    </w:p>
    <w:p>
      <w:pPr>
        <w:pStyle w:val="BodyText"/>
      </w:pPr>
      <w:r>
        <w:t xml:space="preserve">The screen is a quantitative supplement to fit-for-purpose review</w:t>
      </w:r>
      <w:r>
        <w:t xml:space="preserve"> </w:t>
      </w:r>
      <w:r>
        <w:t xml:space="preserve">(</w:t>
      </w:r>
      <w:hyperlink w:anchor="sec-bridge">
        <w:r>
          <w:rPr>
            <w:rStyle w:val="Hyperlink"/>
          </w:rPr>
          <w:t xml:space="preserve">Section 7</w:t>
        </w:r>
      </w:hyperlink>
      <w:r>
        <w:t xml:space="preserve">); what passing it does and does not establish is stated in</w:t>
      </w:r>
      <w:r>
        <w:t xml:space="preserve"> </w:t>
      </w:r>
      <w:hyperlink w:anchor="sec-guarantees">
        <w:r>
          <w:rPr>
            <w:rStyle w:val="Hyperlink"/>
          </w:rPr>
          <w:t xml:space="preserve">Section 7.4</w:t>
        </w:r>
      </w:hyperlink>
      <w:r>
        <w:t xml:space="preserve">. The implementation records the SHA-256-fingerprinted</w:t>
      </w:r>
      <w:r>
        <w:t xml:space="preserve"> </w:t>
      </w:r>
      <w:r>
        <w:t xml:space="preserve">analysis lock, the audit trail, the decision log, and the pre-outcome</w:t>
      </w:r>
      <w:r>
        <w:t xml:space="preserve"> </w:t>
      </w:r>
      <w:r>
        <w:t xml:space="preserve">decision, so the screen and the locked primary analysis share a single</w:t>
      </w:r>
      <w:r>
        <w:t xml:space="preserve"> </w:t>
      </w:r>
      <w:r>
        <w:t xml:space="preserve">reproducible record.</w:t>
      </w:r>
    </w:p>
    <w:p>
      <w:pPr>
        <w:pStyle w:val="BodyText"/>
      </w:pPr>
      <w:r>
        <w:t xml:space="preserve">For an applied real-world evidence team the operational payoff is</w:t>
      </w:r>
      <w:r>
        <w:t xml:space="preserve"> </w:t>
      </w:r>
      <w:r>
        <w:t xml:space="preserve">concrete. Prespecifying the estimand, the candidate estimators, the</w:t>
      </w:r>
      <w:r>
        <w:t xml:space="preserve"> </w:t>
      </w:r>
      <w:r>
        <w:t xml:space="preserve">learner libraries, and the decision thresholds inside a fingerprinted</w:t>
      </w:r>
      <w:r>
        <w:t xml:space="preserve"> </w:t>
      </w:r>
      <w:r>
        <w:t xml:space="preserve">lock, and recording every pre-outcome diagnostic in an exportable audit</w:t>
      </w:r>
      <w:r>
        <w:t xml:space="preserve"> </w:t>
      </w:r>
      <w:r>
        <w:t xml:space="preserve">trail, gives a reviewer a record that can be reconstructed without</w:t>
      </w:r>
      <w:r>
        <w:t xml:space="preserve"> </w:t>
      </w:r>
      <w:r>
        <w:t xml:space="preserve">relying on the analyst’s recollection of which choice was made when.</w:t>
      </w:r>
      <w:r>
        <w:t xml:space="preserve"> </w:t>
      </w:r>
      <w:r>
        <w:t xml:space="preserve">This addresses a recurring concern in real-world evidence submissions,</w:t>
      </w:r>
      <w:r>
        <w:t xml:space="preserve"> </w:t>
      </w:r>
      <w:r>
        <w:t xml:space="preserve">that analytic choices may have been shaped by the observed</w:t>
      </w:r>
      <w:r>
        <w:t xml:space="preserve"> </w:t>
      </w:r>
      <w:r>
        <w:t xml:space="preserve">treatment-outcome association</w:t>
      </w:r>
      <w:r>
        <w:t xml:space="preserve"> </w:t>
      </w:r>
      <w:r>
        <w:t xml:space="preserve">(Muntner et al. 2024)</w:t>
      </w:r>
      <w:r>
        <w:t xml:space="preserve">. The same record</w:t>
      </w:r>
      <w:r>
        <w:t xml:space="preserve"> </w:t>
      </w:r>
      <w:r>
        <w:t xml:space="preserve">reduces post-hoc disputes over truncation, learner library, and cohort</w:t>
      </w:r>
      <w:r>
        <w:t xml:space="preserve"> </w:t>
      </w:r>
      <w:r>
        <w:t xml:space="preserve">decisions, because each is timestamped before the outcome is read. The</w:t>
      </w:r>
      <w:r>
        <w:t xml:space="preserve"> </w:t>
      </w:r>
      <w:r>
        <w:t xml:space="preserve">cost is the discipline of fixing these choices in advance and the</w:t>
      </w:r>
      <w:r>
        <w:t xml:space="preserve"> </w:t>
      </w:r>
      <w:r>
        <w:t xml:space="preserve">compute time of the plasmode and data-quality runs, both of which fit</w:t>
      </w:r>
      <w:r>
        <w:t xml:space="preserve"> </w:t>
      </w:r>
      <w:r>
        <w:t xml:space="preserve">inside a conventional statistical-analysis-plan timeline.</w:t>
      </w:r>
    </w:p>
    <w:p>
      <w:pPr>
        <w:pStyle w:val="BodyText"/>
      </w:pPr>
      <w:r>
        <w:t xml:space="preserve">The practical consequence is visible when the same fitted estimators are</w:t>
      </w:r>
      <w:r>
        <w:t xml:space="preserve"> </w:t>
      </w:r>
      <w:r>
        <w:t xml:space="preserve">read under a conventional pipeline and under the staged workflow</w:t>
      </w:r>
      <w:r>
        <w:t xml:space="preserve"> </w:t>
      </w:r>
      <w:r>
        <w:t xml:space="preserve">(</w:t>
      </w:r>
      <w:hyperlink w:anchor="tbl-workflow-contrast">
        <w:r>
          <w:rPr>
            <w:rStyle w:val="Hyperlink"/>
          </w:rPr>
          <w:t xml:space="preserve">Table 5</w:t>
        </w:r>
      </w:hyperlink>
      <w:r>
        <w:t xml:space="preserve">). Under good overlap the two agree. Under</w:t>
      </w:r>
      <w:r>
        <w:t xml:space="preserve"> </w:t>
      </w:r>
      <w:r>
        <w:t xml:space="preserve">marginal overlap the workflow flags the IPTW variance calibration before</w:t>
      </w:r>
      <w:r>
        <w:t xml:space="preserve"> </w:t>
      </w:r>
      <w:r>
        <w:t xml:space="preserve">unblinding, where the conventional pipeline relies on a reviewer to</w:t>
      </w:r>
      <w:r>
        <w:t xml:space="preserve"> </w:t>
      </w:r>
      <w:r>
        <w:t xml:space="preserve">notice it. Under unmeasured confounding of a prespecified strength the</w:t>
      </w:r>
      <w:r>
        <w:t xml:space="preserve"> </w:t>
      </w:r>
      <w:r>
        <w:t xml:space="preserve">staged decision rule returns STOP and the locked primary analysis does</w:t>
      </w:r>
      <w:r>
        <w:t xml:space="preserve"> </w:t>
      </w:r>
      <w:r>
        <w:t xml:space="preserve">not run, whereas the conventional pipeline reports a biased non-null</w:t>
      </w:r>
      <w:r>
        <w:t xml:space="preserve"> </w:t>
      </w:r>
      <w:r>
        <w:t xml:space="preserve">estimate (mean bias 0.007) that would be published. The fits are</w:t>
      </w:r>
      <w:r>
        <w:t xml:space="preserve"> </w:t>
      </w:r>
      <w:r>
        <w:t xml:space="preserve">identical under both pipelines; the difference is the prespecified</w:t>
      </w:r>
      <w:r>
        <w:t xml:space="preserve"> </w:t>
      </w:r>
      <w:r>
        <w:t xml:space="preserve">decision applied before the outcome is read.</w:t>
      </w:r>
    </w:p>
    <w:bookmarkEnd w:id="23"/>
    <w:bookmarkStart w:id="24" w:name="Xf8398cd67a288fbb13e53a8d1c35308a20e37cd"/>
    <w:p>
      <w:pPr>
        <w:pStyle w:val="Heading2"/>
      </w:pPr>
      <w:r>
        <w:t xml:space="preserve">1.4 Why targeted learning for an outcome-blind workflow</w:t>
      </w:r>
    </w:p>
    <w:p>
      <w:pPr>
        <w:pStyle w:val="FirstParagraph"/>
      </w:pPr>
      <w:r>
        <w:t xml:space="preserve">An outcome-blind workflow fixes the estimator before the</w:t>
      </w:r>
      <w:r>
        <w:t xml:space="preserve"> </w:t>
      </w:r>
      <w:r>
        <w:t xml:space="preserve">treatment-outcome association is read, so the estimator must have a target</w:t>
      </w:r>
      <w:r>
        <w:t xml:space="preserve"> </w:t>
      </w:r>
      <w:r>
        <w:t xml:space="preserve">that is declared in advance and that does not depend on how the nuisance</w:t>
      </w:r>
      <w:r>
        <w:t xml:space="preserve"> </w:t>
      </w:r>
      <w:r>
        <w:t xml:space="preserve">models are fit. Targeted maximum likelihood estimation has this structure.</w:t>
      </w:r>
      <w:r>
        <w:t xml:space="preserve"> </w:t>
      </w:r>
      <w:r>
        <w:t xml:space="preserve">The target parameter, here the marginal risk difference, is specified before</w:t>
      </w:r>
      <w:r>
        <w:t xml:space="preserve"> </w:t>
      </w:r>
      <w:r>
        <w:t xml:space="preserve">estimation, and the propensity-score and outcome models are nuisance fits</w:t>
      </w:r>
      <w:r>
        <w:t xml:space="preserve"> </w:t>
      </w:r>
      <w:r>
        <w:t xml:space="preserve">that can be learned by flexible, data-adaptive methods without changing the</w:t>
      </w:r>
      <w:r>
        <w:t xml:space="preserve"> </w:t>
      </w:r>
      <w:r>
        <w:t xml:space="preserve">target. The targeting step then removes the plug-in bias of the initial</w:t>
      </w:r>
      <w:r>
        <w:t xml:space="preserve"> </w:t>
      </w:r>
      <w:r>
        <w:t xml:space="preserve">outcome fit using the propensity score, so the bias of the final estimator</w:t>
      </w:r>
      <w:r>
        <w:t xml:space="preserve"> </w:t>
      </w:r>
      <w:r>
        <w:t xml:space="preserve">does not depend on the quality of any single nuisance model in the way a</w:t>
      </w:r>
      <w:r>
        <w:t xml:space="preserve"> </w:t>
      </w:r>
      <w:r>
        <w:t xml:space="preserve">plug-in or single-model estimator does. The candidate estimators are</w:t>
      </w:r>
      <w:r>
        <w:t xml:space="preserve"> </w:t>
      </w:r>
      <w:r>
        <w:t xml:space="preserve">enumerable, which is what makes outcome-blind selection among them feasible:</w:t>
      </w:r>
      <w:r>
        <w:t xml:space="preserve"> </w:t>
      </w:r>
      <w:r>
        <w:t xml:space="preserve">each candidate is a fixed choice of nuisance libraries, truncation, and</w:t>
      </w:r>
      <w:r>
        <w:t xml:space="preserve"> </w:t>
      </w:r>
      <w:r>
        <w:t xml:space="preserve">cross-fitting, and the candidates can be ranked on synthetic data before the</w:t>
      </w:r>
      <w:r>
        <w:t xml:space="preserve"> </w:t>
      </w:r>
      <w:r>
        <w:t xml:space="preserve">outcome is unblinded. A logistic outcome regression or an inverse-probability</w:t>
      </w:r>
      <w:r>
        <w:t xml:space="preserve"> </w:t>
      </w:r>
      <w:r>
        <w:t xml:space="preserve">weight does not separate the target from the model in this way, which is why</w:t>
      </w:r>
      <w:r>
        <w:t xml:space="preserve"> </w:t>
      </w:r>
      <w:r>
        <w:t xml:space="preserve">the workflow is built on targeted learning.</w:t>
      </w:r>
    </w:p>
    <w:p>
      <w:pPr>
        <w:pStyle w:val="BodyText"/>
      </w:pPr>
      <w:r>
        <w:t xml:space="preserve">The next section (</w:t>
      </w:r>
      <w:hyperlink w:anchor="sec-roadmap">
        <w:r>
          <w:rPr>
            <w:rStyle w:val="Hyperlink"/>
          </w:rPr>
          <w:t xml:space="preserve">Section 2</w:t>
        </w:r>
      </w:hyperlink>
      <w:r>
        <w:t xml:space="preserve">) places these contributions inside the causal</w:t>
      </w:r>
      <w:r>
        <w:t xml:space="preserve"> </w:t>
      </w:r>
      <w:r>
        <w:t xml:space="preserve">roadmap, and subsequent sections follow that roadmap order.</w:t>
      </w:r>
    </w:p>
    <w:bookmarkEnd w:id="24"/>
    <w:bookmarkEnd w:id="25"/>
    <w:bookmarkStart w:id="26" w:name="sec-roadmap"/>
    <w:p>
      <w:pPr>
        <w:pStyle w:val="Heading1"/>
      </w:pPr>
      <w:r>
        <w:t xml:space="preserve">2. The causal roadmap and the role of cleanTMLE</w:t>
      </w:r>
    </w:p>
    <w:p>
      <w:pPr>
        <w:pStyle w:val="FirstParagraph"/>
      </w:pPr>
      <w:r>
        <w:t xml:space="preserve">cleanTMLE is designed to encourage the analyst to follow the causal</w:t>
      </w:r>
      <w:r>
        <w:t xml:space="preserve"> </w:t>
      </w:r>
      <w:r>
        <w:t xml:space="preserve">roadmap of</w:t>
      </w:r>
      <w:r>
        <w:t xml:space="preserve"> </w:t>
      </w:r>
      <w:r>
        <w:t xml:space="preserve">Petersen and Laan (2014)</w:t>
      </w:r>
      <w:r>
        <w:t xml:space="preserve"> </w:t>
      </w:r>
      <w:r>
        <w:t xml:space="preserve">and</w:t>
      </w:r>
      <w:r>
        <w:t xml:space="preserve"> </w:t>
      </w:r>
      <w:r>
        <w:t xml:space="preserve">Dang et al. (2023)</w:t>
      </w:r>
      <w:r>
        <w:t xml:space="preserve"> </w:t>
      </w:r>
      <w:r>
        <w:t xml:space="preserve">when defining and</w:t>
      </w:r>
      <w:r>
        <w:t xml:space="preserve"> </w:t>
      </w:r>
      <w:r>
        <w:t xml:space="preserve">executing the analysis. The roadmap sets out an explicit, prespecified</w:t>
      </w:r>
      <w:r>
        <w:t xml:space="preserve"> </w:t>
      </w:r>
      <w:r>
        <w:t xml:space="preserve">sequence of seven steps: (1) state the causal question, causal model, and</w:t>
      </w:r>
      <w:r>
        <w:t xml:space="preserve"> </w:t>
      </w:r>
      <w:r>
        <w:t xml:space="preserve">causal estimand; (2) characterise the observed data and their fitness for</w:t>
      </w:r>
      <w:r>
        <w:t xml:space="preserve"> </w:t>
      </w:r>
      <w:r>
        <w:t xml:space="preserve">the target trial; (3) assess identifiability; (4) define the statistical</w:t>
      </w:r>
      <w:r>
        <w:t xml:space="preserve"> </w:t>
      </w:r>
      <w:r>
        <w:t xml:space="preserve">estimand; (5) choose a statistical model and estimator with prespecified</w:t>
      </w:r>
      <w:r>
        <w:t xml:space="preserve"> </w:t>
      </w:r>
      <w:r>
        <w:t xml:space="preserve">operating characteristics, using outcome-blind simulation and targeted</w:t>
      </w:r>
      <w:r>
        <w:t xml:space="preserve"> </w:t>
      </w:r>
      <w:r>
        <w:t xml:space="preserve">learning; (6) specify a procedure for sensitivity analysis to violations</w:t>
      </w:r>
      <w:r>
        <w:t xml:space="preserve"> </w:t>
      </w:r>
      <w:r>
        <w:t xml:space="preserve">of the identification assumptions; and (7) compare alternative study</w:t>
      </w:r>
      <w:r>
        <w:t xml:space="preserve"> </w:t>
      </w:r>
      <w:r>
        <w:t xml:space="preserve">designs, again using outcome-blind simulation</w:t>
      </w:r>
      <w:r>
        <w:t xml:space="preserve"> </w:t>
      </w:r>
      <w:r>
        <w:t xml:space="preserve">(Dang et al. 2023)</w:t>
      </w:r>
      <w:r>
        <w:t xml:space="preserve">. The</w:t>
      </w:r>
      <w:r>
        <w:t xml:space="preserve"> </w:t>
      </w:r>
      <w:r>
        <w:t xml:space="preserve">package applies this roadmap to a staged analysis in the sense of</w:t>
      </w:r>
      <w:r>
        <w:t xml:space="preserve"> </w:t>
      </w:r>
      <w:r>
        <w:t xml:space="preserve">Muntner et al. (2024)</w:t>
      </w:r>
      <w:r>
        <w:t xml:space="preserve">. It operationalises Step 5 through outcome-blind</w:t>
      </w:r>
      <w:r>
        <w:t xml:space="preserve"> </w:t>
      </w:r>
      <w:r>
        <w:t xml:space="preserve">plasmode estimator selection and TMLE estimators, contributes the</w:t>
      </w:r>
      <w:r>
        <w:t xml:space="preserve"> </w:t>
      </w:r>
      <w:r>
        <w:t xml:space="preserve">data-quality stress test as an extension of Steps 5 and 7, and records</w:t>
      </w:r>
      <w:r>
        <w:t xml:space="preserve"> </w:t>
      </w:r>
      <w:r>
        <w:t xml:space="preserve">the Step 6 sensitivity analyses. Steps 1 to 4 remain external</w:t>
      </w:r>
      <w:r>
        <w:t xml:space="preserve"> </w:t>
      </w:r>
      <w:r>
        <w:t xml:space="preserve">study-level work, supported by target-trial templates</w:t>
      </w:r>
      <w:r>
        <w:t xml:space="preserve"> </w:t>
      </w:r>
      <w:r>
        <w:t xml:space="preserve">(M. A. Hernán and Robins 2016; Cashin et al. 2024)</w:t>
      </w:r>
      <w:r>
        <w:t xml:space="preserve">, fit-for-purpose checklists</w:t>
      </w:r>
      <w:r>
        <w:t xml:space="preserve"> </w:t>
      </w:r>
      <w:r>
        <w:t xml:space="preserve">(Gatto et al. 2023; Wang, Sreedhara, and Schneeweiss 2023)</w:t>
      </w:r>
      <w:r>
        <w:t xml:space="preserve">, and source-specific data-relevance</w:t>
      </w:r>
      <w:r>
        <w:t xml:space="preserve"> </w:t>
      </w:r>
      <w:r>
        <w:t xml:space="preserve">and reliability assessments</w:t>
      </w:r>
      <w:r>
        <w:t xml:space="preserve"> </w:t>
      </w:r>
      <w:r>
        <w:t xml:space="preserve">(U.S. Food and Drug Administration 2024a, 2024b, 2021; European Medicines Agency 2024, 2026)</w:t>
      </w:r>
      <w:r>
        <w:t xml:space="preserve">.</w:t>
      </w:r>
    </w:p>
    <w:p>
      <w:pPr>
        <w:pStyle w:val="BodyText"/>
      </w:pPr>
      <w:r>
        <w:t xml:space="preserve">The manuscript uses a fixed vocabulary for the conceptual layers of the</w:t>
      </w:r>
      <w:r>
        <w:t xml:space="preserve"> </w:t>
      </w:r>
      <w:r>
        <w:t xml:space="preserve">workflow (defined in</w:t>
      </w:r>
      <w:r>
        <w:t xml:space="preserve"> </w:t>
      </w:r>
      <w:hyperlink w:anchor="tbl-layers">
        <w:r>
          <w:rPr>
            <w:rStyle w:val="Hyperlink"/>
          </w:rPr>
          <w:t xml:space="preserve">Table 8</w:t>
        </w:r>
      </w:hyperlink>
      <w:r>
        <w:t xml:space="preserve">, Appendix).</w:t>
      </w:r>
      <w:r>
        <w:t xml:space="preserve"> </w:t>
      </w:r>
      <w:hyperlink w:anchor="fig-roadmap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places the</w:t>
      </w:r>
      <w:r>
        <w:t xml:space="preserve"> </w:t>
      </w:r>
      <w:r>
        <w:t xml:space="preserve">package inside the roadmap and</w:t>
      </w:r>
      <w:r>
        <w:t xml:space="preserve"> </w:t>
      </w:r>
      <w:hyperlink w:anchor="fig-governance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situates it within the</w:t>
      </w:r>
      <w:r>
        <w:t xml:space="preserve"> </w:t>
      </w:r>
      <w:r>
        <w:t xml:space="preserve">broader governance stack.</w:t>
      </w:r>
      <w:r>
        <w:t xml:space="preserve"> </w:t>
      </w:r>
      <w:hyperlink w:anchor="tbl-reg-align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maps each roadmap component to</w:t>
      </w:r>
      <w:r>
        <w:t xml:space="preserve"> </w:t>
      </w:r>
      <w:r>
        <w:t xml:space="preserve">regulatory expectations and to what still requires external</w:t>
      </w:r>
      <w:r>
        <w:t xml:space="preserve"> </w:t>
      </w:r>
      <w:r>
        <w:t xml:space="preserve">study-level work;</w:t>
      </w:r>
      <w:r>
        <w:t xml:space="preserve"> </w:t>
      </w:r>
      <w:hyperlink w:anchor="tbl-event-diag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lists the event-process helpers.</w:t>
      </w:r>
    </w:p>
    <w:p>
      <w:pPr>
        <w:pStyle w:val="BodyText"/>
      </w:pPr>
      <w:r>
        <w:t xml:space="preserve">The remaining sections follow the roadmap order:</w:t>
      </w:r>
      <w:r>
        <w:t xml:space="preserve"> </w:t>
      </w:r>
      <w:hyperlink w:anchor="sec-estimand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states</w:t>
      </w:r>
      <w:r>
        <w:t xml:space="preserve"> </w:t>
      </w:r>
      <w:r>
        <w:t xml:space="preserve">the estimand and identification assumptions;</w:t>
      </w:r>
      <w:r>
        <w:t xml:space="preserve"> </w:t>
      </w:r>
      <w:hyperlink w:anchor="sec-framework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</w:t>
      </w:r>
      <w:r>
        <w:t xml:space="preserve"> </w:t>
      </w:r>
      <w:r>
        <w:t xml:space="preserve">lock, audit, and pre-outcome-decision functions;</w:t>
      </w:r>
      <w:r>
        <w:t xml:space="preserve"> </w:t>
      </w:r>
      <w:hyperlink w:anchor="sec-dq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introduces the</w:t>
      </w:r>
      <w:r>
        <w:t xml:space="preserve"> </w:t>
      </w:r>
      <w:r>
        <w:t xml:space="preserve">DQ stress test;</w:t>
      </w:r>
      <w:r>
        <w:t xml:space="preserve"> </w:t>
      </w:r>
      <w:hyperlink w:anchor="sec-bridg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frames it as a supplement to fit-for-purpose</w:t>
      </w:r>
      <w:r>
        <w:t xml:space="preserve"> </w:t>
      </w:r>
      <w:r>
        <w:t xml:space="preserve">review;</w:t>
      </w:r>
      <w:r>
        <w:t xml:space="preserve"> </w:t>
      </w:r>
      <w:hyperlink w:anchor="sec-implementation">
        <w:r>
          <w:rPr>
            <w:rStyle w:val="Hyperlink"/>
          </w:rPr>
          <w:t xml:space="preserve">Section 8</w:t>
        </w:r>
      </w:hyperlink>
      <w:r>
        <w:t xml:space="preserve">–</w:t>
      </w:r>
      <w:hyperlink w:anchor="sec-casestudy">
        <w:r>
          <w:rPr>
            <w:rStyle w:val="Hyperlink"/>
          </w:rPr>
          <w:t xml:space="preserve">Section 12</w:t>
        </w:r>
      </w:hyperlink>
      <w:r>
        <w:t xml:space="preserve"> </w:t>
      </w:r>
      <w:r>
        <w:t xml:space="preserve">report the implementation,</w:t>
      </w:r>
      <w:r>
        <w:t xml:space="preserve"> </w:t>
      </w:r>
      <w:r>
        <w:t xml:space="preserve">simulation, and case study; and</w:t>
      </w:r>
      <w:r>
        <w:t xml:space="preserve"> </w:t>
      </w:r>
      <w:hyperlink w:anchor="sec-discussion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covers limitations.</w:t>
      </w:r>
    </w:p>
    <w:bookmarkEnd w:id="26"/>
    <w:bookmarkStart w:id="28" w:name="sec-walkthrough"/>
    <w:p>
      <w:pPr>
        <w:pStyle w:val="Heading1"/>
      </w:pPr>
      <w:r>
        <w:t xml:space="preserve">3. cleanTMLE at a glance: a worked walkthrough</w:t>
      </w:r>
    </w:p>
    <w:p>
      <w:pPr>
        <w:pStyle w:val="FirstParagraph"/>
      </w:pPr>
      <w:r>
        <w:t xml:space="preserve">Before developing the estimand, the framework, and the stress test</w:t>
      </w:r>
      <w:r>
        <w:t xml:space="preserve"> </w:t>
      </w:r>
      <w:r>
        <w:t xml:space="preserve">formally, we show the package used end-to-end, so that later sections</w:t>
      </w:r>
      <w:r>
        <w:t xml:space="preserve"> </w:t>
      </w:r>
      <w:r>
        <w:t xml:space="preserve">can be read against a concrete sequence of calls and outputs. The</w:t>
      </w:r>
      <w:r>
        <w:t xml:space="preserve"> </w:t>
      </w:r>
      <w:r>
        <w:t xml:space="preserve">walkthrough follows the Rescue.Co case study of</w:t>
      </w:r>
      <w:r>
        <w:t xml:space="preserve"> </w:t>
      </w:r>
      <w:hyperlink w:anchor="sec-casestudy">
        <w:r>
          <w:rPr>
            <w:rStyle w:val="Hyperlink"/>
          </w:rPr>
          <w:t xml:space="preserve">Section 12</w:t>
        </w:r>
      </w:hyperlink>
      <w:r>
        <w:t xml:space="preserve">; here we</w:t>
      </w:r>
      <w:r>
        <w:t xml:space="preserve"> </w:t>
      </w:r>
      <w:r>
        <w:t xml:space="preserve">keep the code schematic and report representative output, and defer the</w:t>
      </w:r>
      <w:r>
        <w:t xml:space="preserve"> </w:t>
      </w:r>
      <w:r>
        <w:t xml:space="preserve">full results to that section. Each call produces a record that the audit</w:t>
      </w:r>
      <w:r>
        <w:t xml:space="preserve"> </w:t>
      </w:r>
      <w:r>
        <w:t xml:space="preserve">trail carries forward, and the outcome column stays masked until the</w:t>
      </w:r>
      <w:r>
        <w:t xml:space="preserve"> </w:t>
      </w:r>
      <w:r>
        <w:t xml:space="preserve">gate authorises Stage 4.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(cleanTMLE)</w:t>
      </w:r>
      <w:r>
        <w:br/>
      </w:r>
      <w:r>
        <w:br/>
      </w:r>
      <w:r>
        <w:rPr>
          <w:rStyle w:val="CommentTok"/>
        </w:rPr>
        <w:t xml:space="preserve"># Stage 1a: lock the analytic specification and attach the estimand.</w:t>
      </w:r>
      <w:r>
        <w:br/>
      </w:r>
      <w:r>
        <w:rPr>
          <w:rStyle w:val="NormalTok"/>
        </w:rPr>
        <w:t xml:space="preserve">lock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create_analysis_lock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rescueco,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"rescueco"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"gose_good"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covariates =</w:t>
      </w:r>
      <w:r>
        <w:rPr>
          <w:rStyle w:val="NormalTok"/>
        </w:rPr>
        <w:t xml:space="preserve"> baseline_covariates,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sl_library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"SL.glm"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"SL.glmnet"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"SL.gam"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lock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attach_estimand</w:t>
      </w:r>
      <w:r>
        <w:rPr>
          <w:rStyle w:val="NormalTok"/>
        </w:rPr>
        <w:t xml:space="preserve">(lock,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"risk_difference"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followup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 months"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create_audit_log</w:t>
      </w:r>
      <w:r>
        <w:rPr>
          <w:rStyle w:val="NormalTok"/>
        </w:rPr>
        <w:t xml:space="preserve">(lock)</w:t>
      </w:r>
      <w:r>
        <w:br/>
      </w:r>
      <w:r>
        <w:rPr>
          <w:rStyle w:val="CommentTok"/>
        </w:rPr>
        <w:t xml:space="preserve">#&gt; lock_hash: 9f2c1a... (SHA-256 fingerprint of columns + data shape)</w:t>
      </w:r>
      <w:r>
        <w:br/>
      </w:r>
      <w:r>
        <w:br/>
      </w:r>
      <w:r>
        <w:rPr>
          <w:rStyle w:val="CommentTok"/>
        </w:rPr>
        <w:t xml:space="preserve"># Stage 1b: cohort adequacy (events only; outcome still masked).</w:t>
      </w:r>
      <w:r>
        <w:br/>
      </w:r>
      <w:r>
        <w:rPr>
          <w:rStyle w:val="NormalTok"/>
        </w:rPr>
        <w:t xml:space="preserve">cp1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checkpoint_cohort_adequacy</w:t>
      </w:r>
      <w:r>
        <w:rPr>
          <w:rStyle w:val="NormalTok"/>
        </w:rPr>
        <w:t xml:space="preserve">(lock, </w:t>
      </w:r>
      <w:r>
        <w:rPr>
          <w:rStyle w:val="AttributeTok"/>
        </w:rPr>
        <w:t xml:space="preserve">min_n_per_arm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min_events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PASS: 1,013 vs 680 per arm; 1,277 with observed GOSE</w:t>
      </w:r>
      <w:r>
        <w:br/>
      </w:r>
      <w:r>
        <w:br/>
      </w:r>
      <w:r>
        <w:rPr>
          <w:rStyle w:val="CommentTok"/>
        </w:rPr>
        <w:t xml:space="preserve"># Stage 2a: propensity score, overlap, balance.</w:t>
      </w:r>
      <w:r>
        <w:br/>
      </w:r>
      <w:r>
        <w:rPr>
          <w:rStyle w:val="NormalTok"/>
        </w:rPr>
        <w:t xml:space="preserve">ps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fit_ps_superlearner</w:t>
      </w:r>
      <w:r>
        <w:rPr>
          <w:rStyle w:val="NormalTok"/>
        </w:rPr>
        <w:t xml:space="preserve">(lock)</w:t>
      </w:r>
      <w:r>
        <w:br/>
      </w:r>
      <w:r>
        <w:rPr>
          <w:rStyle w:val="NormalTok"/>
        </w:rPr>
        <w:t xml:space="preserve">cp2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checkpoint_balance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compute_ps_diagnostics</w:t>
      </w:r>
      <w:r>
        <w:rPr>
          <w:rStyle w:val="NormalTok"/>
        </w:rPr>
        <w:t xml:space="preserve">(ps), </w:t>
      </w:r>
      <w:r>
        <w:rPr>
          <w:rStyle w:val="AttributeTok"/>
        </w:rPr>
        <w:t xml:space="preserve">max_smd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PASS: PS in [0.21, 0.81]; max post-weighting SMD 0.07; ESS 78% of n</w:t>
      </w:r>
      <w:r>
        <w:br/>
      </w:r>
      <w:r>
        <w:br/>
      </w:r>
      <w:r>
        <w:rPr>
          <w:rStyle w:val="CommentTok"/>
        </w:rPr>
        <w:t xml:space="preserve"># Stage 2b + 2c: outcome-blind candidate selection and DQ stress test.</w:t>
      </w:r>
      <w:r>
        <w:br/>
      </w:r>
      <w:r>
        <w:rPr>
          <w:rStyle w:val="NormalTok"/>
        </w:rPr>
        <w:t xml:space="preserve">cands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tmle_candidate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"glm_t01"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truncation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tmle_candidate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"ensemble_t05"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truncation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plas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run_plasmode_feasibility</w:t>
      </w:r>
      <w:r>
        <w:rPr>
          <w:rStyle w:val="NormalTok"/>
        </w:rPr>
        <w:t xml:space="preserve">(lock, </w:t>
      </w:r>
      <w:r>
        <w:rPr>
          <w:rStyle w:val="AttributeTok"/>
        </w:rPr>
        <w:t xml:space="preserve">tmle_candidates =</w:t>
      </w:r>
      <w:r>
        <w:rPr>
          <w:rStyle w:val="NormalTok"/>
        </w:rPr>
        <w:t xml:space="preserve"> cands,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dq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run_plasmode_dq_stress</w:t>
      </w:r>
      <w:r>
        <w:rPr>
          <w:rStyle w:val="NormalTok"/>
        </w:rPr>
        <w:t xml:space="preserve">(lock, </w:t>
      </w:r>
      <w:r>
        <w:rPr>
          <w:rStyle w:val="AttributeTok"/>
        </w:rPr>
        <w:t xml:space="preserve">tmle_candidates =</w:t>
      </w:r>
      <w:r>
        <w:rPr>
          <w:rStyle w:val="NormalTok"/>
        </w:rPr>
        <w:t xml:space="preserve"> cands,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scenarios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default_dq_scenarios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sel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select_tmle_candidate</w:t>
      </w:r>
      <w:r>
        <w:rPr>
          <w:rStyle w:val="NormalTok"/>
        </w:rPr>
        <w:t xml:space="preserve">(plas, </w:t>
      </w:r>
      <w:r>
        <w:rPr>
          <w:rStyle w:val="AttributeTok"/>
        </w:rPr>
        <w:t xml:space="preserve">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"min_max_rmse"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dq_results =</w:t>
      </w:r>
      <w:r>
        <w:rPr>
          <w:rStyle w:val="NormalTok"/>
        </w:rPr>
        <w:t xml:space="preserve"> dq)</w:t>
      </w:r>
      <w:r>
        <w:br/>
      </w:r>
      <w:r>
        <w:rPr>
          <w:rStyle w:val="CommentTok"/>
        </w:rPr>
        <w:t xml:space="preserve">#&gt; Selected candidate: 'ensemble_t05' (min-max RMSE across DQ threats)</w:t>
      </w:r>
      <w:r>
        <w:br/>
      </w:r>
      <w:r>
        <w:br/>
      </w:r>
      <w:r>
        <w:rPr>
          <w:rStyle w:val="CommentTok"/>
        </w:rPr>
        <w:t xml:space="preserve"># Stage 3: negative-control outcomes.</w:t>
      </w:r>
      <w:r>
        <w:br/>
      </w:r>
      <w:r>
        <w:rPr>
          <w:rStyle w:val="NormalTok"/>
        </w:rPr>
        <w:t xml:space="preserve">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run_residual_confounding_stage</w:t>
      </w:r>
      <w:r>
        <w:rPr>
          <w:rStyle w:val="NormalTok"/>
        </w:rPr>
        <w:t xml:space="preserve">(lock,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negative_controls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"household_urban"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"fuel_wood"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 of 5 NCs fit (3 dropped by near-zero-variance filter); both near null</w:t>
      </w:r>
      <w:r>
        <w:br/>
      </w:r>
      <w:r>
        <w:br/>
      </w:r>
      <w:r>
        <w:rPr>
          <w:rStyle w:val="CommentTok"/>
        </w:rPr>
        <w:t xml:space="preserve"># Pre-outcome decision and authorisation.</w:t>
      </w:r>
      <w:r>
        <w:br/>
      </w:r>
      <w:r>
        <w:rPr>
          <w:rStyle w:val="NormalTok"/>
        </w:rPr>
        <w:t xml:space="preserve">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gate_all</w:t>
      </w:r>
      <w:r>
        <w:rPr>
          <w:rStyle w:val="NormalTok"/>
        </w:rPr>
        <w:t xml:space="preserve">(cp1, cp2, nc, </w:t>
      </w:r>
      <w:r>
        <w:rPr>
          <w:rStyle w:val="AttributeTok"/>
        </w:rPr>
        <w:t xml:space="preserve">allow_flag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authorize_outcome_analysis</w:t>
      </w:r>
      <w:r>
        <w:rPr>
          <w:rStyle w:val="NormalTok"/>
        </w:rPr>
        <w:t xml:space="preserve">(lock, gate)</w:t>
      </w:r>
      <w:r>
        <w:br/>
      </w:r>
      <w:r>
        <w:rPr>
          <w:rStyle w:val="CommentTok"/>
        </w:rPr>
        <w:t xml:space="preserve">#&gt; Decision: GO with FLAG (narrowed negative-control panel)</w:t>
      </w:r>
      <w:r>
        <w:br/>
      </w:r>
      <w:r>
        <w:br/>
      </w:r>
      <w:r>
        <w:rPr>
          <w:rStyle w:val="CommentTok"/>
        </w:rPr>
        <w:t xml:space="preserve"># Stage 4: unblind and run the locked primary analysis.</w:t>
      </w:r>
      <w:r>
        <w:br/>
      </w:r>
      <w:r>
        <w:rPr>
          <w:rStyle w:val="NormalTok"/>
        </w:rPr>
        <w:t xml:space="preserve">fit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run_clean_tmle</w:t>
      </w:r>
      <w:r>
        <w:rPr>
          <w:rStyle w:val="NormalTok"/>
        </w:rPr>
        <w:t xml:space="preserve">(lock, </w:t>
      </w:r>
      <w:r>
        <w:rPr>
          <w:rStyle w:val="AttributeTok"/>
        </w:rPr>
        <w:t xml:space="preserve">spec =</w:t>
      </w:r>
      <w:r>
        <w:rPr>
          <w:rStyle w:val="NormalTok"/>
        </w:rPr>
        <w:t xml:space="preserve"> sel, </w:t>
      </w:r>
      <w:r>
        <w:rPr>
          <w:rStyle w:val="AttributeTok"/>
        </w:rPr>
        <w:t xml:space="preserve">ps_fit =</w:t>
      </w:r>
      <w:r>
        <w:rPr>
          <w:rStyle w:val="NormalTok"/>
        </w:rPr>
        <w:t xml:space="preserve"> ps, </w:t>
      </w:r>
      <w:r>
        <w:rPr>
          <w:rStyle w:val="AttributeTok"/>
        </w:rPr>
        <w:t xml:space="preserve">authorization =</w:t>
      </w:r>
      <w:r>
        <w:rPr>
          <w:rStyle w:val="NormalTok"/>
        </w:rPr>
        <w:t xml:space="preserve"> auth)</w:t>
      </w:r>
      <w:r>
        <w:br/>
      </w:r>
      <w:r>
        <w:rPr>
          <w:rStyle w:val="CommentTok"/>
        </w:rPr>
        <w:t xml:space="preserve">#&gt; Risk difference 0.031 (95% CI -0.001, 0.062)</w:t>
      </w:r>
    </w:p>
    <w:p>
      <w:pPr>
        <w:pStyle w:val="FirstParagraph"/>
      </w:pPr>
      <w:hyperlink w:anchor="tbl-func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functions exercised above, what each one</w:t>
      </w:r>
      <w:r>
        <w:t xml:space="preserve"> </w:t>
      </w:r>
      <w:r>
        <w:t xml:space="preserve">does, and the representative output it returns. Functions in the first</w:t>
      </w:r>
      <w:r>
        <w:t xml:space="preserve"> </w:t>
      </w:r>
      <w:r>
        <w:t xml:space="preserve">block run while the outcome is masked; only</w:t>
      </w:r>
      <w:r>
        <w:t xml:space="preserve"> </w:t>
      </w:r>
      <w:r>
        <w:rPr>
          <w:rStyle w:val="VerbatimChar"/>
        </w:rPr>
        <w:t xml:space="preserve">run_clean_tmle()</w:t>
      </w:r>
      <w:r>
        <w:t xml:space="preserve"> </w:t>
      </w:r>
      <w:r>
        <w:t xml:space="preserve">(and its</w:t>
      </w:r>
      <w:r>
        <w:t xml:space="preserve"> </w:t>
      </w:r>
      <w:r>
        <w:t xml:space="preserve">IPCW and concordance siblings) read the observed outcome, and they do so</w:t>
      </w:r>
      <w:r>
        <w:t xml:space="preserve"> </w:t>
      </w:r>
      <w:r>
        <w:t xml:space="preserve">only on a lock carrying a valid authorisation.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function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Key cleanTMLE functions exercised in the worked walkthrough, with a concise description and representative output. Stages 1a-3 and the gate run while the outcome is masked; Stage-4 functions read the observed outcome only under a valid authorisation.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88"/>
              <w:gridCol w:w="1361"/>
              <w:gridCol w:w="4001"/>
              <w:gridCol w:w="226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What it does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Representative 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create_analysis_lock()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Build the analysis lock; SHA-256 fingerprint of columns and data shape; mask the outcome.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lock object; lock_hash = 9f2c1a…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attach_estimand()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Record the five estimand attributes on the lock (kept in the audit trail, not the fingerprint).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lock with estimand fields populated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checkpoint_cohort_adequacy()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Check minimum sample size and event count per arm; reads event counts only.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 / FLAG / STOP + counts (1,013 vs 680; 50+ events)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fit_ps_superlearner()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 the SuperLearner propensity score on baseline covariates.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ps_fit object; predicted scores in [0.21, 0.81]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checkpoint_balance()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 post-weighting balance against a maximum-SMD threshold.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PASS; max SMD 0.07 (threshold 0.10)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run_plasmode_feasibility()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 the outcome-blind plasmode loop to evaluate candidate estimators on synthetic outcomes.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per-candidate bias, RMSE, coverage 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run_plasmode_dq_stress()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Re-run the plasmode loop under prespecified data-quality threats; produce degradation gradients.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degradation gradient per candidate per threat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select_tmle_candidate()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Apply the selection rule (e.g. min-max RMSE, or fiord_two_stage) and lock the primary candidate.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selected candidate id (</w:t>
                  </w:r>
                  <w:r>
                    <w:t xml:space="preserve">‘ensemble_t05’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run_residual_confounding_stage()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Estimate effects on prespecified negative-control outcomes to probe residual confounding.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per-NC estimate and CI; both near null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gate_all()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 checkpoint records into a single pre-outcome decision.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 / FLAG / STOP with rationale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authorize_outcome_analysis()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Record authorisation so Stage-4 functions will read the outcome.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authorisation token attached to the lock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run_clean_tmle()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 the locked four-step TMLE primary analysis; refuses to run without authorisation.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RD 0.031 (95% CI -0.001, 0.062)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run_ipcw_tmle()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 with inverse-probability-of-censoring weights for outcome missingness.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IPCW-weighted RD 0.033 (95% CI -0.000, 0.066)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export_decision_log()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Export the audit trail and decision log as a tidy data frame for the reviewer.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 data frame of decisions, timestamps, rationales</w:t>
                  </w:r>
                </w:p>
              </w:tc>
            </w:tr>
          </w:tbl>
          <w:bookmarkEnd w:id="27"/>
          <w:p/>
        </w:tc>
      </w:tr>
    </w:tbl>
    <w:bookmarkEnd w:id="28"/>
    <w:bookmarkStart w:id="33" w:name="sec-estimand"/>
    <w:p>
      <w:pPr>
        <w:pStyle w:val="Heading1"/>
      </w:pPr>
      <w:r>
        <w:t xml:space="preserve">4. Estimand, Causal Model, and Identifiability</w:t>
      </w:r>
    </w:p>
    <w:bookmarkStart w:id="29" w:name="estimand-specification"/>
    <w:p>
      <w:pPr>
        <w:pStyle w:val="Heading2"/>
      </w:pPr>
      <w:r>
        <w:t xml:space="preserve">4.1 Estimand specification</w:t>
      </w:r>
    </w:p>
    <w:p>
      <w:pPr>
        <w:pStyle w:val="FirstParagraph"/>
      </w:pPr>
      <w:r>
        <w:t xml:space="preserve">We follow</w:t>
      </w:r>
      <w:r>
        <w:t xml:space="preserve"> </w:t>
      </w:r>
      <w:r>
        <w:t xml:space="preserve">International Council for Harmonisation (2019)</w:t>
      </w:r>
      <w:r>
        <w:t xml:space="preserve"> </w:t>
      </w:r>
      <w:r>
        <w:t xml:space="preserve">and</w:t>
      </w:r>
      <w:r>
        <w:t xml:space="preserve"> </w:t>
      </w:r>
      <w:r>
        <w:t xml:space="preserve">Dang et al. (2023)</w:t>
      </w:r>
      <w:r>
        <w:t xml:space="preserve"> </w:t>
      </w:r>
      <w:r>
        <w:t xml:space="preserve">by writing the estimand</w:t>
      </w:r>
      <w:r>
        <w:t xml:space="preserve"> </w:t>
      </w:r>
      <w:r>
        <w:t xml:space="preserve">along five attributes. For the running example the population is</w:t>
      </w:r>
      <w:r>
        <w:t xml:space="preserve"> </w:t>
      </w:r>
      <w:r>
        <w:t xml:space="preserve">adults eligible at the index visit. The treatment is a binary point</w:t>
      </w:r>
      <w:r>
        <w:t xml:space="preserve"> </w:t>
      </w:r>
      <w:r>
        <w:t xml:space="preserve">exposure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at index. The endpoint is a binary</w:t>
      </w:r>
      <w:r>
        <w:t xml:space="preserve"> </w:t>
      </w:r>
      <w:r>
        <w:t xml:space="preserve">indicator of the primary event by 24 months, denoted</w:t>
      </w:r>
      <w:r>
        <w:t xml:space="preserve"> </w:t>
      </w:r>
      <m:oMath>
        <m:r>
          <m:t>Y</m:t>
        </m:r>
      </m:oMath>
      <w:r>
        <w:t xml:space="preserve">. The</w:t>
      </w:r>
      <w:r>
        <w:t xml:space="preserve"> </w:t>
      </w:r>
      <w:r>
        <w:t xml:space="preserve">summary measure is the marginal counterfactual risk difference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{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}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{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}</m:t>
        </m:r>
      </m:oMath>
      <w:r>
        <w:t xml:space="preserve">. Intercurrent events are handled</w:t>
      </w:r>
      <w:r>
        <w:t xml:space="preserve"> </w:t>
      </w:r>
      <w:r>
        <w:t xml:space="preserve">under a treatment-policy strategy; censoring and treatment</w:t>
      </w:r>
      <w:r>
        <w:t xml:space="preserve"> </w:t>
      </w:r>
      <w:r>
        <w:t xml:space="preserve">switching are not modelled in this illustration. The corresponding</w:t>
      </w:r>
      <w:r>
        <w:t xml:space="preserve"> </w:t>
      </w:r>
      <w:r>
        <w:t xml:space="preserve">statistical estimand under the identification assumptions in</w:t>
      </w:r>
      <w:r>
        <w:t xml:space="preserve"> </w:t>
      </w:r>
      <w:hyperlink w:anchor="sec-id">
        <w:r>
          <w:rPr>
            <w:rStyle w:val="Hyperlink"/>
          </w:rPr>
          <w:t xml:space="preserve">Section 4.4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W</m:t>
            </m:r>
          </m:sub>
        </m:sSub>
        <m:r>
          <m:rPr>
            <m:sty m:val="p"/>
          </m:rPr>
          <m:t>{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marginal g-formula contrast</w:t>
      </w:r>
      <w:r>
        <w:t xml:space="preserve"> </w:t>
      </w:r>
      <w:r>
        <w:t xml:space="preserve">(J. Robins 1986; Miguel A. Hernán and Robins 2020)</w:t>
      </w:r>
      <w:r>
        <w:t xml:space="preserve">.</w:t>
      </w:r>
    </w:p>
    <w:p>
      <w:pPr>
        <w:pStyle w:val="BodyText"/>
      </w:pPr>
      <w:r>
        <w:t xml:space="preserve">In the package this specification is attached to the lock with</w:t>
      </w:r>
      <w:r>
        <w:t xml:space="preserve"> </w:t>
      </w:r>
      <w:r>
        <w:rPr>
          <w:rStyle w:val="VerbatimChar"/>
        </w:rPr>
        <w:t xml:space="preserve">attach_estimand()</w:t>
      </w:r>
      <w:r>
        <w:t xml:space="preserve"> </w:t>
      </w:r>
      <w:r>
        <w:t xml:space="preserve">at Stage 1a and is preserved on the lock object</w:t>
      </w:r>
      <w:r>
        <w:t xml:space="preserve"> </w:t>
      </w:r>
      <w:r>
        <w:t xml:space="preserve">that downstream stages consume. The estimand fields are not part of</w:t>
      </w:r>
      <w:r>
        <w:t xml:space="preserve"> </w:t>
      </w:r>
      <w:r>
        <w:t xml:space="preserve">the integrity fingerprint computed by</w:t>
      </w:r>
      <w:r>
        <w:t xml:space="preserve"> </w:t>
      </w:r>
      <w:r>
        <w:rPr>
          <w:rStyle w:val="VerbatimChar"/>
        </w:rPr>
        <w:t xml:space="preserve">create_analysis_lock()</w:t>
      </w:r>
      <w:r>
        <w:t xml:space="preserve">;</w:t>
      </w:r>
      <w:r>
        <w:t xml:space="preserve"> </w:t>
      </w:r>
      <w:r>
        <w:t xml:space="preserve">analysts who want a tamper-evident estimand record should pair</w:t>
      </w:r>
      <w:r>
        <w:t xml:space="preserve"> </w:t>
      </w:r>
      <w:r>
        <w:rPr>
          <w:rStyle w:val="VerbatimChar"/>
        </w:rPr>
        <w:t xml:space="preserve">attach_estimand()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record_decision_log_entry()</w:t>
      </w:r>
      <w:r>
        <w:t xml:space="preserve"> </w:t>
      </w:r>
      <w:r>
        <w:t xml:space="preserve">call so</w:t>
      </w:r>
      <w:r>
        <w:t xml:space="preserve"> </w:t>
      </w:r>
      <w:r>
        <w:t xml:space="preserve">that any later modification is visible in the exported decision</w:t>
      </w:r>
      <w:r>
        <w:t xml:space="preserve"> </w:t>
      </w:r>
      <w:r>
        <w:t xml:space="preserve">log.</w:t>
      </w:r>
    </w:p>
    <w:bookmarkEnd w:id="29"/>
    <w:bookmarkStart w:id="30" w:name="causal-model"/>
    <w:p>
      <w:pPr>
        <w:pStyle w:val="Heading2"/>
      </w:pPr>
      <w:r>
        <w:t xml:space="preserve">4.2 Causal model</w:t>
      </w:r>
    </w:p>
    <w:p>
      <w:pPr>
        <w:pStyle w:val="FirstParagraph"/>
      </w:pPr>
      <w:r>
        <w:t xml:space="preserve">The data-generating process has five baseline covariates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age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sex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biomarker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comorbidity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CKD</m:t>
            </m:r>
          </m:e>
        </m:d>
      </m:oMath>
      <w:r>
        <w:t xml:space="preserve">,</w:t>
      </w:r>
      <w:r>
        <w:t xml:space="preserve"> </w:t>
      </w:r>
      <w:r>
        <w:t xml:space="preserve">a binary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W</m:t>
        </m:r>
      </m:oMath>
      <w:r>
        <w:t xml:space="preserve">, and 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 24 months. In the unmeasured-confounding scenario a binary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nor/>
            <m:sty m:val="p"/>
          </m:rPr>
          <m:t>Bern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U</m:t>
                </m:r>
              </m:sub>
            </m:sSub>
          </m:e>
        </m:d>
      </m:oMath>
      <w:r>
        <w:t xml:space="preserve"> </w:t>
      </w:r>
      <w:r>
        <w:t xml:space="preserve">also 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 The DAG</w:t>
      </w:r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VerbatimChar"/>
        </w:rPr>
        <w:t xml:space="preserve">   W ───► A ──► Y</w:t>
      </w:r>
      <w:r>
        <w:br/>
      </w:r>
      <w:r>
        <w:rPr>
          <w:rStyle w:val="VerbatimChar"/>
        </w:rPr>
        <w:t xml:space="preserve">   │          ▲</w:t>
      </w:r>
      <w:r>
        <w:br/>
      </w:r>
      <w:r>
        <w:rPr>
          <w:rStyle w:val="VerbatimChar"/>
        </w:rPr>
        <w:t xml:space="preserve">   └──────────┘</w:t>
      </w:r>
      <w:r>
        <w:br/>
      </w:r>
      <w:r>
        <w:rPr>
          <w:rStyle w:val="VerbatimChar"/>
        </w:rPr>
        <w:t xml:space="preserve">   (Scenario C only:)</w:t>
      </w:r>
      <w:r>
        <w:br/>
      </w:r>
      <w:r>
        <w:rPr>
          <w:rStyle w:val="VerbatimChar"/>
        </w:rPr>
        <w:t xml:space="preserve">   U ──► A</w:t>
      </w:r>
      <w:r>
        <w:br/>
      </w:r>
      <w:r>
        <w:rPr>
          <w:rStyle w:val="VerbatimChar"/>
        </w:rPr>
        <w:t xml:space="preserve">   U ──► Y</w:t>
      </w:r>
    </w:p>
    <w:p>
      <w:pPr>
        <w:pStyle w:val="FirstParagraph"/>
      </w:pPr>
      <w:r>
        <w:t xml:space="preserve">with no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(point exposure) and no arrow</w:t>
      </w:r>
      <w:r>
        <w:t xml:space="preserve"> </w:t>
      </w:r>
      <w:r>
        <w:t xml:space="preserve">between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.</w:t>
      </w:r>
    </w:p>
    <w:bookmarkEnd w:id="30"/>
    <w:bookmarkStart w:id="31" w:name="event-process-classification"/>
    <w:p>
      <w:pPr>
        <w:pStyle w:val="Heading2"/>
      </w:pPr>
      <w:r>
        <w:t xml:space="preserve">4.3 Event-process classification</w:t>
      </w:r>
    </w:p>
    <w:p>
      <w:pPr>
        <w:pStyle w:val="FirstParagraph"/>
      </w:pPr>
      <w:r>
        <w:t xml:space="preserve">A recurring source of ambiguity in real-world evidence analyses</w:t>
      </w:r>
      <w:r>
        <w:t xml:space="preserve"> </w:t>
      </w:r>
      <w:r>
        <w:t xml:space="preserve">is the treatment of post-baseline events such as treatment</w:t>
      </w:r>
      <w:r>
        <w:t xml:space="preserve"> </w:t>
      </w:r>
      <w:r>
        <w:t xml:space="preserve">discontinuation, treatment switching, death, loss to follow-up,</w:t>
      </w:r>
      <w:r>
        <w:t xml:space="preserve"> </w:t>
      </w:r>
      <w:r>
        <w:t xml:space="preserve">administrative end of follow-up, and missing outcome measurement.</w:t>
      </w:r>
      <w:r>
        <w:t xml:space="preserve"> </w:t>
      </w:r>
      <w:r>
        <w:t xml:space="preserve">These events should not be assigned generically to censoring or</w:t>
      </w:r>
      <w:r>
        <w:t xml:space="preserve"> </w:t>
      </w:r>
      <w:r>
        <w:t xml:space="preserve">exclusion rules. Instead, each event should be mapped to its role</w:t>
      </w:r>
      <w:r>
        <w:t xml:space="preserve"> </w:t>
      </w:r>
      <w:r>
        <w:t xml:space="preserve">in the causal estimand, its corresponding ICH E9(R1)</w:t>
      </w:r>
      <w:r>
        <w:t xml:space="preserve"> </w:t>
      </w:r>
      <w:r>
        <w:t xml:space="preserve">intercurrent-event strategy when applicable, and its operational</w:t>
      </w:r>
      <w:r>
        <w:t xml:space="preserve"> </w:t>
      </w:r>
      <w:r>
        <w:t xml:space="preserve">role in estimation. For example, death may be an outcome, a</w:t>
      </w:r>
      <w:r>
        <w:t xml:space="preserve"> </w:t>
      </w:r>
      <w:r>
        <w:t xml:space="preserve">competing event, a component of a composite endpoint, or an</w:t>
      </w:r>
      <w:r>
        <w:t xml:space="preserve"> </w:t>
      </w:r>
      <w:r>
        <w:t xml:space="preserve">intercurrent event requiring a treatment-policy, hypothetical,</w:t>
      </w:r>
      <w:r>
        <w:t xml:space="preserve"> </w:t>
      </w:r>
      <w:r>
        <w:t xml:space="preserve">composite, while-on-treatment, or principal-stratum strategy,</w:t>
      </w:r>
      <w:r>
        <w:t xml:space="preserve"> </w:t>
      </w:r>
      <w:r>
        <w:t xml:space="preserve">depending on the clinical question. This classification should be</w:t>
      </w:r>
      <w:r>
        <w:t xml:space="preserve"> </w:t>
      </w:r>
      <w:r>
        <w:t xml:space="preserve">prespecified and linked to sensitivity analyses; the package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clean_event_process_table()</w:t>
      </w:r>
      <w:r>
        <w:t xml:space="preserve"> </w:t>
      </w:r>
      <w:r>
        <w:t xml:space="preserve">to record it as a</w:t>
      </w:r>
      <w:r>
        <w:t xml:space="preserve"> </w:t>
      </w:r>
      <w:r>
        <w:t xml:space="preserve">structured object that the audit log can carry.</w:t>
      </w:r>
    </w:p>
    <w:bookmarkEnd w:id="31"/>
    <w:bookmarkStart w:id="32" w:name="sec-id"/>
    <w:p>
      <w:pPr>
        <w:pStyle w:val="Heading2"/>
      </w:pPr>
      <w:r>
        <w:t xml:space="preserve">4.4 Identifiability assumptions</w:t>
      </w:r>
    </w:p>
    <w:p>
      <w:pPr>
        <w:pStyle w:val="FirstParagraph"/>
      </w:pPr>
      <w:r>
        <w:t xml:space="preserve">Under this DAG,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identified by the g-formula if the</w:t>
      </w:r>
      <w:r>
        <w:t xml:space="preserve"> </w:t>
      </w:r>
      <w:r>
        <w:t xml:space="preserve">following six assumptions hold</w:t>
      </w:r>
      <w:r>
        <w:t xml:space="preserve"> </w:t>
      </w:r>
      <w:r>
        <w:t xml:space="preserve">(Miguel A. Hernán and Robins 2020)</w:t>
      </w:r>
      <w:r>
        <w:t xml:space="preserve">. We list each</w:t>
      </w:r>
      <w:r>
        <w:t xml:space="preserve"> </w:t>
      </w:r>
      <w:r>
        <w:t xml:space="preserve">assumption together with the DQ stress-test scenario that probes</w:t>
      </w:r>
      <w:r>
        <w:t xml:space="preserve"> </w:t>
      </w:r>
      <w:r>
        <w:t xml:space="preserve">it; this mapping is one of the main reasons the DQ stress test is</w:t>
      </w:r>
      <w:r>
        <w:t xml:space="preserve"> </w:t>
      </w:r>
      <w:r>
        <w:t xml:space="preserve">useful.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Conditional exchangeability</w:t>
      </w:r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⊥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⊥</m:t>
        </m:r>
        <m:r>
          <m:t>A</m:t>
        </m:r>
        <m:r>
          <m:rPr>
            <m:sty m:val="p"/>
          </m:rPr>
          <m:t>∣</m:t>
        </m:r>
        <m:r>
          <m:t>W</m:t>
        </m:r>
      </m:oMath>
      <w:r>
        <w:t xml:space="preserve">.</w:t>
      </w:r>
      <w:r>
        <w:t xml:space="preserve"> </w:t>
      </w:r>
      <w:r>
        <w:t xml:space="preserve">This holds in scenarios A and B by construction. It is violated</w:t>
      </w:r>
      <w:r>
        <w:t xml:space="preserve"> </w:t>
      </w:r>
      <w:r>
        <w:t xml:space="preserve">by construction in scenario C, 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in the analyst’s</w:t>
      </w:r>
      <w:r>
        <w:t xml:space="preserve"> </w:t>
      </w:r>
      <w:r>
        <w:t xml:space="preserve">adjustment set.</w:t>
      </w:r>
      <w:r>
        <w:t xml:space="preserve"> </w:t>
      </w:r>
      <w:r>
        <w:rPr>
          <w:b/>
          <w:bCs/>
        </w:rPr>
        <w:t xml:space="preserve">Probed by:</w:t>
      </w:r>
      <w:r>
        <w:t xml:space="preserve"> </w:t>
      </w:r>
      <w:r>
        <w:t xml:space="preserve">the unmeasured-confounding scenario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Positivity</w:t>
      </w:r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Pr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W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support. Scenario A satisfies this comfortably. Scenario B</w:t>
      </w:r>
      <w:r>
        <w:t xml:space="preserve"> </w:t>
      </w:r>
      <w:r>
        <w:t xml:space="preserve">pushes the propensity toward the boundary but does not violate</w:t>
      </w:r>
      <w:r>
        <w:t xml:space="preserve"> </w:t>
      </w:r>
      <w:r>
        <w:t xml:space="preserve">it in the limit.</w:t>
      </w:r>
      <w:r>
        <w:t xml:space="preserve"> </w:t>
      </w:r>
      <w:r>
        <w:rPr>
          <w:b/>
          <w:bCs/>
        </w:rPr>
        <w:t xml:space="preserve">Probed by:</w:t>
      </w:r>
      <w:r>
        <w:t xml:space="preserve"> </w:t>
      </w:r>
      <w:r>
        <w:t xml:space="preserve">the truncation level of each TMLE</w:t>
      </w:r>
      <w:r>
        <w:t xml:space="preserve"> </w:t>
      </w:r>
      <w:r>
        <w:t xml:space="preserve">candidate; near-positivity violations show up as inflated SE/SD</w:t>
      </w:r>
      <w:r>
        <w:t xml:space="preserve"> </w:t>
      </w:r>
      <w:r>
        <w:t xml:space="preserve">in the baseline plasmode metrics.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Consistency / SUTVA</w:t>
      </w:r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.</w:t>
      </w:r>
      <w:r>
        <w:t xml:space="preserve"> </w:t>
      </w:r>
      <w:r>
        <w:rPr>
          <w:b/>
          <w:bCs/>
        </w:rPr>
        <w:t xml:space="preserve">Probed by:</w:t>
      </w:r>
      <w:r>
        <w:t xml:space="preserve"> </w:t>
      </w:r>
      <w:r>
        <w:t xml:space="preserve">the treatment-</w:t>
      </w:r>
      <w:r>
        <w:t xml:space="preserve"> </w:t>
      </w:r>
      <w:r>
        <w:t xml:space="preserve">misclassification scenario, which simulates a violation of</w:t>
      </w:r>
      <w:r>
        <w:t xml:space="preserve"> </w:t>
      </w:r>
      <w:r>
        <w:t xml:space="preserve">consistency caused by exposure-algorithm error.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No measurement error in the outcome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Probed</w:t>
      </w:r>
      <w:r>
        <w:rPr>
          <w:b/>
          <w:bCs/>
        </w:rPr>
        <w:t xml:space="preserve"> </w:t>
      </w:r>
      <w:r>
        <w:rPr>
          <w:b/>
          <w:bCs/>
        </w:rPr>
        <w:t xml:space="preserve">by:</w:t>
      </w:r>
      <w:r>
        <w:t xml:space="preserve"> </w:t>
      </w:r>
      <w:r>
        <w:t xml:space="preserve">the outcome-misclassification scenario, with optional</w:t>
      </w:r>
      <w:r>
        <w:t xml:space="preserve"> </w:t>
      </w:r>
      <w:r>
        <w:t xml:space="preserve">per-arm differential misclassification.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Stratified MCAR for the covariates</w:t>
      </w:r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missing completely</w:t>
      </w:r>
      <w:r>
        <w:t xml:space="preserve"> </w:t>
      </w:r>
      <w:r>
        <w:t xml:space="preserve">at random within strata of fully measured variables.</w:t>
      </w:r>
      <w:r>
        <w:t xml:space="preserve"> </w:t>
      </w:r>
      <w:r>
        <w:rPr>
          <w:b/>
          <w:bCs/>
        </w:rPr>
        <w:t xml:space="preserve">Probed</w:t>
      </w:r>
      <w:r>
        <w:rPr>
          <w:b/>
          <w:bCs/>
        </w:rPr>
        <w:t xml:space="preserve"> </w:t>
      </w:r>
      <w:r>
        <w:rPr>
          <w:b/>
          <w:bCs/>
        </w:rPr>
        <w:t xml:space="preserve">by:</w:t>
      </w:r>
      <w:r>
        <w:t xml:space="preserve"> </w:t>
      </w:r>
      <w:r>
        <w:t xml:space="preserve">the covariate-missingness scenario, which sets a fraction</w:t>
      </w:r>
      <w:r>
        <w:t xml:space="preserve"> </w:t>
      </w:r>
      <w:r>
        <w:t xml:space="preserve">of values to NA and imputes with the column median.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Correctly specified nuisance models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, including the SuperLearner library and the truncation rule.</w:t>
      </w:r>
      <w:r>
        <w:t xml:space="preserve"> </w:t>
      </w:r>
      <w:r>
        <w:rPr>
          <w:b/>
          <w:bCs/>
        </w:rPr>
        <w:t xml:space="preserve">Probed by:</w:t>
      </w:r>
      <w:r>
        <w:t xml:space="preserve"> </w:t>
      </w:r>
      <w:r>
        <w:t xml:space="preserve">the standard plasmode candidate-selection metrics,</w:t>
      </w:r>
      <w:r>
        <w:t xml:space="preserve"> </w:t>
      </w:r>
      <w:r>
        <w:t xml:space="preserve">which compare candidates that vary the SuperLearner library and</w:t>
      </w:r>
      <w:r>
        <w:t xml:space="preserve"> </w:t>
      </w:r>
      <w:r>
        <w:t xml:space="preserve">the truncation rule.</w:t>
      </w:r>
    </w:p>
    <w:p>
      <w:pPr>
        <w:pStyle w:val="FirstParagraph"/>
      </w:pPr>
      <w:r>
        <w:t xml:space="preserve">The simulation thus contains one analytic challenge (marginal</w:t>
      </w:r>
      <w:r>
        <w:t xml:space="preserve"> </w:t>
      </w:r>
      <w:r>
        <w:t xml:space="preserve">overlap, B) and one identifiability violation (unmeasured</w:t>
      </w:r>
      <w:r>
        <w:t xml:space="preserve"> </w:t>
      </w:r>
      <w:r>
        <w:t xml:space="preserve">confounding, C). We use C to demonstrate what the DQ stress test</w:t>
      </w:r>
      <w:r>
        <w:t xml:space="preserve"> </w:t>
      </w:r>
      <w:r>
        <w:t xml:space="preserve">flags under a prespecified latent-U scenario, and to</w:t>
      </w:r>
      <w:r>
        <w:t xml:space="preserve"> </w:t>
      </w:r>
      <w:r>
        <w:t xml:space="preserve">contrast the stress-test output with the post-hoc E-value</w:t>
      </w:r>
      <w:r>
        <w:t xml:space="preserve"> </w:t>
      </w:r>
      <w:r>
        <w:t xml:space="preserve">(VanderWeele and Ding 2017)</w:t>
      </w:r>
      <w:r>
        <w:t xml:space="preserve"> </w:t>
      </w:r>
      <w:r>
        <w:t xml:space="preserve">and with the negative-control-outcome</w:t>
      </w:r>
      <w:r>
        <w:t xml:space="preserve"> </w:t>
      </w:r>
      <w:r>
        <w:t xml:space="preserve">check</w:t>
      </w:r>
      <w:r>
        <w:t xml:space="preserve"> </w:t>
      </w:r>
      <w:r>
        <w:t xml:space="preserve">(Lipsitch, Tchetgen Tchetgen, and Cohen 2010)</w:t>
      </w:r>
      <w:r>
        <w:t xml:space="preserve">.</w:t>
      </w:r>
    </w:p>
    <w:bookmarkEnd w:id="32"/>
    <w:bookmarkEnd w:id="33"/>
    <w:bookmarkStart w:id="40" w:name="sec-framework"/>
    <w:p>
      <w:pPr>
        <w:pStyle w:val="Heading1"/>
      </w:pPr>
      <w:r>
        <w:t xml:space="preserve">5. The cleanTMLE Framework</w:t>
      </w:r>
    </w:p>
    <w:bookmarkStart w:id="34" w:name="staged-workflow"/>
    <w:p>
      <w:pPr>
        <w:pStyle w:val="Heading2"/>
      </w:pPr>
      <w:r>
        <w:t xml:space="preserve">5.1 Staged workflow</w:t>
      </w:r>
    </w:p>
    <w:p>
      <w:pPr>
        <w:pStyle w:val="FirstParagraph"/>
      </w:pPr>
      <w:r>
        <w:t xml:space="preserve">cleanTMLE adopts the staged design set out by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and</w:t>
      </w:r>
      <w:r>
        <w:t xml:space="preserve"> </w:t>
      </w:r>
      <w:r>
        <w:t xml:space="preserve">aligns it with the causal-roadmap formulation of</w:t>
      </w:r>
      <w:r>
        <w:t xml:space="preserve"> </w:t>
      </w:r>
      <w:r>
        <w:t xml:space="preserve">Dang et al. (2023)</w:t>
      </w:r>
      <w:r>
        <w:t xml:space="preserve"> </w:t>
      </w:r>
      <w:r>
        <w:t xml:space="preserve">and</w:t>
      </w:r>
      <w:r>
        <w:t xml:space="preserve"> </w:t>
      </w:r>
      <w:r>
        <w:t xml:space="preserve">the targeted-learning statistical-analysis-plan template of</w:t>
      </w:r>
      <w:r>
        <w:t xml:space="preserve"> </w:t>
      </w:r>
      <w:r>
        <w:t xml:space="preserve">Gruber, Lee, et al. (2024)</w:t>
      </w:r>
      <w:r>
        <w:t xml:space="preserve">. Stage names below are package-internal labels; the stage</w:t>
      </w:r>
      <w:r>
        <w:t xml:space="preserve"> </w:t>
      </w:r>
      <w:r>
        <w:t xml:space="preserve">content matches the roadmap steps of</w:t>
      </w:r>
      <w:r>
        <w:t xml:space="preserve"> </w:t>
      </w:r>
      <w:r>
        <w:t xml:space="preserve">Dang et al. (2023)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376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Does the function read the outcome?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Feasibility assessment, utilisation study, draft protocol/SAP</w:t>
            </w:r>
            <w:r>
              <w:t xml:space="preserve"> </w:t>
            </w:r>
            <w:r>
              <w:t xml:space="preserve">(Muntner et al. 2024; Kent 2026)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(no data access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Lock estimand, covariates, SuperLearner library, candidate grid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Cohort adequacy: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per arm, events, design precision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Events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Propensity-score diagnostics: overlap, ESS, balance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Outcome-blind plasmode candidate selection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(synthetic outcome)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Plasmode DQ stress 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 (synthetic outcome)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Negative-control outcomes, residual-bias 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NC outcomes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Pre-outcome decision</w:t>
            </w:r>
          </w:p>
        </w:tc>
        <w:tc>
          <w:tcPr/>
          <w:p>
            <w:pPr>
              <w:pStyle w:val="Compact"/>
            </w:pPr>
            <w:r>
              <w:t xml:space="preserve">GO/FLAG/STOP authorisation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Primary comparative analysis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Stages 1–3 do not access the real outcome. The plasmode at Stage</w:t>
      </w:r>
      <w:r>
        <w:t xml:space="preserve"> </w:t>
      </w:r>
      <w:r>
        <w:t xml:space="preserve">2b generates synthetic outcomes from a parametric model fitted to</w:t>
      </w:r>
      <w:r>
        <w:t xml:space="preserve"> </w:t>
      </w:r>
      <w:r>
        <w:t xml:space="preserve">the real covariates and treatment, which is why it is a natural</w:t>
      </w:r>
      <w:r>
        <w:t xml:space="preserve"> </w:t>
      </w:r>
      <w:r>
        <w:t xml:space="preserve">host for the DQ stress test we describe in</w:t>
      </w:r>
      <w:r>
        <w:t xml:space="preserve"> </w:t>
      </w:r>
      <w:hyperlink w:anchor="sec-dq">
        <w:r>
          <w:rPr>
            <w:rStyle w:val="Hyperlink"/>
          </w:rPr>
          <w:t xml:space="preserve">Section 6</w:t>
        </w:r>
      </w:hyperlink>
      <w:r>
        <w:t xml:space="preserve">.</w:t>
      </w:r>
    </w:p>
    <w:p>
      <w:pPr>
        <w:pStyle w:val="BodyText"/>
      </w:pPr>
      <w:r>
        <w:t xml:space="preserve">Within a staging-and-clean-room framework, the DQ stress test</w:t>
      </w:r>
      <w:r>
        <w:t xml:space="preserve"> </w:t>
      </w:r>
      <w:r>
        <w:t xml:space="preserve">functions as a quantitative checkpoint. Rather than relying only</w:t>
      </w:r>
      <w:r>
        <w:t xml:space="preserve"> </w:t>
      </w:r>
      <w:r>
        <w:t xml:space="preserve">on qualitative discussion of data-fitness concerns, the workflow</w:t>
      </w:r>
      <w:r>
        <w:t xml:space="preserve"> </w:t>
      </w:r>
      <w:r>
        <w:t xml:space="preserve">evaluates whether candidate estimators continue to satisfy</w:t>
      </w:r>
      <w:r>
        <w:t xml:space="preserve"> </w:t>
      </w:r>
      <w:r>
        <w:t xml:space="preserve">prespecified operating-characteristic thresholds under threat</w:t>
      </w:r>
      <w:r>
        <w:t xml:space="preserve"> </w:t>
      </w:r>
      <w:r>
        <w:t xml:space="preserve">scenarios derived from the fit-for-purpose review.</w:t>
      </w:r>
    </w:p>
    <w:p>
      <w:pPr>
        <w:pStyle w:val="BodyText"/>
      </w:pPr>
      <w:r>
        <w:t xml:space="preserve">Clean-room guidance addresses a limitation of preregistration:</w:t>
      </w:r>
      <w:r>
        <w:t xml:space="preserve"> </w:t>
      </w:r>
      <w:r>
        <w:t xml:space="preserve">during RWE execution, investigators often encounter data</w:t>
      </w:r>
      <w:r>
        <w:t xml:space="preserve"> </w:t>
      </w:r>
      <w:r>
        <w:t xml:space="preserve">incompleteness, coding limitations, sparse events, covariate</w:t>
      </w:r>
      <w:r>
        <w:t xml:space="preserve"> </w:t>
      </w:r>
      <w:r>
        <w:t xml:space="preserve">imbalance, model-convergence problems, and censoring or</w:t>
      </w:r>
      <w:r>
        <w:t xml:space="preserve"> </w:t>
      </w:r>
      <w:r>
        <w:t xml:space="preserve">missingness issues that require decisions after data access but</w:t>
      </w:r>
      <w:r>
        <w:t xml:space="preserve"> </w:t>
      </w:r>
      <w:r>
        <w:t xml:space="preserve">before comparative effect estimation</w:t>
      </w:r>
      <w:r>
        <w:t xml:space="preserve"> </w:t>
      </w:r>
      <w:r>
        <w:t xml:space="preserve">(McGrath et al. 2021; Muntner et al. 2024)</w:t>
      </w:r>
      <w:r>
        <w:t xml:space="preserve">. cleanTMLE</w:t>
      </w:r>
      <w:r>
        <w:t xml:space="preserve"> </w:t>
      </w:r>
      <w:r>
        <w:t xml:space="preserve">operationalises the software portion of this process by recording</w:t>
      </w:r>
      <w:r>
        <w:t xml:space="preserve"> </w:t>
      </w:r>
      <w:r>
        <w:t xml:space="preserve">pre-outcome diagnostics, checkpoint decisions, deviations, and</w:t>
      </w:r>
      <w:r>
        <w:t xml:space="preserve"> </w:t>
      </w:r>
      <w:r>
        <w:t xml:space="preserve">authorisation status before the observed primary</w:t>
      </w:r>
      <w:r>
        <w:t xml:space="preserve"> </w:t>
      </w:r>
      <w:r>
        <w:t xml:space="preserve">treatment-outcome association is estimated.</w:t>
      </w:r>
    </w:p>
    <w:bookmarkEnd w:id="34"/>
    <w:bookmarkStart w:id="35" w:name="Xa0fa50b0ecc282f67ff4b404986adbd19fb41cd"/>
    <w:p>
      <w:pPr>
        <w:pStyle w:val="Heading2"/>
      </w:pPr>
      <w:r>
        <w:t xml:space="preserve">5.2 How the workflow records and protects analytic decisions</w:t>
      </w:r>
    </w:p>
    <w:p>
      <w:pPr>
        <w:pStyle w:val="FirstParagraph"/>
      </w:pPr>
      <w:r>
        <w:t xml:space="preserve">The analysis lock is the central object on which all later</w:t>
      </w:r>
      <w:r>
        <w:t xml:space="preserve"> </w:t>
      </w:r>
      <w:r>
        <w:t xml:space="preserve">diagnostics depend. It is created at the start of the workflow and</w:t>
      </w:r>
      <w:r>
        <w:t xml:space="preserve"> </w:t>
      </w:r>
      <w:r>
        <w:t xml:space="preserve">records the prespecified analytic specification: the analytic</w:t>
      </w:r>
      <w:r>
        <w:t xml:space="preserve"> </w:t>
      </w:r>
      <w:r>
        <w:t xml:space="preserve">dataset, the treatment, outcome, and covariate column names, the</w:t>
      </w:r>
      <w:r>
        <w:t xml:space="preserve"> </w:t>
      </w:r>
      <w:r>
        <w:t xml:space="preserve">nuisance-learning library, and the random seed. A fingerprint of</w:t>
      </w:r>
      <w:r>
        <w:t xml:space="preserve"> </w:t>
      </w:r>
      <w:r>
        <w:t xml:space="preserve">those fields is recorded so that the same lock can be reconciled</w:t>
      </w:r>
      <w:r>
        <w:t xml:space="preserve"> </w:t>
      </w:r>
      <w:r>
        <w:t xml:space="preserve">later by an external reviewer; the estimand and the prespecified</w:t>
      </w:r>
      <w:r>
        <w:t xml:space="preserve"> </w:t>
      </w:r>
      <w:r>
        <w:t xml:space="preserve">choice of estimator are attached after the lock is created and are</w:t>
      </w:r>
      <w:r>
        <w:t xml:space="preserve"> </w:t>
      </w:r>
      <w:r>
        <w:t xml:space="preserve">captured by the audit trail rather than by the fingerprint, so any</w:t>
      </w:r>
      <w:r>
        <w:t xml:space="preserve"> </w:t>
      </w:r>
      <w:r>
        <w:t xml:space="preserve">change to those fields appears as a separate entry in the audit.</w:t>
      </w:r>
      <w:r>
        <w:t xml:space="preserve"> </w:t>
      </w:r>
      <w:r>
        <w:t xml:space="preserve">While the analysis is outcome-blind, the lock is held in a state</w:t>
      </w:r>
      <w:r>
        <w:t xml:space="preserve"> </w:t>
      </w:r>
      <w:r>
        <w:t xml:space="preserve">in which the outcome column is masked; the workflow restores the</w:t>
      </w:r>
      <w:r>
        <w:t xml:space="preserve"> </w:t>
      </w:r>
      <w:r>
        <w:t xml:space="preserve">outcome only after the prespecified diagnostics and checkpoint</w:t>
      </w:r>
      <w:r>
        <w:t xml:space="preserve"> </w:t>
      </w:r>
      <w:r>
        <w:t xml:space="preserve">review have been completed. Outcome-analysis functions verify that</w:t>
      </w:r>
      <w:r>
        <w:t xml:space="preserve"> </w:t>
      </w:r>
      <w:r>
        <w:t xml:space="preserve">this review has been completed before allowing access to the</w:t>
      </w:r>
      <w:r>
        <w:t xml:space="preserve"> </w:t>
      </w:r>
      <w:r>
        <w:t xml:space="preserve">observed outcome.</w:t>
      </w:r>
    </w:p>
    <w:p>
      <w:pPr>
        <w:pStyle w:val="BodyText"/>
      </w:pPr>
      <w:r>
        <w:t xml:space="preserve">Two complementary records track analytic decisions through the</w:t>
      </w:r>
      <w:r>
        <w:t xml:space="preserve"> </w:t>
      </w:r>
      <w:r>
        <w:t xml:space="preserve">workflow. The audit trail accumulates entries automatically from</w:t>
      </w:r>
      <w:r>
        <w:t xml:space="preserve"> </w:t>
      </w:r>
      <w:r>
        <w:t xml:space="preserve">the checkpoint diagnostics, recording what was evaluated, when,</w:t>
      </w:r>
      <w:r>
        <w:t xml:space="preserve"> </w:t>
      </w:r>
      <w:r>
        <w:t xml:space="preserve">and against which prespecified criteria. The decision log captures</w:t>
      </w:r>
      <w:r>
        <w:t xml:space="preserve"> </w:t>
      </w:r>
      <w:r>
        <w:t xml:space="preserve">analyst choices and any deviations from the protocol, with a brief</w:t>
      </w:r>
      <w:r>
        <w:t xml:space="preserve"> </w:t>
      </w:r>
      <w:r>
        <w:t xml:space="preserve">rationale for each. Both can be exported as tidy data frames and</w:t>
      </w:r>
      <w:r>
        <w:t xml:space="preserve"> </w:t>
      </w:r>
      <w:r>
        <w:t xml:space="preserve">archived alongside the lock; the audit trail is linked to the</w:t>
      </w:r>
      <w:r>
        <w:t xml:space="preserve"> </w:t>
      </w:r>
      <w:r>
        <w:t xml:space="preserve">prespecified analysis object, so deviations from the recorded</w:t>
      </w:r>
      <w:r>
        <w:t xml:space="preserve"> </w:t>
      </w:r>
      <w:r>
        <w:t xml:space="preserve">workflow can be detected during review. The exported decision log</w:t>
      </w:r>
      <w:r>
        <w:t xml:space="preserve"> </w:t>
      </w:r>
      <w:r>
        <w:t xml:space="preserve">follows the structure of the Romiplostim worked example</w:t>
      </w:r>
      <w:r>
        <w:t xml:space="preserve"> </w:t>
      </w:r>
      <w:r>
        <w:t xml:space="preserve">(McGrath et al. 2021)</w:t>
      </w:r>
      <w:r>
        <w:t xml:space="preserve">, which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take as the</w:t>
      </w:r>
      <w:r>
        <w:t xml:space="preserve"> </w:t>
      </w:r>
      <w:r>
        <w:t xml:space="preserve">reference template for a staged outcome-blind decision record.</w:t>
      </w:r>
    </w:p>
    <w:p>
      <w:pPr>
        <w:pStyle w:val="BodyText"/>
      </w:pPr>
      <w:r>
        <w:t xml:space="preserve">Beyond a single outcome-masking step,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and</w:t>
      </w:r>
      <w:r>
        <w:t xml:space="preserve"> </w:t>
      </w:r>
      <w:r>
        <w:t xml:space="preserve">Kent (2026)</w:t>
      </w:r>
      <w:r>
        <w:t xml:space="preserve"> </w:t>
      </w:r>
      <w:r>
        <w:t xml:space="preserve">recommend tiered, role-based access in which</w:t>
      </w:r>
      <w:r>
        <w:t xml:space="preserve"> </w:t>
      </w:r>
      <w:r>
        <w:t xml:space="preserve">analytic advisors see summary outputs by stage and checkpoint</w:t>
      </w:r>
      <w:r>
        <w:t xml:space="preserve"> </w:t>
      </w:r>
      <w:r>
        <w:t xml:space="preserve">reviewers see summary outputs only by checkpoint. The exported</w:t>
      </w:r>
      <w:r>
        <w:t xml:space="preserve"> </w:t>
      </w:r>
      <w:r>
        <w:t xml:space="preserve">audit and decision logs support that arrangement at the workflow</w:t>
      </w:r>
      <w:r>
        <w:t xml:space="preserve"> </w:t>
      </w:r>
      <w:r>
        <w:t xml:space="preserve">level, providing reviewer-facing summaries that do not require</w:t>
      </w:r>
      <w:r>
        <w:t xml:space="preserve"> </w:t>
      </w:r>
      <w:r>
        <w:t xml:space="preserve">raw-data access.</w:t>
      </w:r>
    </w:p>
    <w:bookmarkEnd w:id="35"/>
    <w:bookmarkStart w:id="38" w:name="Xc984cda553dcb5ff3e402daad79821b8da4151d"/>
    <w:p>
      <w:pPr>
        <w:pStyle w:val="Heading2"/>
      </w:pPr>
      <w:r>
        <w:t xml:space="preserve">5.3 Personnel-based and simulation-based outcome blinding</w:t>
      </w:r>
    </w:p>
    <w:p>
      <w:pPr>
        <w:pStyle w:val="FirstParagraph"/>
      </w:pPr>
      <w:r>
        <w:t xml:space="preserve">Outcome blinding can be enforced in two complementary ways. The</w:t>
      </w:r>
      <w:r>
        <w:t xml:space="preserve"> </w:t>
      </w:r>
      <w:r>
        <w:t xml:space="preserve">first is personnel-based</w:t>
      </w:r>
      <w:r>
        <w:t xml:space="preserve"> </w:t>
      </w:r>
      <w:r>
        <w:t xml:space="preserve">(Muntner et al. 2024)</w:t>
      </w:r>
      <w:r>
        <w:t xml:space="preserve">. A blinded analyst</w:t>
      </w:r>
      <w:r>
        <w:t xml:space="preserve"> </w:t>
      </w:r>
      <w:r>
        <w:t xml:space="preserve">writes the analysis plan, defines the cohort, performs the design</w:t>
      </w:r>
      <w:r>
        <w:t xml:space="preserve"> </w:t>
      </w:r>
      <w:r>
        <w:t xml:space="preserve">diagnostics, and reaches the pre-outcome decision point; only then</w:t>
      </w:r>
      <w:r>
        <w:t xml:space="preserve"> </w:t>
      </w:r>
      <w:r>
        <w:t xml:space="preserve">does a separate analyst, or another role on the same team, link</w:t>
      </w:r>
      <w:r>
        <w:t xml:space="preserve"> </w:t>
      </w:r>
      <w:r>
        <w:t xml:space="preserve">the outcome and run the comparative analysis. Separation is</w:t>
      </w:r>
      <w:r>
        <w:t xml:space="preserve"> </w:t>
      </w:r>
      <w:r>
        <w:t xml:space="preserve">maintained by an institutional partition of duties and a</w:t>
      </w:r>
      <w:r>
        <w:t xml:space="preserve"> </w:t>
      </w:r>
      <w:r>
        <w:t xml:space="preserve">documented audit by a data manager who controls access to the</w:t>
      </w:r>
      <w:r>
        <w:t xml:space="preserve"> </w:t>
      </w:r>
      <w:r>
        <w:t xml:space="preserve">outcome variable. Reviewers and regulators evaluate two artefacts</w:t>
      </w:r>
      <w:r>
        <w:t xml:space="preserve"> </w:t>
      </w:r>
      <w:r>
        <w:t xml:space="preserve">at the end: a timestamped analysis plan and a final estimate</w:t>
      </w:r>
      <w:r>
        <w:t xml:space="preserve"> </w:t>
      </w:r>
      <w:r>
        <w:t xml:space="preserve">produced under that plan.</w:t>
      </w:r>
    </w:p>
    <w:p>
      <w:pPr>
        <w:pStyle w:val="BodyText"/>
      </w:pPr>
      <w:r>
        <w:t xml:space="preserve">Outcome-blind simulation addresses the same concern through a</w:t>
      </w:r>
      <w:r>
        <w:t xml:space="preserve"> </w:t>
      </w:r>
      <w:r>
        <w:t xml:space="preserve">different mechanism. Candidate estimators, truncation rules, and</w:t>
      </w:r>
      <w:r>
        <w:t xml:space="preserve"> </w:t>
      </w:r>
      <w:r>
        <w:t xml:space="preserve">data-quality scenarios may be evaluated using synthetic outcomes</w:t>
      </w:r>
      <w:r>
        <w:t xml:space="preserve"> </w:t>
      </w:r>
      <w:r>
        <w:t xml:space="preserve">generated without using the observed treatment–outcome</w:t>
      </w:r>
      <w:r>
        <w:t xml:space="preserve"> </w:t>
      </w:r>
      <w:r>
        <w:t xml:space="preserve">association. This allows investigators to compare estimators and</w:t>
      </w:r>
      <w:r>
        <w:t xml:space="preserve"> </w:t>
      </w:r>
      <w:r>
        <w:t xml:space="preserve">revise prespecified simulation settings before unblinding while</w:t>
      </w:r>
      <w:r>
        <w:t xml:space="preserve"> </w:t>
      </w:r>
      <w:r>
        <w:t xml:space="preserve">preserving separation from the observed comparative effect. The</w:t>
      </w:r>
      <w:r>
        <w:t xml:space="preserve"> </w:t>
      </w:r>
      <w:r>
        <w:t xml:space="preserve">software-mediated workflow restricts outcome analysis until</w:t>
      </w:r>
      <w:r>
        <w:t xml:space="preserve"> </w:t>
      </w:r>
      <w:r>
        <w:t xml:space="preserve">prespecified review steps have been completed. It supplements</w:t>
      </w:r>
      <w:r>
        <w:t xml:space="preserve"> </w:t>
      </w:r>
      <w:r>
        <w:t xml:space="preserve">personnel-based governance rather than substituting for it. The audit</w:t>
      </w:r>
      <w:r>
        <w:t xml:space="preserve"> </w:t>
      </w:r>
      <w:r>
        <w:t xml:space="preserve">and decision logs give reviewers transparent documentation of every</w:t>
      </w:r>
      <w:r>
        <w:t xml:space="preserve"> </w:t>
      </w:r>
      <w:r>
        <w:t xml:space="preserve">analytic decision alongside the institutional record that already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The two arrangements address the same underlying concern, that</w:t>
      </w:r>
      <w:r>
        <w:t xml:space="preserve"> </w:t>
      </w:r>
      <w:r>
        <w:t xml:space="preserve">analytic decisions made after seeing the treatment–outcome</w:t>
      </w:r>
      <w:r>
        <w:t xml:space="preserve"> </w:t>
      </w:r>
      <w:r>
        <w:t xml:space="preserve">association are not credible, but they differ in their residual</w:t>
      </w:r>
      <w:r>
        <w:t xml:space="preserve"> </w:t>
      </w:r>
      <w:r>
        <w:t xml:space="preserve">risks. Personnel-based blinding requires an institutional</w:t>
      </w:r>
      <w:r>
        <w:t xml:space="preserve"> </w:t>
      </w:r>
      <w:r>
        <w:t xml:space="preserve">commitment to the partition of duties and tolerates ad-hoc</w:t>
      </w:r>
      <w:r>
        <w:t xml:space="preserve"> </w:t>
      </w:r>
      <w:r>
        <w:t xml:space="preserve">deviation by the blinded analyst, since the only ground truth is</w:t>
      </w:r>
      <w:r>
        <w:t xml:space="preserve"> </w:t>
      </w:r>
      <w:r>
        <w:t xml:space="preserve">the timestamped plan. Simulation-based blinding reduces the</w:t>
      </w:r>
      <w:r>
        <w:t xml:space="preserve"> </w:t>
      </w:r>
      <w:r>
        <w:t xml:space="preserve">personnel constraint but introduces a different residual risk: the</w:t>
      </w:r>
      <w:r>
        <w:t xml:space="preserve"> </w:t>
      </w:r>
      <w:r>
        <w:t xml:space="preserve">investigator must defend the assumption that the synthetic-outcome</w:t>
      </w:r>
      <w:r>
        <w:t xml:space="preserve"> </w:t>
      </w:r>
      <w:r>
        <w:t xml:space="preserve">mechanism is faithful enough to the real data-generating process</w:t>
      </w:r>
      <w:r>
        <w:t xml:space="preserve"> </w:t>
      </w:r>
      <w:r>
        <w:t xml:space="preserve">that estimator selection on simulations generalises to the</w:t>
      </w:r>
      <w:r>
        <w:t xml:space="preserve"> </w:t>
      </w:r>
      <w:r>
        <w:t xml:space="preserve">realised data. A defensible RWE pipeline can apply the</w:t>
      </w:r>
      <w:r>
        <w:t xml:space="preserve"> </w:t>
      </w:r>
      <w:r>
        <w:t xml:space="preserve">simulation-based workflow inside an institutional partition of duties.</w:t>
      </w:r>
    </w:p>
    <w:bookmarkStart w:id="36" w:name="X2cefa57a3a42104d442d070d3cb4b075df3d790"/>
    <w:p>
      <w:pPr>
        <w:pStyle w:val="Heading3"/>
      </w:pPr>
      <w:r>
        <w:t xml:space="preserve">5.3.1 Personnel-based and simulation-mediated protections compared</w:t>
      </w:r>
    </w:p>
    <w:p>
      <w:pPr>
        <w:pStyle w:val="FirstParagraph"/>
      </w:pPr>
      <w:r>
        <w:t xml:space="preserve">Personnel-based clean rooms protect against outcome-driven</w:t>
      </w:r>
      <w:r>
        <w:t xml:space="preserve"> </w:t>
      </w:r>
      <w:r>
        <w:t xml:space="preserve">protocol drift through role separation, staged access, and audit</w:t>
      </w:r>
      <w:r>
        <w:t xml:space="preserve"> </w:t>
      </w:r>
      <w:r>
        <w:t xml:space="preserve">of who can see what at each stage. Simulation-mediated blinding</w:t>
      </w:r>
      <w:r>
        <w:t xml:space="preserve"> </w:t>
      </w:r>
      <w:r>
        <w:t xml:space="preserve">supports prespecified estimator selection and stress testing using</w:t>
      </w:r>
      <w:r>
        <w:t xml:space="preserve"> </w:t>
      </w:r>
      <w:r>
        <w:t xml:space="preserve">synthetic outcomes generated from the empirical covariate and</w:t>
      </w:r>
      <w:r>
        <w:t xml:space="preserve"> </w:t>
      </w:r>
      <w:r>
        <w:t xml:space="preserve">treatment structure. The two arrangements target overlapping but</w:t>
      </w:r>
      <w:r>
        <w:t xml:space="preserve"> </w:t>
      </w:r>
      <w:r>
        <w:t xml:space="preserve">distinct residual risks: personnel-based workflows do not by</w:t>
      </w:r>
      <w:r>
        <w:t xml:space="preserve"> </w:t>
      </w:r>
      <w:r>
        <w:t xml:space="preserve">themselves quantify estimator fragility under data-quality</w:t>
      </w:r>
      <w:r>
        <w:t xml:space="preserve"> </w:t>
      </w:r>
      <w:r>
        <w:t xml:space="preserve">threats, while simulation-mediated workflows depend on the</w:t>
      </w:r>
      <w:r>
        <w:t xml:space="preserve"> </w:t>
      </w:r>
      <w:r>
        <w:t xml:space="preserve">fidelity of the synthetic-outcome mechanism. High-stakes studies</w:t>
      </w:r>
      <w:r>
        <w:t xml:space="preserve"> </w:t>
      </w:r>
      <w:r>
        <w:t xml:space="preserve">should consider using cleanTMLE inside a personnel-based</w:t>
      </w:r>
      <w:r>
        <w:t xml:space="preserve"> </w:t>
      </w:r>
      <w:r>
        <w:t xml:space="preserve">clean-room arrangement so that institutional outcome separation</w:t>
      </w:r>
      <w:r>
        <w:t xml:space="preserve"> </w:t>
      </w:r>
      <w:r>
        <w:t xml:space="preserve">and quantitative robustness screening apply together.</w:t>
      </w:r>
    </w:p>
    <w:bookmarkEnd w:id="36"/>
    <w:bookmarkStart w:id="37" w:name="methodological-tradeoffs"/>
    <w:p>
      <w:pPr>
        <w:pStyle w:val="Heading3"/>
      </w:pPr>
      <w:r>
        <w:t xml:space="preserve">5.3.2 Methodological tradeoffs</w:t>
      </w:r>
    </w:p>
    <w:p>
      <w:pPr>
        <w:pStyle w:val="FirstParagraph"/>
      </w:pPr>
      <w:r>
        <w:t xml:space="preserve">Compared with personnel-mediated outcome blinding, the</w:t>
      </w:r>
      <w:r>
        <w:t xml:space="preserve"> </w:t>
      </w:r>
      <w:r>
        <w:t xml:space="preserve">simulation-mediated approach has the following tradeoffs.</w:t>
      </w:r>
    </w:p>
    <w:p>
      <w:pPr>
        <w:pStyle w:val="BodyText"/>
      </w:pPr>
      <w:r>
        <w:rPr>
          <w:i/>
          <w:iCs/>
        </w:rPr>
        <w:t xml:space="preserve">In favour:</w:t>
      </w:r>
      <w:r>
        <w:t xml:space="preserve"> </w:t>
      </w:r>
      <w:r>
        <w:t xml:space="preserve">a single statistician can produce a documented</w:t>
      </w:r>
      <w:r>
        <w:t xml:space="preserve"> </w:t>
      </w:r>
      <w:r>
        <w:t xml:space="preserve">prespecification without a separate unblinded role, with the</w:t>
      </w:r>
      <w:r>
        <w:t xml:space="preserve"> </w:t>
      </w:r>
      <w:r>
        <w:t xml:space="preserve">caveat that submission-grade studies should retain a personnel</w:t>
      </w:r>
      <w:r>
        <w:t xml:space="preserve"> </w:t>
      </w:r>
      <w:r>
        <w:t xml:space="preserve">partition; the prespecified set of candidate estimators, the</w:t>
      </w:r>
      <w:r>
        <w:t xml:space="preserve"> </w:t>
      </w:r>
      <w:r>
        <w:t xml:space="preserve">truncation thresholds, and the decision thresholds can be revised</w:t>
      </w:r>
      <w:r>
        <w:t xml:space="preserve"> </w:t>
      </w:r>
      <w:r>
        <w:t xml:space="preserve">after viewing simulation results because those results use</w:t>
      </w:r>
      <w:r>
        <w:t xml:space="preserve"> </w:t>
      </w:r>
      <w:r>
        <w:t xml:space="preserve">synthetic outcomes, so the analytic plan need not be re-frozen</w:t>
      </w:r>
      <w:r>
        <w:t xml:space="preserve"> </w:t>
      </w:r>
      <w:r>
        <w:t xml:space="preserve">each time a tuning choice is reconsidered; the design records</w:t>
      </w:r>
      <w:r>
        <w:t xml:space="preserve"> </w:t>
      </w:r>
      <w:r>
        <w:t xml:space="preserve">support transparent reconstruction of every prespecified decision</w:t>
      </w:r>
      <w:r>
        <w:t xml:space="preserve"> </w:t>
      </w:r>
      <w:r>
        <w:t xml:space="preserve">by an external reviewer; and the same simulation loop that</w:t>
      </w:r>
      <w:r>
        <w:t xml:space="preserve"> </w:t>
      </w:r>
      <w:r>
        <w:t xml:space="preserve">selects the candidate can be used to evaluate its robustness to</w:t>
      </w:r>
      <w:r>
        <w:t xml:space="preserve"> </w:t>
      </w:r>
      <w:r>
        <w:t xml:space="preserve">prespecified data-quality threats, an evaluation that has no</w:t>
      </w:r>
      <w:r>
        <w:t xml:space="preserve"> </w:t>
      </w:r>
      <w:r>
        <w:t xml:space="preserve">direct counterpart in personnel-based blinding, where data</w:t>
      </w:r>
      <w:r>
        <w:t xml:space="preserve"> </w:t>
      </w:r>
      <w:r>
        <w:t xml:space="preserve">fitness is documented qualitatively.</w:t>
      </w:r>
    </w:p>
    <w:p>
      <w:pPr>
        <w:pStyle w:val="BodyText"/>
      </w:pPr>
      <w:r>
        <w:rPr>
          <w:i/>
          <w:iCs/>
        </w:rPr>
        <w:t xml:space="preserve">Against:</w:t>
      </w:r>
      <w:r>
        <w:t xml:space="preserve"> </w:t>
      </w:r>
      <w:r>
        <w:t xml:space="preserve">the plasmode generator uses the realised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fit a covariate-only mean model, so the analyst learns the</w:t>
      </w:r>
      <w:r>
        <w:t xml:space="preserve"> </w:t>
      </w:r>
      <w:r>
        <w:t xml:space="preserve">marginal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W</m:t>
        </m:r>
      </m:oMath>
      <w:r>
        <w:t xml:space="preserve">, although not the joint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W</m:t>
        </m:r>
      </m:oMath>
      <w:r>
        <w:t xml:space="preserve"> </w:t>
      </w:r>
      <w:r>
        <w:t xml:space="preserve">relationship. The Dang causal-roadmap reading of</w:t>
      </w:r>
      <w:r>
        <w:t xml:space="preserve"> </w:t>
      </w:r>
      <w:r>
        <w:rPr>
          <w:i/>
          <w:iCs/>
        </w:rPr>
        <w:t xml:space="preserve">outcome-blind</w:t>
      </w:r>
      <w:r>
        <w:t xml:space="preserve"> </w:t>
      </w:r>
      <w:r>
        <w:t xml:space="preserve">permits this; a stricter reading of outcome blinding</w:t>
      </w:r>
      <w:r>
        <w:t xml:space="preserve"> </w:t>
      </w:r>
      <w:r>
        <w:t xml:space="preserve">would require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W</m:t>
            </m:r>
          </m:e>
        </m:d>
      </m:oMath>
      <w:r>
        <w:t xml:space="preserve"> </w:t>
      </w:r>
      <w:r>
        <w:t xml:space="preserve">to come from external pilot data</w:t>
      </w:r>
      <w:r>
        <w:t xml:space="preserve"> </w:t>
      </w:r>
      <w:r>
        <w:t xml:space="preserve">(Dang et al. 2023, 7)</w:t>
      </w:r>
      <w:r>
        <w:t xml:space="preserve">, and the package supports both modes,</w:t>
      </w:r>
      <w:r>
        <w:t xml:space="preserve"> </w:t>
      </w:r>
      <w:r>
        <w:t xml:space="preserve">recording which mode was used. The synthetic outcome is generated</w:t>
      </w:r>
      <w:r>
        <w:t xml:space="preserve"> </w:t>
      </w:r>
      <w:r>
        <w:t xml:space="preserve">from a parametric model with a fixed risk difference, so effect</w:t>
      </w:r>
      <w:r>
        <w:t xml:space="preserve"> </w:t>
      </w:r>
      <w:r>
        <w:t xml:space="preserve">modification is not represented; a richer data-generating process</w:t>
      </w:r>
      <w:r>
        <w:t xml:space="preserve"> </w:t>
      </w:r>
      <w:r>
        <w:t xml:space="preserve">is possible but is not exercised here. Finally, when the analyst</w:t>
      </w:r>
      <w:r>
        <w:t xml:space="preserve"> </w:t>
      </w:r>
      <w:r>
        <w:t xml:space="preserve">also writes the plasmode and stress-test specifications, there is</w:t>
      </w:r>
      <w:r>
        <w:t xml:space="preserve"> </w:t>
      </w:r>
      <w:r>
        <w:t xml:space="preserve">no independent check that the synthetic-outcome mechanism is</w:t>
      </w:r>
      <w:r>
        <w:t xml:space="preserve"> </w:t>
      </w:r>
      <w:r>
        <w:t xml:space="preserve">faithful, whereas the personnel-based arrangement provides an</w:t>
      </w:r>
      <w:r>
        <w:t xml:space="preserve"> </w:t>
      </w:r>
      <w:r>
        <w:t xml:space="preserve">additional layer of cross-validation through the data manager.</w:t>
      </w:r>
    </w:p>
    <w:p>
      <w:pPr>
        <w:pStyle w:val="BodyText"/>
      </w:pPr>
      <w:r>
        <w:t xml:space="preserve">We document these trade-offs explicitly in the package’s</w:t>
      </w:r>
      <w:r>
        <w:t xml:space="preserve"> </w:t>
      </w:r>
      <w:r>
        <w:t xml:space="preserve">documentation so that the analyst can choose the level of</w:t>
      </w:r>
      <w:r>
        <w:t xml:space="preserve"> </w:t>
      </w:r>
      <w:r>
        <w:t xml:space="preserve">formality the study requires. For exploratory or lower-stakes RWE</w:t>
      </w:r>
      <w:r>
        <w:t xml:space="preserve"> </w:t>
      </w:r>
      <w:r>
        <w:t xml:space="preserve">studies, the software-only workflow may be adequate to document</w:t>
      </w:r>
      <w:r>
        <w:t xml:space="preserve"> </w:t>
      </w:r>
      <w:r>
        <w:t xml:space="preserve">and audit outcome-blind estimator selection. For high-stakes</w:t>
      </w:r>
      <w:r>
        <w:t xml:space="preserve"> </w:t>
      </w:r>
      <w:r>
        <w:t xml:space="preserve">regulatory or confirmatory studies, cleanTMLE should be embedded</w:t>
      </w:r>
      <w:r>
        <w:t xml:space="preserve"> </w:t>
      </w:r>
      <w:r>
        <w:t xml:space="preserve">within personnel-based outcome-blinding and access-control</w:t>
      </w:r>
      <w:r>
        <w:t xml:space="preserve"> </w:t>
      </w:r>
      <w:r>
        <w:t xml:space="preserve">arrangements.</w:t>
      </w:r>
    </w:p>
    <w:bookmarkEnd w:id="37"/>
    <w:bookmarkEnd w:id="38"/>
    <w:bookmarkStart w:id="39" w:name="X8366091c17716bf729a771323a4e967384c878f"/>
    <w:p>
      <w:pPr>
        <w:pStyle w:val="Heading2"/>
      </w:pPr>
      <w:r>
        <w:t xml:space="preserve">5.4 Reviewer-facing pre-outcome study dossier</w:t>
      </w:r>
    </w:p>
    <w:p>
      <w:pPr>
        <w:pStyle w:val="FirstParagraph"/>
      </w:pPr>
      <w:r>
        <w:t xml:space="preserve">The pre-outcome study dossier is a structured bundle the review</w:t>
      </w:r>
      <w:r>
        <w:t xml:space="preserve"> </w:t>
      </w:r>
      <w:r>
        <w:t xml:space="preserve">team can read before authorising the primary analysis. It</w:t>
      </w:r>
      <w:r>
        <w:t xml:space="preserve"> </w:t>
      </w:r>
      <w:r>
        <w:t xml:space="preserve">consists of: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cleanTMLE artefact</w:t>
            </w:r>
          </w:p>
        </w:tc>
        <w:tc>
          <w:tcPr/>
          <w:p>
            <w:pPr>
              <w:pStyle w:val="Compact"/>
            </w:pPr>
            <w:r>
              <w:t xml:space="preserve">Outcome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and target-trial timing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attach_estimand()</w:t>
            </w:r>
            <w:r>
              <w:t xml:space="preserve"> </w:t>
            </w:r>
            <w:r>
              <w:t xml:space="preserve">+ target-trial timing table</w:t>
            </w:r>
          </w:p>
        </w:tc>
        <w:tc>
          <w:tcPr/>
          <w:p>
            <w:pPr>
              <w:pStyle w:val="Compact"/>
            </w:pPr>
            <w:r>
              <w:t xml:space="preserve">No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 flow / attrition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attrition_table()</w:t>
            </w:r>
          </w:p>
        </w:tc>
        <w:tc>
          <w:tcPr/>
          <w:p>
            <w:pPr>
              <w:pStyle w:val="Compact"/>
            </w:pPr>
            <w:r>
              <w:t xml:space="preserve">No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Event-process 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clean_event_process_table()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clean_check_event_processes()</w:t>
            </w:r>
          </w:p>
        </w:tc>
        <w:tc>
          <w:tcPr/>
          <w:p>
            <w:pPr>
              <w:pStyle w:val="Compact"/>
            </w:pPr>
            <w:r>
              <w:t xml:space="preserve">No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Covariate and missingness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make_table1()</w:t>
            </w:r>
            <w:r>
              <w:t xml:space="preserve">, missingness-pattern checks</w:t>
            </w:r>
          </w:p>
        </w:tc>
        <w:tc>
          <w:tcPr/>
          <w:p>
            <w:pPr>
              <w:pStyle w:val="Compact"/>
            </w:pPr>
            <w:r>
              <w:t xml:space="preserve">No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 overlap and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compute_ps_diagnostics()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love_plot()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love_plot_threeway()</w:t>
            </w:r>
          </w:p>
        </w:tc>
        <w:tc>
          <w:tcPr/>
          <w:p>
            <w:pPr>
              <w:pStyle w:val="Compact"/>
            </w:pPr>
            <w:r>
              <w:t xml:space="preserve">No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Treatment- and IPCW-weight diagnostics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clean_weight_diagnostics()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extreme_weights()</w:t>
            </w:r>
          </w:p>
        </w:tc>
        <w:tc>
          <w:tcPr/>
          <w:p>
            <w:pPr>
              <w:pStyle w:val="Compact"/>
            </w:pPr>
            <w:r>
              <w:t xml:space="preserve">No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Event-count and precision adequacy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checkpoint_cohort_adequacy()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estimate_design_precision()</w:t>
            </w:r>
          </w:p>
        </w:tc>
        <w:tc>
          <w:tcPr/>
          <w:p>
            <w:pPr>
              <w:pStyle w:val="Compact"/>
            </w:pPr>
            <w:r>
              <w:t xml:space="preserve">Marginal 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plasmode candidate 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run_plasmode_feasibility()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select_tmle_candidate()</w:t>
            </w:r>
          </w:p>
        </w:tc>
        <w:tc>
          <w:tcPr/>
          <w:p>
            <w:pPr>
              <w:pStyle w:val="Compact"/>
            </w:pPr>
            <w:r>
              <w:t xml:space="preserve">Synthetic 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stress-test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run_plasmode_dq_stress()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summarize_dq_degradation()</w:t>
            </w:r>
          </w:p>
        </w:tc>
        <w:tc>
          <w:tcPr/>
          <w:p>
            <w:pPr>
              <w:pStyle w:val="Compact"/>
            </w:pPr>
            <w:r>
              <w:t xml:space="preserve">Synthetic 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Negative-control eligibility and attrition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run_residual_confounding_stage()</w:t>
            </w:r>
            <w:r>
              <w:t xml:space="preserve">, NC attrition diagram</w:t>
            </w:r>
          </w:p>
        </w:tc>
        <w:tc>
          <w:tcPr/>
          <w:p>
            <w:pPr>
              <w:pStyle w:val="Compact"/>
            </w:pPr>
            <w:r>
              <w:t xml:space="preserve">Negative-control 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Staged checkpoint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gate_all()</w:t>
            </w:r>
            <w:r>
              <w:t xml:space="preserve"> </w:t>
            </w:r>
            <w:r>
              <w:t xml:space="preserve">composite + per-checkpoint records</w:t>
            </w:r>
          </w:p>
        </w:tc>
        <w:tc>
          <w:tcPr/>
          <w:p>
            <w:pPr>
              <w:pStyle w:val="Compact"/>
            </w:pPr>
            <w:r>
              <w:t xml:space="preserve">No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log and audit log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export_decision_log()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save_decision_log()</w:t>
            </w:r>
          </w:p>
        </w:tc>
        <w:tc>
          <w:tcPr/>
          <w:p>
            <w:pPr>
              <w:pStyle w:val="Compact"/>
            </w:pPr>
            <w:r>
              <w:t xml:space="preserve">No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Authorisation record for primary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authorize_outcome_analysis()</w:t>
            </w:r>
          </w:p>
        </w:tc>
        <w:tc>
          <w:tcPr/>
          <w:p>
            <w:pPr>
              <w:pStyle w:val="Compact"/>
            </w:pPr>
            <w:r>
              <w:t xml:space="preserve">No Y</w:t>
            </w:r>
          </w:p>
        </w:tc>
      </w:tr>
    </w:tbl>
    <w:p>
      <w:pPr>
        <w:pStyle w:val="BodyText"/>
      </w:pPr>
      <w:r>
        <w:t xml:space="preserve">The dossier is the artefact the reviewer reads. Comparative</w:t>
      </w:r>
      <w:r>
        <w:t xml:space="preserve"> </w:t>
      </w:r>
      <w:r>
        <w:t xml:space="preserve">treatment-outcome estimates are not part of the dossier and are</w:t>
      </w:r>
      <w:r>
        <w:t xml:space="preserve"> </w:t>
      </w:r>
      <w:r>
        <w:t xml:space="preserve">produced only after authorisation.</w:t>
      </w:r>
    </w:p>
    <w:bookmarkEnd w:id="39"/>
    <w:bookmarkEnd w:id="40"/>
    <w:bookmarkStart w:id="48" w:name="sec-dq"/>
    <w:p>
      <w:pPr>
        <w:pStyle w:val="Heading1"/>
      </w:pPr>
      <w:r>
        <w:t xml:space="preserve">6. Data Quality as a Quantifiable Threat</w:t>
      </w:r>
    </w:p>
    <w:p>
      <w:pPr>
        <w:pStyle w:val="FirstParagraph"/>
      </w:pPr>
      <w:r>
        <w:t xml:space="preserve">The outcome-blind plasmode loop on which the DQ stress test is built</w:t>
      </w:r>
      <w:r>
        <w:t xml:space="preserve"> </w:t>
      </w:r>
      <w:r>
        <w:t xml:space="preserve">follows the guidance of</w:t>
      </w:r>
      <w:r>
        <w:t xml:space="preserve"> </w:t>
      </w:r>
      <w:r>
        <w:t xml:space="preserve">Nance et al. (2026)</w:t>
      </w:r>
      <w:r>
        <w:t xml:space="preserve">. cleanTMLE’s default plasmode</w:t>
      </w:r>
      <w:r>
        <w:t xml:space="preserve"> </w:t>
      </w:r>
      <w:r>
        <w:t xml:space="preserve">uses the empirical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structure with a covariate-only outcome</w:t>
      </w:r>
      <w:r>
        <w:t xml:space="preserve"> </w:t>
      </w:r>
      <w:r>
        <w:t xml:space="preserve">model, never the joint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W</m:t>
        </m:r>
      </m:oMath>
      <w:r>
        <w:t xml:space="preserve"> </w:t>
      </w:r>
      <w:r>
        <w:t xml:space="preserve">relationship, placing it in the</w:t>
      </w:r>
      <w:r>
        <w:t xml:space="preserve"> </w:t>
      </w:r>
      <w:r>
        <w:t xml:space="preserve">hybrid middle of the FIORD data-generating-process spectrum. The DQ</w:t>
      </w:r>
      <w:r>
        <w:t xml:space="preserve"> </w:t>
      </w:r>
      <w:r>
        <w:t xml:space="preserve">stress test extends this by adding a prespecified perturbation step on</w:t>
      </w:r>
      <w:r>
        <w:t xml:space="preserve"> </w:t>
      </w:r>
      <w:r>
        <w:t xml:space="preserve">top of the same hybrid generator.</w:t>
      </w:r>
    </w:p>
    <w:bookmarkStart w:id="41" w:name="X262475fd6dc51a12a4d5d933c1148a3024c08ab"/>
    <w:p>
      <w:pPr>
        <w:pStyle w:val="Heading2"/>
      </w:pPr>
      <w:r>
        <w:t xml:space="preserve">6.1 Why plasmode DQ stress testing adds information beyond standard pre-outcome diagnostics</w:t>
      </w:r>
    </w:p>
    <w:p>
      <w:pPr>
        <w:pStyle w:val="FirstParagraph"/>
      </w:pPr>
      <w:r>
        <w:t xml:space="preserve">Four pre-outcome tools answer four different questions and are</w:t>
      </w:r>
      <w:r>
        <w:t xml:space="preserve"> </w:t>
      </w:r>
      <w:r>
        <w:t xml:space="preserve">complementary rather than substitutable. (i) Propensity-score</w:t>
      </w:r>
      <w:r>
        <w:t xml:space="preserve"> </w:t>
      </w:r>
      <w:r>
        <w:t xml:space="preserve">diagnostics</w:t>
      </w:r>
      <w:r>
        <w:t xml:space="preserve"> </w:t>
      </w:r>
      <w:r>
        <w:t xml:space="preserve">(Austin 2009)</w:t>
      </w:r>
      <w:r>
        <w:t xml:space="preserve"> </w:t>
      </w:r>
      <w:r>
        <w:t xml:space="preserve">assess empirical comparability, overlap, and</w:t>
      </w:r>
      <w:r>
        <w:t xml:space="preserve"> </w:t>
      </w:r>
      <w:r>
        <w:t xml:space="preserve">weight stability, indicating whether the design is feasible under the</w:t>
      </w:r>
      <w:r>
        <w:t xml:space="preserve"> </w:t>
      </w:r>
      <w:r>
        <w:t xml:space="preserve">observed covariate and treatment distributions; they do not estimate the</w:t>
      </w:r>
      <w:r>
        <w:t xml:space="preserve"> </w:t>
      </w:r>
      <w:r>
        <w:t xml:space="preserve">operating characteristics of a candidate estimator. Balance is</w:t>
      </w:r>
      <w:r>
        <w:t xml:space="preserve"> </w:t>
      </w:r>
      <w:r>
        <w:t xml:space="preserve">conventionally summarised with standardised mean differences, but</w:t>
      </w:r>
      <w:r>
        <w:t xml:space="preserve"> </w:t>
      </w:r>
      <w:r>
        <w:t xml:space="preserve">univariate SMDs compare only the marginal means of each covariate and</w:t>
      </w:r>
      <w:r>
        <w:t xml:space="preserve"> </w:t>
      </w:r>
      <w:r>
        <w:t xml:space="preserve">can be satisfied while variances, higher moments, or covariate</w:t>
      </w:r>
      <w:r>
        <w:t xml:space="preserve"> </w:t>
      </w:r>
      <w:r>
        <w:t xml:space="preserve">interactions remain imbalanced, so distributional and interaction</w:t>
      </w:r>
      <w:r>
        <w:t xml:space="preserve"> </w:t>
      </w:r>
      <w:r>
        <w:t xml:space="preserve">diagnostics are needed alongside them after matching or weighting</w:t>
      </w:r>
      <w:r>
        <w:t xml:space="preserve"> </w:t>
      </w:r>
      <w:r>
        <w:t xml:space="preserve">(Austin 2009; Zhang et al. 2019)</w:t>
      </w:r>
      <w:r>
        <w:t xml:space="preserve">.</w:t>
      </w:r>
      <w:r>
        <w:t xml:space="preserve"> </w:t>
      </w:r>
      <w:r>
        <w:t xml:space="preserve">(ii) Baseline plasmode simulation evaluates candidate-estimator</w:t>
      </w:r>
      <w:r>
        <w:t xml:space="preserve"> </w:t>
      </w:r>
      <w:r>
        <w:t xml:space="preserve">operating characteristics (bias, RMSE, coverage) under a single</w:t>
      </w:r>
      <w:r>
        <w:t xml:space="preserve"> </w:t>
      </w:r>
      <w:r>
        <w:t xml:space="preserve">locked synthetic outcome model conditional on the empirical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structure. (iii) Negative-control analyses probe</w:t>
      </w:r>
      <w:r>
        <w:t xml:space="preserve"> </w:t>
      </w:r>
      <w:r>
        <w:t xml:space="preserve">residual bias for selected control outcomes against a different</w:t>
      </w:r>
      <w:r>
        <w:t xml:space="preserve"> </w:t>
      </w:r>
      <w:r>
        <w:t xml:space="preserve">data-generating channel altogether; they do not directly evaluate</w:t>
      </w:r>
      <w:r>
        <w:t xml:space="preserve"> </w:t>
      </w:r>
      <w:r>
        <w:t xml:space="preserve">how the primary estimator behaves under prespecified measurement</w:t>
      </w:r>
      <w:r>
        <w:t xml:space="preserve"> </w:t>
      </w:r>
      <w:r>
        <w:t xml:space="preserve">error, missingness, or unmeasured-confounding scenarios.</w:t>
      </w:r>
      <w:r>
        <w:t xml:space="preserve"> </w:t>
      </w:r>
      <w:r>
        <w:t xml:space="preserve">(iv) The DQ stress test asks whether the locked</w:t>
      </w:r>
      <w:r>
        <w:t xml:space="preserve"> </w:t>
      </w:r>
      <w:r>
        <w:t xml:space="preserve">estimator-selection decision is stable under prespecified</w:t>
      </w:r>
      <w:r>
        <w:t xml:space="preserve"> </w:t>
      </w:r>
      <w:r>
        <w:t xml:space="preserve">fit-for-purpose threats translated into quantitative</w:t>
      </w:r>
      <w:r>
        <w:t xml:space="preserve"> </w:t>
      </w:r>
      <w:r>
        <w:t xml:space="preserve">perturbations of the baseline plasmode, before the primary</w:t>
      </w:r>
      <w:r>
        <w:t xml:space="preserve"> </w:t>
      </w:r>
      <w:r>
        <w:t xml:space="preserve">treatment-outcome association is inspected. A STOP under a stress</w:t>
      </w:r>
      <w:r>
        <w:t xml:space="preserve"> </w:t>
      </w:r>
      <w:r>
        <w:t xml:space="preserve">scenario should be read as evidence that the study requires redesign,</w:t>
      </w:r>
      <w:r>
        <w:t xml:space="preserve"> </w:t>
      </w:r>
      <w:r>
        <w:t xml:space="preserve">external validation, additional sensitivity analysis, or narrower causal</w:t>
      </w:r>
      <w:r>
        <w:t xml:space="preserve"> </w:t>
      </w:r>
      <w:r>
        <w:t xml:space="preserve">claims before outcome access.</w:t>
      </w:r>
    </w:p>
    <w:p>
      <w:pPr>
        <w:pStyle w:val="BodyText"/>
      </w:pPr>
      <w:r>
        <w:t xml:space="preserve">The precise scope of what a passing screen establishes, and what remains</w:t>
      </w:r>
      <w:r>
        <w:t xml:space="preserve"> </w:t>
      </w:r>
      <w:r>
        <w:t xml:space="preserve">an external study-level argument, is stated in</w:t>
      </w:r>
      <w:r>
        <w:t xml:space="preserve"> </w:t>
      </w:r>
      <w:hyperlink w:anchor="sec-guarantees">
        <w:r>
          <w:rPr>
            <w:rStyle w:val="Hyperlink"/>
          </w:rPr>
          <w:t xml:space="preserve">Section 7.4</w:t>
        </w:r>
      </w:hyperlink>
      <w:r>
        <w:t xml:space="preserve">.</w:t>
      </w:r>
    </w:p>
    <w:bookmarkEnd w:id="41"/>
    <w:bookmarkStart w:id="42" w:name="X4f009c1ca2a345c3f9f27806faafdc4c5929f9a"/>
    <w:p>
      <w:pPr>
        <w:pStyle w:val="Heading2"/>
      </w:pPr>
      <w:r>
        <w:t xml:space="preserve">6.2 Mapping data-quality concerns to plasmode parameters</w:t>
      </w:r>
    </w:p>
    <w:p>
      <w:pPr>
        <w:pStyle w:val="FirstParagraph"/>
      </w:pPr>
      <w:r>
        <w:t xml:space="preserve">SPIFD2</w:t>
      </w:r>
      <w:r>
        <w:t xml:space="preserve"> </w:t>
      </w:r>
      <w:r>
        <w:t xml:space="preserve">(Gatto et al. 2023)</w:t>
      </w:r>
      <w:r>
        <w:t xml:space="preserve"> </w:t>
      </w:r>
      <w:r>
        <w:t xml:space="preserve">does not list a fixed taxonomy of</w:t>
      </w:r>
      <w:r>
        <w:t xml:space="preserve"> </w:t>
      </w:r>
      <w:r>
        <w:t xml:space="preserve">“data-quality dimensions”</w:t>
      </w:r>
      <w:r>
        <w:t xml:space="preserve">; it is a stepwise template that asks the</w:t>
      </w:r>
      <w:r>
        <w:t xml:space="preserve"> </w:t>
      </w:r>
      <w:r>
        <w:t xml:space="preserve">analyst to record each design element of the hypothetical target</w:t>
      </w:r>
      <w:r>
        <w:t xml:space="preserve"> </w:t>
      </w:r>
      <w:r>
        <w:t xml:space="preserve">trial and the data feature that operationalises it. The harmonised</w:t>
      </w:r>
      <w:r>
        <w:t xml:space="preserve"> </w:t>
      </w:r>
      <w:r>
        <w:t xml:space="preserve">data-quality terminology of</w:t>
      </w:r>
      <w:r>
        <w:t xml:space="preserve"> </w:t>
      </w:r>
      <w:r>
        <w:t xml:space="preserve">Kahn et al. (2016)</w:t>
      </w:r>
      <w:r>
        <w:t xml:space="preserve">, by contrast, defines</w:t>
      </w:r>
      <w:r>
        <w:t xml:space="preserve"> </w:t>
      </w:r>
      <w:r>
        <w:t xml:space="preserve">three dimensions (conformance, completeness, plausibility) that</w:t>
      </w:r>
      <w:r>
        <w:t xml:space="preserve"> </w:t>
      </w:r>
      <w:r>
        <w:t xml:space="preserve">have become standard in OHDSI-style assessments. We map both</w:t>
      </w:r>
      <w:r>
        <w:t xml:space="preserve"> </w:t>
      </w:r>
      <w:r>
        <w:t xml:space="preserve">SPIFD2 design-element categories and the</w:t>
      </w:r>
      <w:r>
        <w:t xml:space="preserve"> </w:t>
      </w:r>
      <w:r>
        <w:t xml:space="preserve">Kahn et al. (2016)</w:t>
      </w:r>
      <w:r>
        <w:t xml:space="preserve"> </w:t>
      </w:r>
      <w:r>
        <w:t xml:space="preserve">dimensions</w:t>
      </w:r>
      <w:r>
        <w:t xml:space="preserve"> </w:t>
      </w:r>
      <w:r>
        <w:t xml:space="preserve">to plasmode parameters as follows.</w:t>
      </w:r>
    </w:p>
    <w:p>
      <w:pPr>
        <w:pStyle w:val="TableCaption"/>
      </w:pPr>
      <w:r>
        <w:t xml:space="preserve">Table 1: Mapping data-quality concerns to plasmode-parameter inputs of run_plasmode_dq_stress().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: Mapping data-quality concerns to plasmode-parameter inputs of run_plasmode_dq_stress()."/>
      </w:tblPr>
      <w:tblGrid>
        <w:gridCol w:w="2136"/>
        <w:gridCol w:w="2099"/>
        <w:gridCol w:w="1768"/>
        <w:gridCol w:w="19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SPIFD2 / Kahn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Plasmode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plausible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criterion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Covariate measurement / availability (Kahn: completeness)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MCAR missingness,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profiling, linked validation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 ratio &gt; 1.5 at observed missingness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 exposure definition (Kahn: conformance)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(sens, spec) of treatment ascertainment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review, claims-validation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|Bias| &gt; target at plausible (sens, spec)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ascertainment (Kahn: conformance + plausibility)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(sens, spec) of outcome ascertainment, optionally by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validation, PPV / sensitivity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|Bias| &gt; target at plausible (sens, spec)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Unmeasured confounding (SPIFD2 sensitivity 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Latent U with prevalence p_U and (OR_A, OR_Y)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elicitation, literature, E-value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|Bias| &gt; target at plausible U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Sample-size adequacy (SPIFD2 step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by base plasmode through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from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&lt; min_coverage</w:t>
            </w:r>
          </w:p>
        </w:tc>
      </w:tr>
    </w:tbl>
    <w:p>
      <w:pPr>
        <w:pStyle w:val="BodyText"/>
      </w:pPr>
      <w:r>
        <w:t xml:space="preserve">The mapping is deliberately one-to-many: a single SPIFD2 design</w:t>
      </w:r>
      <w:r>
        <w:t xml:space="preserve"> </w:t>
      </w:r>
      <w:r>
        <w:t xml:space="preserve">element (say, outcome ascertainment) can drive several plasmode</w:t>
      </w:r>
      <w:r>
        <w:t xml:space="preserve"> </w:t>
      </w:r>
      <w:r>
        <w:t xml:space="preserve">parameters (per-arm sensitivity and specificity), and a single</w:t>
      </w:r>
      <w:r>
        <w:t xml:space="preserve"> </w:t>
      </w:r>
      <w:r>
        <w:t xml:space="preserve">plasmode parameter (say, MCAR fraction) can speak to several SPIFD2</w:t>
      </w:r>
      <w:r>
        <w:t xml:space="preserve"> </w:t>
      </w:r>
      <w:r>
        <w:t xml:space="preserve">elements (covariate availability, missingness handling).</w:t>
      </w:r>
    </w:p>
    <w:bookmarkEnd w:id="42"/>
    <w:bookmarkStart w:id="44" w:name="the-degradation-gradient"/>
    <w:p>
      <w:pPr>
        <w:pStyle w:val="Heading2"/>
      </w:pPr>
      <w:r>
        <w:t xml:space="preserve">6.3 The degradation gradient</w:t>
      </w:r>
    </w:p>
    <w:p>
      <w:pPr>
        <w:pStyle w:val="FirstParagraph"/>
      </w:pPr>
      <w:r>
        <w:t xml:space="preserve">Rather than testing a single value of each threat, the function</w:t>
      </w:r>
      <w:r>
        <w:t xml:space="preserve"> </w:t>
      </w:r>
      <w:r>
        <w:t xml:space="preserve">sweeps a vector of severities. The degradation gradient is the</w:t>
      </w:r>
      <w:r>
        <w:t xml:space="preserve"> </w:t>
      </w:r>
      <w:r>
        <w:t xml:space="preserve">curve of bias, RMSE, coverage, or type I error against the</w:t>
      </w:r>
      <w:r>
        <w:t xml:space="preserve"> </w:t>
      </w:r>
      <w:r>
        <w:t xml:space="preserve">severity of a prespecified data-quality threat. It is analogous to</w:t>
      </w:r>
      <w:r>
        <w:t xml:space="preserve"> </w:t>
      </w:r>
      <w:r>
        <w:t xml:space="preserve">a dose-response curve for estimator fragility: it asks how severe</w:t>
      </w:r>
      <w:r>
        <w:t xml:space="preserve"> </w:t>
      </w:r>
      <w:r>
        <w:t xml:space="preserve">the degradation must be before a candidate fails the locked</w:t>
      </w:r>
      <w:r>
        <w:t xml:space="preserve"> </w:t>
      </w:r>
      <w:r>
        <w:t xml:space="preserve">decision criteria. A robust candidate has a shallow gradient and</w:t>
      </w:r>
      <w:r>
        <w:t xml:space="preserve"> </w:t>
      </w:r>
      <w:r>
        <w:t xml:space="preserve">remains within thresholds across plausible severities. A fragile</w:t>
      </w:r>
      <w:r>
        <w:t xml:space="preserve"> </w:t>
      </w:r>
      <w:r>
        <w:t xml:space="preserve">candidate shows a cliff, where a small increase in degradation</w:t>
      </w:r>
      <w:r>
        <w:t xml:space="preserve"> </w:t>
      </w:r>
      <w:r>
        <w:t xml:space="preserve">moves bias or coverage beyond the threshold. The default candidate-selection</w:t>
      </w:r>
      <w:r>
        <w:t xml:space="preserve"> </w:t>
      </w:r>
      <w:r>
        <w:t xml:space="preserve">rule (</w:t>
      </w:r>
      <w:r>
        <w:rPr>
          <w:rStyle w:val="VerbatimChar"/>
        </w:rPr>
        <w:t xml:space="preserve">select_tmle_candidate(rule = "min_rmse")</w:t>
      </w:r>
      <w:r>
        <w:t xml:space="preserve">) chooses on RMSE in a</w:t>
      </w:r>
      <w:r>
        <w:t xml:space="preserve"> </w:t>
      </w:r>
      <w:r>
        <w:t xml:space="preserve">single step. cleanTMLE also provides</w:t>
      </w:r>
      <w:r>
        <w:t xml:space="preserve"> </w:t>
      </w:r>
      <w:r>
        <w:rPr>
          <w:rStyle w:val="VerbatimChar"/>
        </w:rPr>
        <w:t xml:space="preserve">rule = "fiord_two_stage"</w:t>
      </w:r>
      <w:r>
        <w:t xml:space="preserve">, which</w:t>
      </w:r>
      <w:r>
        <w:t xml:space="preserve"> </w:t>
      </w:r>
      <w:r>
        <w:t xml:space="preserve">implements the point-estimator stage of the two-stage selector</w:t>
      </w:r>
      <w:r>
        <w:t xml:space="preserve"> </w:t>
      </w:r>
      <w:r>
        <w:t xml:space="preserve">formalised in FIORD</w:t>
      </w:r>
      <w:r>
        <w:t xml:space="preserve"> </w:t>
      </w:r>
      <w:r>
        <w:t xml:space="preserve">(Nance et al. 2026)</w:t>
      </w:r>
      <w:r>
        <w:t xml:space="preserve">: candidates are first screened to</w:t>
      </w:r>
      <w:r>
        <w:t xml:space="preserve"> </w:t>
      </w:r>
      <w:r>
        <w:t xml:space="preserve">those that achieve nominal</w:t>
      </w:r>
      <w:r>
        <w:t xml:space="preserve"> </w:t>
      </w:r>
      <w:r>
        <w:rPr>
          <w:b/>
          <w:bCs/>
        </w:rPr>
        <w:t xml:space="preserve">oracle coverage</w:t>
      </w:r>
      <w:r>
        <w:t xml:space="preserve"> </w:t>
      </w:r>
      <w:r>
        <w:t xml:space="preserve">(a CI built from the</w:t>
      </w:r>
      <w:r>
        <w:t xml:space="preserve"> </w:t>
      </w:r>
      <w:r>
        <w:t xml:space="preserve">Monte Carlo empirical SE), and the lowest-variance survivor is locked</w:t>
      </w:r>
      <w:r>
        <w:t xml:space="preserve"> </w:t>
      </w:r>
      <w:r>
        <w:t xml:space="preserve">in. FIORD’s second stage, selecting the variance method on the locked</w:t>
      </w:r>
      <w:r>
        <w:t xml:space="preserve"> </w:t>
      </w:r>
      <w:r>
        <w:t xml:space="preserve">point estimator to achieve nominal coverage, is provided by</w:t>
      </w:r>
      <w:r>
        <w:t xml:space="preserve"> </w:t>
      </w:r>
      <w:r>
        <w:rPr>
          <w:rStyle w:val="VerbatimChar"/>
        </w:rPr>
        <w:t xml:space="preserve">select_variance_method()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bootstrap_rd_variance()</w:t>
      </w:r>
      <w:r>
        <w:t xml:space="preserve"> </w:t>
      </w:r>
      <w:r>
        <w:t xml:space="preserve">supplying a</w:t>
      </w:r>
      <w:r>
        <w:t xml:space="preserve"> </w:t>
      </w:r>
      <w:r>
        <w:t xml:space="preserve">full-pipeline nonparametric bootstrap that re-runs matching on each resample</w:t>
      </w:r>
      <w:r>
        <w:t xml:space="preserve"> </w:t>
      </w:r>
      <w:r>
        <w:t xml:space="preserve">as one candidate variance method alongside the influence-function SE; the</w:t>
      </w:r>
      <w:r>
        <w:t xml:space="preserve"> </w:t>
      </w:r>
      <w:r>
        <w:t xml:space="preserve">method achieving nominal oracle coverage is selected empirically (</w:t>
      </w:r>
      <w:hyperlink w:anchor="sec-simulation">
        <w:r>
          <w:rPr>
            <w:rStyle w:val="Hyperlink"/>
          </w:rPr>
          <w:t xml:space="preserve">Section 9</w:t>
        </w:r>
      </w:hyperlink>
      <w:r>
        <w:t xml:space="preserve">).</w:t>
      </w:r>
      <w:r>
        <w:t xml:space="preserve"> </w:t>
      </w:r>
      <w:r>
        <w:t xml:space="preserve">The rule can additionally</w:t>
      </w:r>
      <w:r>
        <w:t xml:space="preserve"> </w:t>
      </w:r>
      <w:r>
        <w:t xml:space="preserve">be augmented to require a</w:t>
      </w:r>
      <w:r>
        <w:t xml:space="preserve"> </w:t>
      </w:r>
      <w:r>
        <w:t xml:space="preserve">maximum allowed degradation in the DQ stress test, which excludes</w:t>
      </w:r>
      <w:r>
        <w:t xml:space="preserve"> </w:t>
      </w:r>
      <w:r>
        <w:t xml:space="preserve">fragile candidates before the outcome is accessed.</w:t>
      </w:r>
    </w:p>
    <w:p>
      <w:pPr>
        <w:pStyle w:val="BodyText"/>
      </w:pPr>
      <w:r>
        <w:t xml:space="preserve">Propensity-score truncation does not only stabilise variance. It</w:t>
      </w:r>
      <w:r>
        <w:t xml:space="preserve"> </w:t>
      </w:r>
      <w:r>
        <w:t xml:space="preserve">also restricts support to units with adequate overlap and therefore</w:t>
      </w:r>
      <w:r>
        <w:t xml:space="preserve"> </w:t>
      </w:r>
      <w:r>
        <w:t xml:space="preserve">changes the effective target population, so it changes the estimand</w:t>
      </w:r>
      <w:r>
        <w:t xml:space="preserve"> </w:t>
      </w:r>
      <w:r>
        <w:t xml:space="preserve">and not only the variance of the estimator</w:t>
      </w:r>
      <w:r>
        <w:t xml:space="preserve"> </w:t>
      </w:r>
      <w:r>
        <w:t xml:space="preserve">(Lash et al. 2014)</w:t>
      </w:r>
      <w:r>
        <w:t xml:space="preserve">. When the</w:t>
      </w:r>
      <w:r>
        <w:t xml:space="preserve"> </w:t>
      </w:r>
      <w:r>
        <w:t xml:space="preserve">prespecified truncation level varies across candidates, the</w:t>
      </w:r>
      <w:r>
        <w:t xml:space="preserve"> </w:t>
      </w:r>
      <w:r>
        <w:t xml:space="preserve">candidates are paired estimator-and-estimand objects, and the</w:t>
      </w:r>
      <w:r>
        <w:t xml:space="preserve"> </w:t>
      </w:r>
      <w:r>
        <w:t xml:space="preserve">pre-outcome decision must consider whether the implied target</w:t>
      </w:r>
      <w:r>
        <w:t xml:space="preserve"> </w:t>
      </w:r>
      <w:r>
        <w:t xml:space="preserve">population still answers the scientific question posed in the</w:t>
      </w:r>
      <w:r>
        <w:t xml:space="preserve"> </w:t>
      </w:r>
      <w:r>
        <w:t xml:space="preserve">target trial. cleanTMLE records the truncation rule for each</w:t>
      </w:r>
      <w:r>
        <w:t xml:space="preserve"> </w:t>
      </w:r>
      <w:r>
        <w:t xml:space="preserve">candidate as part of the analysis lock, so the</w:t>
      </w:r>
      <w:r>
        <w:t xml:space="preserve"> </w:t>
      </w:r>
      <w:r>
        <w:t xml:space="preserve">estimand-versus-estimator distinction is auditable and any</w:t>
      </w:r>
      <w:r>
        <w:t xml:space="preserve"> </w:t>
      </w:r>
      <w:r>
        <w:t xml:space="preserve">estimand drift induced by truncation is scored on the same RMSE</w:t>
      </w:r>
      <w:r>
        <w:t xml:space="preserve"> </w:t>
      </w:r>
      <w:r>
        <w:t xml:space="preserve">and coverage metrics as everything else, and not chosen</w:t>
      </w:r>
      <w:r>
        <w:t xml:space="preserve"> </w:t>
      </w:r>
      <w:r>
        <w:t xml:space="preserve">post-hoc on the realised data.</w:t>
      </w:r>
    </w:p>
    <w:bookmarkStart w:id="43" w:name="X78fa7a5ad4e21e99467d9bc9a856cd1b9091e6d"/>
    <w:p>
      <w:pPr>
        <w:pStyle w:val="Heading3"/>
      </w:pPr>
      <w:r>
        <w:t xml:space="preserve">6.3.1 When STOP motivates estimand revision, not just estimator</w:t>
      </w:r>
    </w:p>
    <w:p>
      <w:pPr>
        <w:pStyle w:val="FirstParagraph"/>
      </w:pPr>
      <w:r>
        <w:t xml:space="preserve">swapping</w:t>
      </w:r>
    </w:p>
    <w:p>
      <w:pPr>
        <w:pStyle w:val="BodyText"/>
      </w:pPr>
      <w:r>
        <w:t xml:space="preserve">A STOP or FLAG decision from the pre-outcome rule is not always a</w:t>
      </w:r>
      <w:r>
        <w:t xml:space="preserve"> </w:t>
      </w:r>
      <w:r>
        <w:t xml:space="preserve">signal to</w:t>
      </w:r>
      <w:r>
        <w:t xml:space="preserve"> </w:t>
      </w:r>
      <w:r>
        <w:rPr>
          <w:i/>
          <w:iCs/>
        </w:rPr>
        <w:t xml:space="preserve">change the estimator</w:t>
      </w:r>
      <w:r>
        <w:t xml:space="preserve">; sometimes it is a signal to</w:t>
      </w:r>
      <w:r>
        <w:t xml:space="preserve"> </w:t>
      </w:r>
      <w:r>
        <w:rPr>
          <w:i/>
          <w:iCs/>
        </w:rPr>
        <w:t xml:space="preserve">change the estimand</w:t>
      </w:r>
      <w:r>
        <w:t xml:space="preserve"> </w:t>
      </w:r>
      <w:r>
        <w:t xml:space="preserve">itself. The targeted-learning RWE roadmap</w:t>
      </w:r>
      <w:r>
        <w:t xml:space="preserve"> </w:t>
      </w:r>
      <w:r>
        <w:t xml:space="preserve">(Dang et al. 2023; Petersen and Laan 2014)</w:t>
      </w:r>
      <w:r>
        <w:t xml:space="preserve"> </w:t>
      </w:r>
      <w:r>
        <w:t xml:space="preserve">makes this explicit: if</w:t>
      </w:r>
      <w:r>
        <w:t xml:space="preserve"> </w:t>
      </w:r>
      <w:r>
        <w:t xml:space="preserve">the simulation reveals that no prespecified candidate can recover</w:t>
      </w:r>
      <w:r>
        <w:t xml:space="preserve"> </w:t>
      </w:r>
      <w:r>
        <w:t xml:space="preserve">the original target estimand under plausible threats, the honest</w:t>
      </w:r>
      <w:r>
        <w:t xml:space="preserve"> </w:t>
      </w:r>
      <w:r>
        <w:t xml:space="preserve">moves include narrowing the target population to where positivity</w:t>
      </w:r>
      <w:r>
        <w:t xml:space="preserve"> </w:t>
      </w:r>
      <w:r>
        <w:t xml:space="preserve">is supported, revising the treatment strategy to one whose</w:t>
      </w:r>
      <w:r>
        <w:t xml:space="preserve"> </w:t>
      </w:r>
      <w:r>
        <w:t xml:space="preserve">counterfactual is identifiable from the data, changing the</w:t>
      </w:r>
      <w:r>
        <w:t xml:space="preserve"> </w:t>
      </w:r>
      <w:r>
        <w:t xml:space="preserve">follow-up window, switching from a marginal to a matched or</w:t>
      </w:r>
      <w:r>
        <w:t xml:space="preserve"> </w:t>
      </w:r>
      <w:r>
        <w:t xml:space="preserve">overlap-restricted target, or changing the missingness strategy.</w:t>
      </w:r>
      <w:r>
        <w:t xml:space="preserve"> </w:t>
      </w:r>
      <w:r>
        <w:t xml:space="preserve">Each of these is an</w:t>
      </w:r>
      <w:r>
        <w:t xml:space="preserve"> </w:t>
      </w:r>
      <w:r>
        <w:rPr>
          <w:i/>
          <w:iCs/>
        </w:rPr>
        <w:t xml:space="preserve">estimand revision</w:t>
      </w:r>
      <w:r>
        <w:t xml:space="preserve">, recorded in the analysis</w:t>
      </w:r>
      <w:r>
        <w:t xml:space="preserve"> </w:t>
      </w:r>
      <w:r>
        <w:t xml:space="preserve">lock and decision log alongside the estimator changes that</w:t>
      </w:r>
      <w:r>
        <w:t xml:space="preserve"> </w:t>
      </w:r>
      <w:r>
        <w:t xml:space="preserve">prompted it. Reporting the revised estimand transparently is</w:t>
      </w:r>
      <w:r>
        <w:t xml:space="preserve"> </w:t>
      </w:r>
      <w:r>
        <w:t xml:space="preserve">preferable to reporting the original estimand with a documented</w:t>
      </w:r>
      <w:r>
        <w:t xml:space="preserve"> </w:t>
      </w:r>
      <w:r>
        <w:t xml:space="preserve">override.</w:t>
      </w:r>
    </w:p>
    <w:bookmarkEnd w:id="43"/>
    <w:bookmarkEnd w:id="44"/>
    <w:bookmarkStart w:id="46" w:name="sec-threat-matrix"/>
    <w:p>
      <w:pPr>
        <w:pStyle w:val="Heading2"/>
      </w:pPr>
      <w:r>
        <w:t xml:space="preserve">6.4 Threat-to-assumption matrix: what each scenario probes (and what it does not)</w:t>
      </w:r>
    </w:p>
    <w:p>
      <w:pPr>
        <w:pStyle w:val="FirstParagraph"/>
      </w:pPr>
      <w:r>
        <w:t xml:space="preserve">Each DQ scenario is best understood as an</w:t>
      </w:r>
      <w:r>
        <w:t xml:space="preserve"> </w:t>
      </w:r>
      <w:r>
        <w:rPr>
          <w:i/>
          <w:iCs/>
        </w:rPr>
        <w:t xml:space="preserve">engineering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approximation</w:t>
      </w:r>
      <w:r>
        <w:t xml:space="preserve"> </w:t>
      </w:r>
      <w:r>
        <w:t xml:space="preserve">to a class of threats rather than an</w:t>
      </w:r>
      <w:r>
        <w:t xml:space="preserve"> </w:t>
      </w:r>
      <w:r>
        <w:t xml:space="preserve">assumption-specific diagnostic.</w:t>
      </w:r>
      <w:r>
        <w:t xml:space="preserve"> </w:t>
      </w:r>
      <w:hyperlink w:anchor="tbl-threat-matrix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makes that distinction explicit: for each scenario it lists the</w:t>
      </w:r>
      <w:r>
        <w:t xml:space="preserve"> </w:t>
      </w:r>
      <w:r>
        <w:t xml:space="preserve">identification or measurement assumption nominally probed, the</w:t>
      </w:r>
      <w:r>
        <w:t xml:space="preserve"> </w:t>
      </w:r>
      <w:r>
        <w:t xml:space="preserve">scenario operationalisation, and the threats the scenario</w:t>
      </w:r>
      <w:r>
        <w:t xml:space="preserve"> </w:t>
      </w:r>
      <w:r>
        <w:rPr>
          <w:i/>
          <w:iCs/>
        </w:rPr>
        <w:t xml:space="preserve">does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probe. The reader should treat the table as a guide to</w:t>
      </w:r>
      <w:r>
        <w:t xml:space="preserve"> </w:t>
      </w:r>
      <w:r>
        <w:t xml:space="preserve">interpreting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output rather than as a</w:t>
      </w:r>
      <w:r>
        <w:t xml:space="preserve"> </w:t>
      </w:r>
      <w:r>
        <w:t xml:space="preserve">claim that the four scenarios constitute a complete</w:t>
      </w:r>
      <w:r>
        <w:t xml:space="preserve"> </w:t>
      </w:r>
      <w:r>
        <w:t xml:space="preserve">threat taxonomy.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threat-matrix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Threat-to-assumption matrix. For each scenario, the assumption nominally probed, the operationalisation, and the threats the scenario does NOT probe. Severity ranges must come from external validation evidence (see</w:t>
            </w:r>
            <w:r>
              <w:t xml:space="preserve"> </w:t>
            </w:r>
            <w:hyperlink w:anchor="sec-calibration">
              <w:r>
                <w:rPr>
                  <w:rStyle w:val="Hyperlink"/>
                </w:rPr>
                <w:t xml:space="preserve">Section 6.5</w:t>
              </w:r>
            </w:hyperlink>
            <w:r>
              <w:t xml:space="preserve">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1"/>
              <w:gridCol w:w="2395"/>
              <w:gridCol w:w="2229"/>
              <w:gridCol w:w="236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Nominally probes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Operationalisation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Does NOT probe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Covariate missingness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Stratified MCAR for</w:t>
                  </w:r>
                  <w:r>
                    <w:t xml:space="preserve"> </w:t>
                  </w:r>
                  <m:oMath>
                    <m:r>
                      <m:t>W</m:t>
                    </m:r>
                  </m:oMath>
                  <w:r>
                    <w:t xml:space="preserve">; robustness of nuisance fits to imputation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MCAR mask of fraction</w:t>
                  </w:r>
                  <w:r>
                    <w:t xml:space="preserve"> </w:t>
                  </w:r>
                  <m:oMath>
                    <m:r>
                      <m:t>π</m:t>
                    </m:r>
                  </m:oMath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m:oMath>
                    <m:r>
                      <m:t>W</m:t>
                    </m:r>
                  </m:oMath>
                  <w:r>
                    <w:t xml:space="preserve">, median imputation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 / MNAR; non-MCAR mechanisms; missingness in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Treatment misclassification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Consistency / SUTVA on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when the treatment phenotype is imperfect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Sensitivity / specificity flips of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  <w:r>
                    <w:t xml:space="preserve">, optionally asymmetric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Time-varying treatment versions; per-arm differential exposure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 misclassification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Differential or non-differential outcome measurement error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Sensitivity / specificity flips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, optionally per arm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 measurement processes that depend on covariates other than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Unmeasured confounding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Conditional exchangeability when one or more confounders are unmeasured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Latent</w:t>
                  </w:r>
                  <w:r>
                    <w:t xml:space="preserve"> </w:t>
                  </w:r>
                  <m:oMath>
                    <m:r>
                      <m:t>U</m:t>
                    </m:r>
                    <m:r>
                      <m:rPr>
                        <m:sty m:val="p"/>
                      </m:rPr>
                      <m:t>∼</m:t>
                    </m:r>
                    <m:r>
                      <m:rPr>
                        <m:nor/>
                        <m:sty m:val="p"/>
                      </m:rPr>
                      <m:t>Bern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</m:e>
                    </m:d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sSub>
                      <m:e>
                        <m:r>
                          <m:rPr>
                            <m:nor/>
                            <m:sty m:val="p"/>
                          </m:rPr>
                          <m:t>OR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rPr>
                            <m:nor/>
                            <m:sty m:val="p"/>
                          </m:rPr>
                          <m:t>OR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Confounding by variables not exchangeable with the chosen latent</w:t>
                  </w:r>
                  <w:r>
                    <w:t xml:space="preserve"> </w:t>
                  </w:r>
                  <m:oMath>
                    <m:r>
                      <m:t>U</m:t>
                    </m:r>
                  </m:oMath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A consequence is that the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output is</w:t>
      </w:r>
      <w:r>
        <w:t xml:space="preserve"> </w:t>
      </w:r>
      <w:r>
        <w:t xml:space="preserve">useful for</w:t>
      </w:r>
      <w:r>
        <w:t xml:space="preserve"> </w:t>
      </w:r>
      <w:r>
        <w:rPr>
          <w:i/>
          <w:iCs/>
        </w:rPr>
        <w:t xml:space="preserve">robustness screening</w:t>
      </w:r>
      <w:r>
        <w:t xml:space="preserve"> </w:t>
      </w:r>
      <w:r>
        <w:t xml:space="preserve">of candidate estimators against</w:t>
      </w:r>
      <w:r>
        <w:t xml:space="preserve"> </w:t>
      </w:r>
      <w:r>
        <w:t xml:space="preserve">prespecified threat ranges, not for</w:t>
      </w:r>
      <w:r>
        <w:t xml:space="preserve"> </w:t>
      </w:r>
      <w:r>
        <w:rPr>
          <w:i/>
          <w:iCs/>
        </w:rPr>
        <w:t xml:space="preserve">validating</w:t>
      </w:r>
      <w:r>
        <w:t xml:space="preserve"> </w:t>
      </w:r>
      <w:r>
        <w:t xml:space="preserve">the data source.</w:t>
      </w:r>
      <w:r>
        <w:t xml:space="preserve"> </w:t>
      </w:r>
      <w:r>
        <w:t xml:space="preserve">Variable validation, source-data audit, and post-outcome</w:t>
      </w:r>
      <w:r>
        <w:t xml:space="preserve"> </w:t>
      </w:r>
      <w:r>
        <w:t xml:space="preserve">quantitative bias analysis</w:t>
      </w:r>
      <w:r>
        <w:t xml:space="preserve"> </w:t>
      </w:r>
      <w:r>
        <w:t xml:space="preserve">(Lash et al. 2014)</w:t>
      </w:r>
      <w:r>
        <w:t xml:space="preserve"> </w:t>
      </w:r>
      <w:r>
        <w:t xml:space="preserve">remain separate</w:t>
      </w:r>
      <w:r>
        <w:t xml:space="preserve"> </w:t>
      </w:r>
      <w:r>
        <w:t xml:space="preserve">activities anchored in the validation literature</w:t>
      </w:r>
      <w:r>
        <w:t xml:space="preserve"> </w:t>
      </w:r>
      <w:r>
        <w:t xml:space="preserve">(U.S. Food and Drug Administration 2024b, 2021; European Medicines Agency 2026)</w:t>
      </w:r>
      <w:r>
        <w:t xml:space="preserve"> </w:t>
      </w:r>
      <w:r>
        <w:t xml:space="preserve">rather than</w:t>
      </w:r>
      <w:r>
        <w:t xml:space="preserve"> </w:t>
      </w:r>
      <w:r>
        <w:t xml:space="preserve">in the simulation engine.</w:t>
      </w:r>
    </w:p>
    <w:bookmarkEnd w:id="46"/>
    <w:bookmarkStart w:id="47" w:name="sec-calibration"/>
    <w:p>
      <w:pPr>
        <w:pStyle w:val="Heading2"/>
      </w:pPr>
      <w:r>
        <w:t xml:space="preserve">6.5 Calibration of severity ranges from external evidence</w:t>
      </w:r>
    </w:p>
    <w:p>
      <w:pPr>
        <w:pStyle w:val="FirstParagraph"/>
      </w:pPr>
      <w:r>
        <w:t xml:space="preserve">The DQ stress test is only as informative as the severity grids</w:t>
      </w:r>
      <w:r>
        <w:t xml:space="preserve"> </w:t>
      </w:r>
      <w:r>
        <w:t xml:space="preserve">the analyst supplies. Each grid should be anchored in external</w:t>
      </w:r>
      <w:r>
        <w:t xml:space="preserve"> </w:t>
      </w:r>
      <w:r>
        <w:t xml:space="preserve">evidence, not chosen for convenience: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Covariate missingness fractions</w:t>
      </w:r>
      <w:r>
        <w:t xml:space="preserve"> </w:t>
      </w:r>
      <w:r>
        <w:t xml:space="preserve">should be calibrated to the</w:t>
      </w:r>
      <w:r>
        <w:t xml:space="preserve"> </w:t>
      </w:r>
      <w:r>
        <w:t xml:space="preserve">observed missingness in the data source under study, plus</w:t>
      </w:r>
      <w:r>
        <w:t xml:space="preserve"> </w:t>
      </w:r>
      <w:r>
        <w:t xml:space="preserve">realistic alternative scenarios from data-profiling studies</w:t>
      </w:r>
      <w:r>
        <w:t xml:space="preserve"> </w:t>
      </w:r>
      <w:r>
        <w:t xml:space="preserve">(Kahn et al. 2016; U.S. Food and Drug Administration 2024b; European Medicines Agency 2026)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Treatment-ascertainment (sensitivity, specificity)</w:t>
      </w:r>
      <w:r>
        <w:t xml:space="preserve"> </w:t>
      </w:r>
      <w:r>
        <w:t xml:space="preserve">ranges</w:t>
      </w:r>
      <w:r>
        <w:t xml:space="preserve"> </w:t>
      </w:r>
      <w:r>
        <w:t xml:space="preserve">should come from claims-validation studies for the relevant</w:t>
      </w:r>
      <w:r>
        <w:t xml:space="preserve"> </w:t>
      </w:r>
      <w:r>
        <w:t xml:space="preserve">exposure phenotype or from independent chart review</w:t>
      </w:r>
      <w:r>
        <w:t xml:space="preserve"> </w:t>
      </w:r>
      <w:r>
        <w:t xml:space="preserve">(U.S. Food and Drug Administration 2024a, 2024b)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Outcome-ascertainment (sensitivity, specificity)</w:t>
      </w:r>
      <w:r>
        <w:t xml:space="preserve"> </w:t>
      </w:r>
      <w:r>
        <w:t xml:space="preserve">ranges</w:t>
      </w:r>
      <w:r>
        <w:t xml:space="preserve"> </w:t>
      </w:r>
      <w:r>
        <w:t xml:space="preserve">should come from algorithm-validation studies or PPV / sensitivity</w:t>
      </w:r>
      <w:r>
        <w:t xml:space="preserve"> </w:t>
      </w:r>
      <w:r>
        <w:t xml:space="preserve">literature for the outcome phenotype, with optional per-arm</w:t>
      </w:r>
      <w:r>
        <w:t xml:space="preserve"> </w:t>
      </w:r>
      <w:r>
        <w:t xml:space="preserve">differential misclassification when the validation literature</w:t>
      </w:r>
      <w:r>
        <w:t xml:space="preserve"> </w:t>
      </w:r>
      <w:r>
        <w:t xml:space="preserve">supports it</w:t>
      </w:r>
      <w:r>
        <w:t xml:space="preserve"> </w:t>
      </w:r>
      <w:r>
        <w:t xml:space="preserve">(U.S. Food and Drug Administration 2024a)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Unmeasured-confounder strengths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U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OR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OR</m:t>
            </m:r>
          </m:e>
          <m:sub>
            <m:r>
              <m:t>Y</m:t>
            </m:r>
          </m:sub>
        </m:sSub>
      </m:oMath>
      <w:r>
        <w:t xml:space="preserve">) should be elicited from subject-matter experts,</w:t>
      </w:r>
      <w:r>
        <w:t xml:space="preserve"> </w:t>
      </w:r>
      <w:r>
        <w:t xml:space="preserve">prior-literature E-value bounds</w:t>
      </w:r>
      <w:r>
        <w:t xml:space="preserve"> </w:t>
      </w:r>
      <w:r>
        <w:t xml:space="preserve">(VanderWeele and Ding 2017)</w:t>
      </w:r>
      <w:r>
        <w:t xml:space="preserve">, or</w:t>
      </w:r>
      <w:r>
        <w:t xml:space="preserve"> </w:t>
      </w:r>
      <w:r>
        <w:t xml:space="preserve">causal-gap sensitivity ranges</w:t>
      </w:r>
      <w:r>
        <w:t xml:space="preserve"> </w:t>
      </w:r>
      <w:r>
        <w:t xml:space="preserve">(Dı́az and Laan 2013)</w:t>
      </w:r>
      <w:r>
        <w:t xml:space="preserve">.</w:t>
      </w:r>
    </w:p>
    <w:p>
      <w:pPr>
        <w:pStyle w:val="FirstParagraph"/>
      </w:pPr>
      <w:r>
        <w:t xml:space="preserve">We recommend that the analyst record, in the decision log, a brief</w:t>
      </w:r>
      <w:r>
        <w:t xml:space="preserve"> </w:t>
      </w:r>
      <w:r>
        <w:t xml:space="preserve">citation for each severity range alongside the lock fingerprint, so</w:t>
      </w:r>
      <w:r>
        <w:t xml:space="preserve"> </w:t>
      </w:r>
      <w:r>
        <w:t xml:space="preserve">that a reviewer can check both the values and their provenance. The</w:t>
      </w:r>
      <w:r>
        <w:t xml:space="preserve"> </w:t>
      </w:r>
      <w:r>
        <w:t xml:space="preserve">boundaries of what this screen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establish (data-source</w:t>
      </w:r>
      <w:r>
        <w:t xml:space="preserve"> </w:t>
      </w:r>
      <w:r>
        <w:t xml:space="preserve">validation, causal identification, post-outcome sensitivity, and</w:t>
      </w:r>
      <w:r>
        <w:t xml:space="preserve"> </w:t>
      </w:r>
      <w:r>
        <w:t xml:space="preserve">independent governance) are listed concisely in the regulatory</w:t>
      </w:r>
      <w:r>
        <w:t xml:space="preserve"> </w:t>
      </w:r>
      <w:r>
        <w:t xml:space="preserve">alignment table (</w:t>
      </w:r>
      <w:hyperlink w:anchor="sec-roadmap">
        <w:r>
          <w:rPr>
            <w:rStyle w:val="Hyperlink"/>
          </w:rPr>
          <w:t xml:space="preserve">Section 2</w:t>
        </w:r>
      </w:hyperlink>
      <w:r>
        <w:t xml:space="preserve">,</w:t>
      </w:r>
      <w:r>
        <w:t xml:space="preserve"> </w:t>
      </w:r>
      <w:hyperlink w:anchor="tbl-reg-align">
        <w:r>
          <w:rPr>
            <w:rStyle w:val="Hyperlink"/>
          </w:rPr>
          <w:t xml:space="preserve">Table 9</w:t>
        </w:r>
      </w:hyperlink>
      <w:r>
        <w:t xml:space="preserve">) and</w:t>
      </w:r>
      <w:r>
        <w:t xml:space="preserve"> </w:t>
      </w:r>
      <w:r>
        <w:t xml:space="preserve">in the limitations paragraph in the Discussion (</w:t>
      </w:r>
      <w:hyperlink w:anchor="sec-discussion">
        <w:r>
          <w:rPr>
            <w:rStyle w:val="Hyperlink"/>
          </w:rPr>
          <w:t xml:space="preserve">Section 13</w:t>
        </w:r>
      </w:hyperlink>
      <w:r>
        <w:t xml:space="preserve">).</w:t>
      </w:r>
    </w:p>
    <w:bookmarkEnd w:id="47"/>
    <w:bookmarkEnd w:id="48"/>
    <w:bookmarkStart w:id="53" w:name="sec-bridge"/>
    <w:p>
      <w:pPr>
        <w:pStyle w:val="Heading1"/>
      </w:pPr>
      <w:r>
        <w:t xml:space="preserve">7. A quantitative supplement to fit-for-purpose review</w:t>
      </w:r>
    </w:p>
    <w:p>
      <w:pPr>
        <w:pStyle w:val="FirstParagraph"/>
      </w:pPr>
      <w:r>
        <w:t xml:space="preserve">This section describes how the pre-outcome decision is currently scored</w:t>
      </w:r>
      <w:r>
        <w:t xml:space="preserve"> </w:t>
      </w:r>
      <w:r>
        <w:t xml:space="preserve">in published TL-RWE pipelines and what changes when the DQ stress</w:t>
      </w:r>
      <w:r>
        <w:t xml:space="preserve"> </w:t>
      </w:r>
      <w:r>
        <w:t xml:space="preserve">test feeds into the same decision. The test scores robustness of</w:t>
      </w:r>
      <w:r>
        <w:t xml:space="preserve"> </w:t>
      </w:r>
      <w:r>
        <w:t xml:space="preserve">candidate estimators against prespecified threat ranges; the</w:t>
      </w:r>
      <w:r>
        <w:t xml:space="preserve"> </w:t>
      </w:r>
      <w:r>
        <w:t xml:space="preserve">validity of those ranges, and of the data source itself, remains</w:t>
      </w:r>
      <w:r>
        <w:t xml:space="preserve"> </w:t>
      </w:r>
      <w:r>
        <w:t xml:space="preserve">an external study-level argument anchored in source-specific</w:t>
      </w:r>
      <w:r>
        <w:t xml:space="preserve"> </w:t>
      </w:r>
      <w:r>
        <w:t xml:space="preserve">assessment guidance</w:t>
      </w:r>
      <w:r>
        <w:t xml:space="preserve"> </w:t>
      </w:r>
      <w:r>
        <w:t xml:space="preserve">(U.S. Food and Drug Administration 2024a, 2024b; European Medicines Agency 2026)</w:t>
      </w:r>
      <w:r>
        <w:t xml:space="preserve"> </w:t>
      </w:r>
      <w:r>
        <w:t xml:space="preserve">(see</w:t>
      </w:r>
      <w:r>
        <w:t xml:space="preserve"> </w:t>
      </w:r>
      <w:hyperlink w:anchor="tbl-reg-align">
        <w:r>
          <w:rPr>
            <w:rStyle w:val="Hyperlink"/>
          </w:rPr>
          <w:t xml:space="preserve">Table 9</w:t>
        </w:r>
      </w:hyperlink>
      <w:r>
        <w:t xml:space="preserve">).</w:t>
      </w:r>
    </w:p>
    <w:p>
      <w:pPr>
        <w:pStyle w:val="BodyText"/>
      </w:pPr>
      <w:r>
        <w:t xml:space="preserve">A note on terminology: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describe three</w:t>
      </w:r>
      <w:r>
        <w:t xml:space="preserve"> </w:t>
      </w:r>
      <w:r>
        <w:t xml:space="preserve">review-team decisions (</w:t>
      </w:r>
      <w:r>
        <w:t xml:space="preserve">“proceed to the next stage”</w:t>
      </w:r>
      <w:r>
        <w:t xml:space="preserve">,</w:t>
      </w:r>
      <w:r>
        <w:t xml:space="preserve"> </w:t>
      </w:r>
      <w:r>
        <w:t xml:space="preserve">“conduct</w:t>
      </w:r>
      <w:r>
        <w:t xml:space="preserve"> </w:t>
      </w:r>
      <w:r>
        <w:t xml:space="preserve">additional analyses to address bias”</w:t>
      </w:r>
      <w:r>
        <w:t xml:space="preserve">, or</w:t>
      </w:r>
      <w:r>
        <w:t xml:space="preserve"> </w:t>
      </w:r>
      <w:r>
        <w:t xml:space="preserve">“terminate the study”</w:t>
      </w:r>
      <w:r>
        <w:t xml:space="preserve">),</w:t>
      </w:r>
      <w:r>
        <w:t xml:space="preserve"> </w:t>
      </w:r>
      <w:r>
        <w:t xml:space="preserve">which we standardise throughout this manuscript as GO, FLAG, and</w:t>
      </w:r>
      <w:r>
        <w:t xml:space="preserve"> </w:t>
      </w:r>
      <w:r>
        <w:t xml:space="preserve">STOP. GO means proceed to the locked primary analysis; FLAG means</w:t>
      </w:r>
      <w:r>
        <w:t xml:space="preserve"> </w:t>
      </w:r>
      <w:r>
        <w:t xml:space="preserve">proceed only with documented review or qualification; STOP means</w:t>
      </w:r>
      <w:r>
        <w:t xml:space="preserve"> </w:t>
      </w:r>
      <w:r>
        <w:t xml:space="preserve">do not conduct or report the primary comparative analysis under</w:t>
      </w:r>
      <w:r>
        <w:t xml:space="preserve"> </w:t>
      </w:r>
      <w:r>
        <w:t xml:space="preserve">the current estimand/design/specification. The cleanTMLE software</w:t>
      </w:r>
      <w:r>
        <w:t xml:space="preserve"> </w:t>
      </w:r>
      <w:r>
        <w:t xml:space="preserve">uses the three labels for the same purpose, and the mapping to the</w:t>
      </w:r>
      <w:r>
        <w:t xml:space="preserve"> </w:t>
      </w:r>
      <w:r>
        <w:t xml:space="preserve">Muntner et al. wording is one-to-one.</w:t>
      </w:r>
    </w:p>
    <w:bookmarkStart w:id="49" w:name="X4870de5334a1d002935adfa59f8358a3c7029c6"/>
    <w:p>
      <w:pPr>
        <w:pStyle w:val="Heading2"/>
      </w:pPr>
      <w:r>
        <w:t xml:space="preserve">7.1 What the pre-outcome decision currently does</w:t>
      </w:r>
    </w:p>
    <w:p>
      <w:pPr>
        <w:pStyle w:val="FirstParagraph"/>
      </w:pPr>
      <w:r>
        <w:t xml:space="preserve">In the published TL-RWE literature the pre-outcome decision is a</w:t>
      </w:r>
      <w:r>
        <w:t xml:space="preserve"> </w:t>
      </w:r>
      <w:r>
        <w:t xml:space="preserve">prespecified set of qualitative checks: the SAP exists, the lock is</w:t>
      </w:r>
      <w:r>
        <w:t xml:space="preserve"> </w:t>
      </w:r>
      <w:r>
        <w:t xml:space="preserve">in place, the cohort meets minimum size and event criteria, the</w:t>
      </w:r>
      <w:r>
        <w:t xml:space="preserve"> </w:t>
      </w:r>
      <w:r>
        <w:t xml:space="preserve">propensity-score overlap looks acceptable, and the negative-</w:t>
      </w:r>
      <w:r>
        <w:t xml:space="preserve"> </w:t>
      </w:r>
      <w:r>
        <w:t xml:space="preserve">control-outcome estimate is consistent with no effect</w:t>
      </w:r>
      <w:r>
        <w:t xml:space="preserve"> </w:t>
      </w:r>
      <w:r>
        <w:t xml:space="preserve">(Dang et al. 2023; Gruber, Lee, et al. 2024; Gruber, Phillips, et al. 2024)</w:t>
      </w:r>
      <w:r>
        <w:t xml:space="preserve">. Each</w:t>
      </w:r>
      <w:r>
        <w:t xml:space="preserve"> </w:t>
      </w:r>
      <w:r>
        <w:t xml:space="preserve">check is binary or ordinal, and each is computed from a different</w:t>
      </w:r>
      <w:r>
        <w:t xml:space="preserve"> </w:t>
      </w:r>
      <w:r>
        <w:t xml:space="preserve">source (a PDF SAP, a balance table, a negative-control estimate).</w:t>
      </w:r>
      <w:r>
        <w:t xml:space="preserve"> </w:t>
      </w:r>
      <w:r>
        <w:t xml:space="preserve">When the data-fitness argument is added, it usually appears as a</w:t>
      </w:r>
      <w:r>
        <w:t xml:space="preserve"> </w:t>
      </w:r>
      <w:r>
        <w:t xml:space="preserve">separate document (the SPIFD2 or HARPER table</w:t>
      </w:r>
      <w:r>
        <w:t xml:space="preserve"> </w:t>
      </w:r>
      <w:r>
        <w:t xml:space="preserve">(Wang, Sreedhara, and Schneeweiss 2023)</w:t>
      </w:r>
      <w:r>
        <w:t xml:space="preserve">) and is adjudicated by reviewers rather than</w:t>
      </w:r>
      <w:r>
        <w:t xml:space="preserve"> </w:t>
      </w:r>
      <w:r>
        <w:t xml:space="preserve">scored against the prespecified decision rule.</w:t>
      </w:r>
    </w:p>
    <w:bookmarkEnd w:id="49"/>
    <w:bookmarkStart w:id="50" w:name="what-the-dq-supplement-adds"/>
    <w:p>
      <w:pPr>
        <w:pStyle w:val="Heading2"/>
      </w:pPr>
      <w:r>
        <w:t xml:space="preserve">7.2 What the DQ supplement adds</w:t>
      </w:r>
    </w:p>
    <w:p>
      <w:pPr>
        <w:pStyle w:val="FirstParagraph"/>
      </w:pPr>
      <w:r>
        <w:t xml:space="preserve">The DQ stress test reports, for each candidate, the same triple</w:t>
      </w:r>
      <w:r>
        <w:t xml:space="preserve"> </w:t>
      </w:r>
      <w:r>
        <w:t xml:space="preserve">(bias, RMSE, coverage) at each severity of each threat that the</w:t>
      </w:r>
      <w:r>
        <w:t xml:space="preserve"> </w:t>
      </w:r>
      <w:r>
        <w:t xml:space="preserve">baseline plasmode reports. Because the units match, the same</w:t>
      </w:r>
      <w:r>
        <w:t xml:space="preserve"> </w:t>
      </w:r>
      <w:r>
        <w:t xml:space="preserve">prespecified thresholds (maximum allowed bias, minimum allowed</w:t>
      </w:r>
      <w:r>
        <w:t xml:space="preserve"> </w:t>
      </w:r>
      <w:r>
        <w:t xml:space="preserve">coverage, and an allowed SE-calibration window) can be applied</w:t>
      </w:r>
      <w:r>
        <w:t xml:space="preserve"> </w:t>
      </w:r>
      <w:r>
        <w:t xml:space="preserve">uniformly to the baseline plasmode and to the degraded runs. The</w:t>
      </w:r>
      <w:r>
        <w:t xml:space="preserve"> </w:t>
      </w:r>
      <w:r>
        <w:t xml:space="preserve">prespecified candidate is required to meet those thresholds both</w:t>
      </w:r>
      <w:r>
        <w:t xml:space="preserve"> </w:t>
      </w:r>
      <w:r>
        <w:t xml:space="preserve">under the locked data-generating process and across the plausible</w:t>
      </w:r>
      <w:r>
        <w:t xml:space="preserve"> </w:t>
      </w:r>
      <w:r>
        <w:t xml:space="preserve">range of each threat documented in the fit-for-purpose review.</w:t>
      </w:r>
      <w:r>
        <w:t xml:space="preserve"> </w:t>
      </w:r>
      <w:r>
        <w:t xml:space="preserve">The package ships heuristic defaults for these thresholds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max_abs_bias = 0.01</w:t>
      </w:r>
      <w:r>
        <w:t xml:space="preserve"> </w:t>
      </w:r>
      <w:r>
        <w:t xml:space="preserve">on the risk-difference scale,</w:t>
      </w:r>
      <w:r>
        <w:t xml:space="preserve"> </w:t>
      </w:r>
      <w:r>
        <w:rPr>
          <w:rStyle w:val="VerbatimChar"/>
        </w:rPr>
        <w:t xml:space="preserve">min_coverage = 0.90</w:t>
      </w:r>
      <w:r>
        <w:t xml:space="preserve">, an SE-to-empirical-SD window of (0.8, 1.2), and an ESS</w:t>
      </w:r>
      <w:r>
        <w:t xml:space="preserve"> </w:t>
      </w:r>
      <w:r>
        <w:t xml:space="preserve">floor at 30% of</w:t>
      </w:r>
      <w:r>
        <w:t xml:space="preserve"> </w:t>
      </w:r>
      <m:oMath>
        <m:r>
          <m:t>n</m:t>
        </m:r>
      </m:oMath>
      <w:r>
        <w:t xml:space="preserve">). These are conventional rules of thumb rather</w:t>
      </w:r>
      <w:r>
        <w:t xml:space="preserve"> </w:t>
      </w:r>
      <w:r>
        <w:t xml:space="preserve">than values derived from a regulatory specification; analysts</w:t>
      </w:r>
      <w:r>
        <w:t xml:space="preserve"> </w:t>
      </w:r>
      <w:r>
        <w:t xml:space="preserve">should set them from the study context (the estimand magnitude,</w:t>
      </w:r>
      <w:r>
        <w:t xml:space="preserve"> </w:t>
      </w:r>
      <w:r>
        <w:t xml:space="preserve">the prespecified Type I error budget, and the operating</w:t>
      </w:r>
      <w:r>
        <w:t xml:space="preserve"> </w:t>
      </w:r>
      <w:r>
        <w:t xml:space="preserve">characteristics required by the receiver of the evidence) before</w:t>
      </w:r>
      <w:r>
        <w:t xml:space="preserve"> </w:t>
      </w:r>
      <w:r>
        <w:t xml:space="preserve">the analysis lock is signed. The package records the values in</w:t>
      </w:r>
      <w:r>
        <w:t xml:space="preserve"> </w:t>
      </w:r>
      <w:r>
        <w:t xml:space="preserve">use as part of the lock fingerprint.</w:t>
      </w:r>
    </w:p>
    <w:p>
      <w:pPr>
        <w:pStyle w:val="BodyText"/>
      </w:pPr>
      <w:r>
        <w:t xml:space="preserve">This shifts the pre-outcome decision in three ways. First, the</w:t>
      </w:r>
      <w:r>
        <w:t xml:space="preserve"> </w:t>
      </w:r>
      <w:r>
        <w:t xml:space="preserve">data-fitness argument becomes numeric and candidate-specific:</w:t>
      </w:r>
      <w:r>
        <w:t xml:space="preserve"> </w:t>
      </w:r>
      <w:r>
        <w:t xml:space="preserve">instead of a prose claim that</w:t>
      </w:r>
      <w:r>
        <w:t xml:space="preserve"> </w:t>
      </w:r>
      <w:r>
        <w:t xml:space="preserve">“the outcome ascertainment algorithm</w:t>
      </w:r>
      <w:r>
        <w:t xml:space="preserve"> </w:t>
      </w:r>
      <w:r>
        <w:t xml:space="preserve">has reported sensitivity 0.90,”</w:t>
      </w:r>
      <w:r>
        <w:t xml:space="preserve"> </w:t>
      </w:r>
      <w:r>
        <w:t xml:space="preserve">the analyst sees that at</w:t>
      </w:r>
      <w:r>
        <w:t xml:space="preserve"> </w:t>
      </w:r>
      <w:r>
        <w:t xml:space="preserve">sensitivity = 0.90 and specificity = 0.95 the bias of the selected</w:t>
      </w:r>
      <w:r>
        <w:t xml:space="preserve"> </w:t>
      </w:r>
      <w:r>
        <w:t xml:space="preserve">candidate rises from near zero to 0.004, still within the</w:t>
      </w:r>
      <w:r>
        <w:t xml:space="preserve"> </w:t>
      </w:r>
      <w:r>
        <w:t xml:space="preserve">prespecified threshold of 0.010. The steeper threat is unmeasured</w:t>
      </w:r>
      <w:r>
        <w:t xml:space="preserve"> </w:t>
      </w:r>
      <w:r>
        <w:t xml:space="preserve">confounding: at OR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= OR</w:t>
      </w:r>
      <m:oMath>
        <m:sSub>
          <m:e>
            <m:r>
              <m:t>​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2.0 the same candidate’s bias</w:t>
      </w:r>
      <w:r>
        <w:t xml:space="preserve"> </w:t>
      </w:r>
      <w:r>
        <w:t xml:space="preserve">reaches 0.010, touching the threshold, and RMSE rises by 9 %</w:t>
      </w:r>
      <w:r>
        <w:t xml:space="preserve"> </w:t>
      </w:r>
      <w:r>
        <w:t xml:space="preserve">relative to the baseline plasmode. Second, the default</w:t>
      </w:r>
      <w:r>
        <w:t xml:space="preserve"> </w:t>
      </w:r>
      <w:r>
        <w:rPr>
          <w:rStyle w:val="VerbatimChar"/>
        </w:rPr>
        <w:t xml:space="preserve">select_tmle_candidate()</w:t>
      </w:r>
      <w:r>
        <w:t xml:space="preserve"> </w:t>
      </w:r>
      <w:r>
        <w:t xml:space="preserve">rule, which picks the RMSE-minimiser on</w:t>
      </w:r>
      <w:r>
        <w:t xml:space="preserve"> </w:t>
      </w:r>
      <w:r>
        <w:t xml:space="preserve">the baseline plasmode, gains the option</w:t>
      </w:r>
      <w:r>
        <w:t xml:space="preserve"> </w:t>
      </w:r>
      <w:r>
        <w:rPr>
          <w:rStyle w:val="VerbatimChar"/>
        </w:rPr>
        <w:t xml:space="preserve">rule = "min_max_rmse"</w:t>
      </w:r>
      <w:r>
        <w:t xml:space="preserve">,</w:t>
      </w:r>
      <w:r>
        <w:t xml:space="preserve"> </w:t>
      </w:r>
      <w:r>
        <w:t xml:space="preserve">which selects the candidate with the lowest worst-case RMSE across</w:t>
      </w:r>
      <w:r>
        <w:t xml:space="preserve"> </w:t>
      </w:r>
      <w:r>
        <w:t xml:space="preserve">the DQ scenarios; a candidate that wins on the baseline but</w:t>
      </w:r>
      <w:r>
        <w:t xml:space="preserve"> </w:t>
      </w:r>
      <w:r>
        <w:t xml:space="preserve">collapses under a positivity violation loses to a slightly less</w:t>
      </w:r>
      <w:r>
        <w:t xml:space="preserve"> </w:t>
      </w:r>
      <w:r>
        <w:t xml:space="preserve">efficient one that maintains acceptable performance across the</w:t>
      </w:r>
      <w:r>
        <w:t xml:space="preserve"> </w:t>
      </w:r>
      <w:r>
        <w:t xml:space="preserve">entire plausible range.</w:t>
      </w:r>
      <w:r>
        <w:t xml:space="preserve"> </w:t>
      </w:r>
      <w:hyperlink w:anchor="sec-divergence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exhibits a candidate grid</w:t>
      </w:r>
      <w:r>
        <w:t xml:space="preserve"> </w:t>
      </w:r>
      <w:r>
        <w:t xml:space="preserve">under which this rule changes the locked estimator. Third, because the DQ output is recorded</w:t>
      </w:r>
      <w:r>
        <w:t xml:space="preserve"> </w:t>
      </w:r>
      <w:r>
        <w:t xml:space="preserve">in the same audit log as the baseline plasmode, a reviewer can</w:t>
      </w:r>
      <w:r>
        <w:t xml:space="preserve"> </w:t>
      </w:r>
      <w:r>
        <w:t xml:space="preserve">read the audit trail, see the externally derived ranges that went</w:t>
      </w:r>
      <w:r>
        <w:t xml:space="preserve"> </w:t>
      </w:r>
      <w:r>
        <w:t xml:space="preserve">in, see the prespecified thresholds that came out, and reproduce</w:t>
      </w:r>
      <w:r>
        <w:t xml:space="preserve"> </w:t>
      </w:r>
      <w:r>
        <w:t xml:space="preserve">the decision.</w:t>
      </w:r>
    </w:p>
    <w:bookmarkEnd w:id="50"/>
    <w:bookmarkStart w:id="51" w:name="position-relative-to-other-bias-analyses"/>
    <w:p>
      <w:pPr>
        <w:pStyle w:val="Heading2"/>
      </w:pPr>
      <w:r>
        <w:t xml:space="preserve">7.3 Position relative to other bias analyses</w:t>
      </w:r>
    </w:p>
    <w:p>
      <w:pPr>
        <w:pStyle w:val="FirstParagraph"/>
      </w:pPr>
      <w:r>
        <w:t xml:space="preserve">The DQ stress test is distinct from quantitative bias analysis (QBA)</w:t>
      </w:r>
      <w:r>
        <w:t xml:space="preserve"> </w:t>
      </w:r>
      <w:r>
        <w:t xml:space="preserve">(Lash et al. 2014)</w:t>
      </w:r>
      <w:r>
        <w:t xml:space="preserve"> </w:t>
      </w:r>
      <w:r>
        <w:t xml:space="preserve">and from the targeted-learning causal-gap sensitivity</w:t>
      </w:r>
      <w:r>
        <w:t xml:space="preserve"> </w:t>
      </w:r>
      <w:r>
        <w:t xml:space="preserve">analysis of</w:t>
      </w:r>
      <w:r>
        <w:t xml:space="preserve"> </w:t>
      </w:r>
      <w:r>
        <w:t xml:space="preserve">Dı́az and Laan (2013)</w:t>
      </w:r>
      <w:r>
        <w:t xml:space="preserve">. QBA adjusts the</w:t>
      </w:r>
      <w:r>
        <w:t xml:space="preserve"> </w:t>
      </w:r>
      <w:r>
        <w:rPr>
          <w:i/>
          <w:iCs/>
        </w:rPr>
        <w:t xml:space="preserve">final</w:t>
      </w:r>
      <w:r>
        <w:t xml:space="preserve"> </w:t>
      </w:r>
      <w:r>
        <w:t xml:space="preserve">effect</w:t>
      </w:r>
      <w:r>
        <w:t xml:space="preserve"> </w:t>
      </w:r>
      <w:r>
        <w:t xml:space="preserve">estimate for a postulated bias and is an unblinding-stage tool;</w:t>
      </w:r>
      <w:r>
        <w:t xml:space="preserve"> </w:t>
      </w:r>
      <w:r>
        <w:t xml:space="preserve">causal-gap characterises how the estimate changes as a function of</w:t>
      </w:r>
      <w:r>
        <w:t xml:space="preserve"> </w:t>
      </w:r>
      <w:r>
        <w:t xml:space="preserve">an unmeasured-confounder bound and complements the E-value</w:t>
      </w:r>
      <w:r>
        <w:t xml:space="preserve"> </w:t>
      </w:r>
      <w:r>
        <w:t xml:space="preserve">(VanderWeele and Ding 2017)</w:t>
      </w:r>
      <w:r>
        <w:t xml:space="preserve">. The DQ stress test, by contrast, asks</w:t>
      </w:r>
      <w:r>
        <w:t xml:space="preserve"> </w:t>
      </w:r>
      <w:r>
        <w:t xml:space="preserve">whether candidate estimators still pass the pre-outcome decision when</w:t>
      </w:r>
      <w:r>
        <w:t xml:space="preserve"> </w:t>
      </w:r>
      <w:r>
        <w:t xml:space="preserve">the data are degraded under prespecified threats, and reaches</w:t>
      </w:r>
      <w:r>
        <w:t xml:space="preserve"> </w:t>
      </w:r>
      <w:r>
        <w:t xml:space="preserve">covariate missingness and exposure misclassification in particular.</w:t>
      </w:r>
    </w:p>
    <w:p>
      <w:pPr>
        <w:pStyle w:val="BodyText"/>
      </w:pPr>
      <w:r>
        <w:t xml:space="preserve">We therefore position the DQ stress test as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of three</w:t>
      </w:r>
      <w:r>
        <w:t xml:space="preserve"> </w:t>
      </w:r>
      <w:r>
        <w:t xml:space="preserve">sequential bias analyses: pre-outcome (DQ stress test), at-outcome</w:t>
      </w:r>
      <w:r>
        <w:t xml:space="preserve"> </w:t>
      </w:r>
      <w:r>
        <w:t xml:space="preserve">(negative-control outcomes</w:t>
      </w:r>
      <w:r>
        <w:t xml:space="preserve"> </w:t>
      </w:r>
      <w:r>
        <w:t xml:space="preserve">(Lipsitch, Tchetgen Tchetgen, and Cohen 2010)</w:t>
      </w:r>
      <w:r>
        <w:t xml:space="preserve">), and</w:t>
      </w:r>
      <w:r>
        <w:t xml:space="preserve"> </w:t>
      </w:r>
      <w:r>
        <w:t xml:space="preserve">post-outcome (E-value, QBA, causal-gap). Each addresses a different</w:t>
      </w:r>
      <w:r>
        <w:t xml:space="preserve"> </w:t>
      </w:r>
      <w:r>
        <w:t xml:space="preserve">threat, at a different stage, with a different artifact.</w:t>
      </w:r>
    </w:p>
    <w:p>
      <w:pPr>
        <w:pStyle w:val="BodyText"/>
      </w:pPr>
      <w:r>
        <w:t xml:space="preserve">The outcome-blind property of the plasmode, defined in the introduction</w:t>
      </w:r>
      <w:r>
        <w:t xml:space="preserve"> </w:t>
      </w:r>
      <w:r>
        <w:t xml:space="preserve">(the marginal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W</m:t>
            </m:r>
          </m:e>
        </m:d>
      </m:oMath>
      <w:r>
        <w:t xml:space="preserve"> </w:t>
      </w:r>
      <w:r>
        <w:t xml:space="preserve">is fitted on the realised outcome and the</w:t>
      </w:r>
      <w:r>
        <w:t xml:space="preserve"> </w:t>
      </w:r>
      <w:r>
        <w:t xml:space="preserve">joint treatment-outcome association is never inspected before the</w:t>
      </w:r>
      <w:r>
        <w:t xml:space="preserve"> </w:t>
      </w:r>
      <w:r>
        <w:t xml:space="preserve">pre-outcome decision), carries through to the DQ stress test. The</w:t>
      </w:r>
      <w:r>
        <w:t xml:space="preserve"> </w:t>
      </w:r>
      <w:r>
        <w:t xml:space="preserve">analysis-lock fingerprint records the final choices; once all pre-outcome</w:t>
      </w:r>
      <w:r>
        <w:t xml:space="preserve"> </w:t>
      </w:r>
      <w:r>
        <w:t xml:space="preserve">stages are complete, the outcome is unmasked and the primary analysis runs.</w:t>
      </w:r>
    </w:p>
    <w:bookmarkEnd w:id="51"/>
    <w:bookmarkStart w:id="52" w:name="sec-guarantees"/>
    <w:p>
      <w:pPr>
        <w:pStyle w:val="Heading2"/>
      </w:pPr>
      <w:r>
        <w:t xml:space="preserve">7.4 What passing the screen does and does not establish</w:t>
      </w:r>
    </w:p>
    <w:p>
      <w:pPr>
        <w:pStyle w:val="FirstParagraph"/>
      </w:pPr>
      <w:r>
        <w:t xml:space="preserve">Passing the DQ stress test establishes only that, under the analyst’s</w:t>
      </w:r>
      <w:r>
        <w:t xml:space="preserve"> </w:t>
      </w:r>
      <w:r>
        <w:t xml:space="preserve">synthetic-outcome model and over the prespecified range of each threat,</w:t>
      </w:r>
      <w:r>
        <w:t xml:space="preserve"> </w:t>
      </w:r>
      <w:r>
        <w:t xml:space="preserve">the locked candidate maintained bias, coverage, and SE calibration within</w:t>
      </w:r>
      <w:r>
        <w:t xml:space="preserve"> </w:t>
      </w:r>
      <w:r>
        <w:t xml:space="preserve">the prespecified thresholds. It does not establish that the identification</w:t>
      </w:r>
      <w:r>
        <w:t xml:space="preserve"> </w:t>
      </w:r>
      <w:r>
        <w:t xml:space="preserve">assumptions hold, that the data are fit for purpose, or that the realised</w:t>
      </w:r>
      <w:r>
        <w:t xml:space="preserve"> </w:t>
      </w:r>
      <w:r>
        <w:t xml:space="preserve">estimator will behave as the synthetic one did. Three caveats follow.</w:t>
      </w:r>
      <w:r>
        <w:t xml:space="preserve"> </w:t>
      </w:r>
      <w:r>
        <w:t xml:space="preserve">First, the screen can only score threats the analyst names: a confounder,</w:t>
      </w:r>
      <w:r>
        <w:t xml:space="preserve"> </w:t>
      </w:r>
      <w:r>
        <w:t xml:space="preserve">misclassification pattern, or missingness mechanism that is not</w:t>
      </w:r>
      <w:r>
        <w:t xml:space="preserve"> </w:t>
      </w:r>
      <w:r>
        <w:t xml:space="preserve">anticipated, or specified at too mild a severity, is not detected, so a</w:t>
      </w:r>
      <w:r>
        <w:t xml:space="preserve"> </w:t>
      </w:r>
      <w:r>
        <w:t xml:space="preserve">STOP is evidence of fragility but a GO is not evidence of robustness.</w:t>
      </w:r>
      <w:r>
        <w:t xml:space="preserve"> </w:t>
      </w:r>
      <w:r>
        <w:t xml:space="preserve">Second, the conclusions are conditional on the synthetic-outcome model;</w:t>
      </w:r>
      <w:r>
        <w:t xml:space="preserve"> </w:t>
      </w:r>
      <w:r>
        <w:t xml:space="preserve">if that model misrepresents the covariate-outcome surface the simulated</w:t>
      </w:r>
      <w:r>
        <w:t xml:space="preserve"> </w:t>
      </w:r>
      <w:r>
        <w:t xml:space="preserve">operating characteristics can be optimistic, which is why we report the</w:t>
      </w:r>
      <w:r>
        <w:t xml:space="preserve"> </w:t>
      </w:r>
      <w:r>
        <w:t xml:space="preserve">screen’s calibration under a misspecified model in</w:t>
      </w:r>
      <w:r>
        <w:t xml:space="preserve"> </w:t>
      </w:r>
      <w:hyperlink w:anchor="sec-gate-oc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recommend a SuperLearner library for the synthetic-outcome model.</w:t>
      </w:r>
      <w:r>
        <w:t xml:space="preserve"> </w:t>
      </w:r>
      <w:r>
        <w:t xml:space="preserve">Third, the screen is a pre-outcome device; it does not replace the</w:t>
      </w:r>
      <w:r>
        <w:t xml:space="preserve"> </w:t>
      </w:r>
      <w:r>
        <w:t xml:space="preserve">at-outcome negative-control check or the post-outcome sensitivity analyses</w:t>
      </w:r>
      <w:r>
        <w:t xml:space="preserve"> </w:t>
      </w:r>
      <w:r>
        <w:t xml:space="preserve">that interrogate the realised estimate (see</w:t>
      </w:r>
      <w:r>
        <w:t xml:space="preserve"> </w:t>
      </w:r>
      <w:hyperlink w:anchor="sec-evalue">
        <w:r>
          <w:rPr>
            <w:rStyle w:val="Hyperlink"/>
          </w:rPr>
          <w:t xml:space="preserve">Section 10.1</w:t>
        </w:r>
      </w:hyperlink>
      <w:r>
        <w:t xml:space="preserve"> </w:t>
      </w:r>
      <w:r>
        <w:t xml:space="preserve">for the E-value</w:t>
      </w:r>
      <w:r>
        <w:t xml:space="preserve"> </w:t>
      </w:r>
      <w:r>
        <w:t xml:space="preserve">comparison). A passing screen is a necessary, prespecified, and</w:t>
      </w:r>
      <w:r>
        <w:t xml:space="preserve"> </w:t>
      </w:r>
      <w:r>
        <w:t xml:space="preserve">reproducible filter, not a certificate of validity.</w:t>
      </w:r>
    </w:p>
    <w:bookmarkEnd w:id="52"/>
    <w:bookmarkEnd w:id="53"/>
    <w:bookmarkStart w:id="59" w:name="sec-implementation"/>
    <w:p>
      <w:pPr>
        <w:pStyle w:val="Heading1"/>
      </w:pPr>
      <w:r>
        <w:t xml:space="preserve">8. Implementation and</w:t>
      </w:r>
      <w:r>
        <w:t xml:space="preserve"> </w:t>
      </w:r>
      <w:r>
        <w:rPr>
          <w:rStyle w:val="VerbatimChar"/>
        </w:rPr>
        <w:t xml:space="preserve">run_plasmode_dq_stress()</w:t>
      </w:r>
    </w:p>
    <w:bookmarkStart w:id="54" w:name="a-worked-workflow"/>
    <w:p>
      <w:pPr>
        <w:pStyle w:val="Heading2"/>
      </w:pPr>
      <w:r>
        <w:t xml:space="preserve">8.1 A worked workflow</w:t>
      </w:r>
    </w:p>
    <w:p>
      <w:pPr>
        <w:pStyle w:val="FirstParagraph"/>
      </w:pPr>
      <w:r>
        <w:t xml:space="preserve">A typical cleanTMLE session for a binary point-treatment endpoint</w:t>
      </w:r>
      <w:r>
        <w:t xml:space="preserve"> </w:t>
      </w:r>
      <w:r>
        <w:t xml:space="preserve">looks like the following. We omit print output for compactness;</w:t>
      </w:r>
      <w:r>
        <w:t xml:space="preserve"> </w:t>
      </w:r>
      <w:r>
        <w:t xml:space="preserve">each print method is documented in</w:t>
      </w:r>
      <w:r>
        <w:t xml:space="preserve"> </w:t>
      </w:r>
      <w:r>
        <w:rPr>
          <w:rStyle w:val="VerbatimChar"/>
        </w:rPr>
        <w:t xml:space="preserve">?print.cleanroom_lock</w:t>
      </w:r>
      <w:r>
        <w:t xml:space="preserve"> </w:t>
      </w:r>
      <w:r>
        <w:t xml:space="preserve">and the</w:t>
      </w:r>
      <w:r>
        <w:t xml:space="preserve"> </w:t>
      </w:r>
      <w:r>
        <w:t xml:space="preserve">related help pages.</w:t>
      </w:r>
    </w:p>
    <w:p>
      <w:pPr>
        <w:pStyle w:val="BodyText"/>
      </w:pPr>
      <w:r>
        <w:t xml:space="preserve">Before Stage 1b, the package’s</w:t>
      </w:r>
      <w:r>
        <w:t xml:space="preserve"> </w:t>
      </w:r>
      <w:r>
        <w:rPr>
          <w:rStyle w:val="VerbatimChar"/>
        </w:rPr>
        <w:t xml:space="preserve">attrition_table()</w:t>
      </w:r>
      <w:r>
        <w:t xml:space="preserve"> </w:t>
      </w:r>
      <w:r>
        <w:t xml:space="preserve">provides a</w:t>
      </w:r>
      <w:r>
        <w:t xml:space="preserve"> </w:t>
      </w:r>
      <w:r>
        <w:t xml:space="preserve">code-level ledger of inclusion and exclusion criteria, producing</w:t>
      </w:r>
      <w:r>
        <w:t xml:space="preserve"> </w:t>
      </w:r>
      <w:r>
        <w:t xml:space="preserve">a CONSORT-style flow from the raw source table to the analytic</w:t>
      </w:r>
      <w:r>
        <w:t xml:space="preserve"> </w:t>
      </w:r>
      <w:r>
        <w:t xml:space="preserve">cohort. Recording attrition this way anchors the locked cohort</w:t>
      </w:r>
      <w:r>
        <w:t xml:space="preserve"> </w:t>
      </w:r>
      <w:r>
        <w:t xml:space="preserve">definition to its data-driven realisation and gives the Stage 1b</w:t>
      </w:r>
      <w:r>
        <w:t xml:space="preserve"> </w:t>
      </w:r>
      <w:r>
        <w:t xml:space="preserve">cohort-adequacy checkpoint a reproducible source.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(cleanTMLE)</w:t>
      </w:r>
      <w:r>
        <w:br/>
      </w:r>
      <w:r>
        <w:br/>
      </w:r>
      <w:r>
        <w:rPr>
          <w:rStyle w:val="CommentTok"/>
        </w:rPr>
        <w:t xml:space="preserve"># Stage 1a: lock the analytic specification</w:t>
      </w:r>
      <w:r>
        <w:br/>
      </w:r>
      <w:r>
        <w:rPr>
          <w:rStyle w:val="NormalTok"/>
        </w:rPr>
        <w:t xml:space="preserve">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create_analysis_lock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study_data,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covariates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"biomarker"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"comorbidity"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"ckd"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sl_library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"SL.glm"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"SL.glmnet"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"SL.ranger"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attach_estimand</w:t>
      </w:r>
      <w:r>
        <w:rPr>
          <w:rStyle w:val="NormalTok"/>
        </w:rPr>
        <w:t xml:space="preserve">(lock,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A on 24-month event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population 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"Adults eligible at 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treatment_strategies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outcome_label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event by 24 months"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followup   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 months"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contrast   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"risk_difference"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Stage 1b: cohort adequacy + design precision</w:t>
      </w:r>
      <w:r>
        <w:br/>
      </w:r>
      <w:r>
        <w:rPr>
          <w:rStyle w:val="NormalTok"/>
        </w:rPr>
        <w:t xml:space="preserve">audit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create_audit_log</w:t>
      </w:r>
      <w:r>
        <w:rPr>
          <w:rStyle w:val="NormalTok"/>
        </w:rPr>
        <w:t xml:space="preserve">(lock)</w:t>
      </w:r>
      <w:r>
        <w:br/>
      </w:r>
      <w:r>
        <w:rPr>
          <w:rStyle w:val="NormalTok"/>
        </w:rPr>
        <w:t xml:space="preserve">cp1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checkpoint_cohort_adequacy</w:t>
      </w:r>
      <w:r>
        <w:rPr>
          <w:rStyle w:val="NormalTok"/>
        </w:rPr>
        <w:t xml:space="preserve">(lock,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min_n_per_arm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min_events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record_checkpoint</w:t>
      </w:r>
      <w:r>
        <w:rPr>
          <w:rStyle w:val="NormalTok"/>
        </w:rPr>
        <w:t xml:space="preserve">(audit, cp1)</w:t>
      </w:r>
      <w:r>
        <w:br/>
      </w:r>
      <w:r>
        <w:br/>
      </w:r>
      <w:r>
        <w:rPr>
          <w:rStyle w:val="CommentTok"/>
        </w:rPr>
        <w:t xml:space="preserve"># Stage 2a: propensity-score diagnostics + balance checkpoint</w:t>
      </w:r>
      <w:r>
        <w:br/>
      </w:r>
      <w:r>
        <w:rPr>
          <w:rStyle w:val="NormalTok"/>
        </w:rPr>
        <w:t xml:space="preserve">ps_fit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fit_ps_superlearner</w:t>
      </w:r>
      <w:r>
        <w:rPr>
          <w:rStyle w:val="NormalTok"/>
        </w:rPr>
        <w:t xml:space="preserve">(lock)</w:t>
      </w:r>
      <w:r>
        <w:br/>
      </w:r>
      <w:r>
        <w:rPr>
          <w:rStyle w:val="NormalTok"/>
        </w:rPr>
        <w:t xml:space="preserve">ps_diag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compute_ps_diagnostics</w:t>
      </w:r>
      <w:r>
        <w:rPr>
          <w:rStyle w:val="NormalTok"/>
        </w:rPr>
        <w:t xml:space="preserve">(ps_fit)</w:t>
      </w:r>
      <w:r>
        <w:br/>
      </w:r>
      <w:r>
        <w:rPr>
          <w:rStyle w:val="NormalTok"/>
        </w:rPr>
        <w:t xml:space="preserve">cp2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checkpoint_balance</w:t>
      </w:r>
      <w:r>
        <w:rPr>
          <w:rStyle w:val="NormalTok"/>
        </w:rPr>
        <w:t xml:space="preserve">(ps_diag, </w:t>
      </w:r>
      <w:r>
        <w:rPr>
          <w:rStyle w:val="AttributeTok"/>
        </w:rPr>
        <w:t xml:space="preserve">max_smd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lock_hash =</w:t>
      </w:r>
      <w:r>
        <w:rPr>
          <w:rStyle w:val="NormalTok"/>
        </w:rPr>
        <w:t xml:space="preserve"> lock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lock_hash)</w:t>
      </w:r>
      <w:r>
        <w:br/>
      </w:r>
      <w:r>
        <w:rPr>
          <w:rStyle w:val="NormalTok"/>
        </w:rPr>
        <w:t xml:space="preserve">audit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record_checkpoint</w:t>
      </w:r>
      <w:r>
        <w:rPr>
          <w:rStyle w:val="NormalTok"/>
        </w:rPr>
        <w:t xml:space="preserve">(audit, cp2)</w:t>
      </w:r>
      <w:r>
        <w:br/>
      </w:r>
      <w:r>
        <w:br/>
      </w:r>
      <w:r>
        <w:rPr>
          <w:rStyle w:val="CommentTok"/>
        </w:rPr>
        <w:t xml:space="preserve"># Stage 2b plasmode candidate selection + Stage 2c DQ stress test</w:t>
      </w:r>
      <w:r>
        <w:br/>
      </w:r>
      <w:r>
        <w:rPr>
          <w:rStyle w:val="CommentTok"/>
        </w:rPr>
        <w:t xml:space="preserve"># Candidate grid: GLM PS only (trunc = 0.01 and 0.05).</w:t>
      </w:r>
      <w:r>
        <w:br/>
      </w:r>
      <w:r>
        <w:rPr>
          <w:rStyle w:val="CommentTok"/>
        </w:rPr>
        <w:t xml:space="preserve"># SL.glmnet is excluded from the PS candidate grid because it</w:t>
      </w:r>
      <w:r>
        <w:br/>
      </w:r>
      <w:r>
        <w:rPr>
          <w:rStyle w:val="CommentTok"/>
        </w:rPr>
        <w:t xml:space="preserve"># produces runaway computation on the near-positivity-violation</w:t>
      </w:r>
      <w:r>
        <w:br/>
      </w:r>
      <w:r>
        <w:rPr>
          <w:rStyle w:val="CommentTok"/>
        </w:rPr>
        <w:t xml:space="preserve"># synthetic designs that the DQ stress test generates; GLM and</w:t>
      </w:r>
      <w:r>
        <w:br/>
      </w:r>
      <w:r>
        <w:rPr>
          <w:rStyle w:val="CommentTok"/>
        </w:rPr>
        <w:t xml:space="preserve"># regularised PS are near-equivalent on this DGP (@sec-simulation).</w:t>
      </w:r>
      <w:r>
        <w:br/>
      </w:r>
      <w:r>
        <w:rPr>
          <w:rStyle w:val="NormalTok"/>
        </w:rPr>
        <w:t xml:space="preserve">candidates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tmle_candidate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"glm_t01"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 PS, trunc=0.01"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g_library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"SL.glm"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truncation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tmle_candidate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"glm_t05"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 PS, trunc=0.05"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g_library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"SL.glm"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truncation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run_plasmode_feasibility</w:t>
      </w:r>
      <w:r>
        <w:rPr>
          <w:rStyle w:val="NormalTok"/>
        </w:rPr>
        <w:t xml:space="preserve">(lock,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tmle_candidates =</w:t>
      </w:r>
      <w:r>
        <w:rPr>
          <w:rStyle w:val="NormalTok"/>
        </w:rPr>
        <w:t xml:space="preserve"> candidates,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effect_sizes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reps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dq_results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run_plasmode_dq_stress</w:t>
      </w:r>
      <w:r>
        <w:rPr>
          <w:rStyle w:val="NormalTok"/>
        </w:rPr>
        <w:t xml:space="preserve">(lock,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tmle_candidates =</w:t>
      </w:r>
      <w:r>
        <w:rPr>
          <w:rStyle w:val="NormalTok"/>
        </w:rPr>
        <w:t xml:space="preserve"> candidates,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reps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data_quality_scenarios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covariate_missingness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fractions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treatment_misclass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outcome_misclass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unmeasured_confounding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U_prevalence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U_treatment_OR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U_outcome_OR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select_tmle_candidate</w:t>
      </w:r>
      <w:r>
        <w:rPr>
          <w:rStyle w:val="NormalTok"/>
        </w:rPr>
        <w:t xml:space="preserve">(plas, </w:t>
      </w:r>
      <w:r>
        <w:rPr>
          <w:rStyle w:val="AttributeTok"/>
        </w:rPr>
        <w:t xml:space="preserve">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"min_rmse"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lock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lock_primary_tmle_spec</w:t>
      </w:r>
      <w:r>
        <w:rPr>
          <w:rStyle w:val="NormalTok"/>
        </w:rPr>
        <w:t xml:space="preserve">(lock, selected)</w:t>
      </w:r>
      <w:r>
        <w:br/>
      </w:r>
      <w:r>
        <w:br/>
      </w:r>
      <w:r>
        <w:rPr>
          <w:rStyle w:val="CommentTok"/>
        </w:rPr>
        <w:t xml:space="preserve"># Outcome blinding for Stage 3 and the pre-outcome decision.</w:t>
      </w:r>
      <w:r>
        <w:br/>
      </w:r>
      <w:r>
        <w:rPr>
          <w:rStyle w:val="NormalTok"/>
        </w:rPr>
        <w:t xml:space="preserve">original_lock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lock</w:t>
      </w:r>
      <w:r>
        <w:br/>
      </w:r>
      <w:r>
        <w:rPr>
          <w:rStyle w:val="NormalTok"/>
        </w:rPr>
        <w:t xml:space="preserve">masked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mask_outcome</w:t>
      </w:r>
      <w:r>
        <w:rPr>
          <w:rStyle w:val="NormalTok"/>
        </w:rPr>
        <w:t xml:space="preserve">(lock)</w:t>
      </w:r>
      <w:r>
        <w:br/>
      </w:r>
      <w:r>
        <w:br/>
      </w:r>
      <w:r>
        <w:rPr>
          <w:rStyle w:val="CommentTok"/>
        </w:rPr>
        <w:t xml:space="preserve"># Stage 3: negative-control outcomes</w:t>
      </w:r>
      <w:r>
        <w:br/>
      </w:r>
      <w:r>
        <w:rPr>
          <w:rStyle w:val="NormalTok"/>
        </w:rPr>
        <w:t xml:space="preserve">masked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define_negative_control</w:t>
      </w:r>
      <w:r>
        <w:rPr>
          <w:rStyle w:val="NormalTok"/>
        </w:rPr>
        <w:t xml:space="preserve">(masked,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"nc_outcome"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stage3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run_residual_confounding_stage</w:t>
      </w:r>
      <w:r>
        <w:rPr>
          <w:rStyle w:val="NormalTok"/>
        </w:rPr>
        <w:t xml:space="preserve">(masked, ps_fit)</w:t>
      </w:r>
      <w:r>
        <w:br/>
      </w:r>
      <w:r>
        <w:rPr>
          <w:rStyle w:val="NormalTok"/>
        </w:rPr>
        <w:t xml:space="preserve">cp3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stage3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checkpoint</w:t>
      </w:r>
      <w:r>
        <w:br/>
      </w:r>
      <w:r>
        <w:rPr>
          <w:rStyle w:val="NormalTok"/>
        </w:rPr>
        <w:t xml:space="preserve">audit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record_checkpoint</w:t>
      </w:r>
      <w:r>
        <w:rPr>
          <w:rStyle w:val="NormalTok"/>
        </w:rPr>
        <w:t xml:space="preserve">(audit, cp3)</w:t>
      </w:r>
      <w:r>
        <w:br/>
      </w:r>
      <w:r>
        <w:br/>
      </w:r>
      <w:r>
        <w:rPr>
          <w:rStyle w:val="CommentTok"/>
        </w:rPr>
        <w:t xml:space="preserve"># Pre-outcome decision</w:t>
      </w:r>
      <w:r>
        <w:br/>
      </w:r>
      <w:r>
        <w:rPr>
          <w:rStyle w:val="NormalTok"/>
        </w:rPr>
        <w:t xml:space="preserve">gate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gate_all</w:t>
      </w:r>
      <w:r>
        <w:rPr>
          <w:rStyle w:val="NormalTok"/>
        </w:rPr>
        <w:t xml:space="preserve">(cp1, cp2, cp3, </w:t>
      </w:r>
      <w:r>
        <w:rPr>
          <w:rStyle w:val="AttributeTok"/>
        </w:rPr>
        <w:t xml:space="preserve">allow_flag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authorize_outcome_analysis</w:t>
      </w:r>
      <w:r>
        <w:rPr>
          <w:rStyle w:val="NormalTok"/>
        </w:rPr>
        <w:t xml:space="preserve">(audit)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(auth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authorized))</w:t>
      </w:r>
      <w:r>
        <w:br/>
      </w:r>
      <w:r>
        <w:br/>
      </w:r>
      <w:r>
        <w:rPr>
          <w:rStyle w:val="CommentTok"/>
        </w:rPr>
        <w:t xml:space="preserve"># Stage 4: unblind and run the primary analysis</w:t>
      </w:r>
      <w:r>
        <w:br/>
      </w:r>
      <w:r>
        <w:rPr>
          <w:rStyle w:val="NormalTok"/>
        </w:rPr>
        <w:t xml:space="preserve">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unmask_outcome</w:t>
      </w:r>
      <w:r>
        <w:rPr>
          <w:rStyle w:val="NormalTok"/>
        </w:rPr>
        <w:t xml:space="preserve">(masked, original_lock)</w:t>
      </w:r>
      <w:r>
        <w:br/>
      </w:r>
      <w:r>
        <w:rPr>
          <w:rStyle w:val="NormalTok"/>
        </w:rPr>
        <w:t xml:space="preserve">g_fit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fit_tmle_treatment_mechanism</w:t>
      </w:r>
      <w:r>
        <w:rPr>
          <w:rStyle w:val="NormalTok"/>
        </w:rPr>
        <w:t xml:space="preserve">(final, ps_fit)</w:t>
      </w:r>
      <w:r>
        <w:br/>
      </w:r>
      <w:r>
        <w:rPr>
          <w:rStyle w:val="NormalTok"/>
        </w:rPr>
        <w:t xml:space="preserve">Q_fit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fit_tmle_outcome_mechanism</w:t>
      </w:r>
      <w:r>
        <w:rPr>
          <w:rStyle w:val="NormalTok"/>
        </w:rPr>
        <w:t xml:space="preserve">(final, g_fit)</w:t>
      </w:r>
      <w:r>
        <w:br/>
      </w:r>
      <w:r>
        <w:rPr>
          <w:rStyle w:val="NormalTok"/>
        </w:rPr>
        <w:t xml:space="preserve">upd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run_tmle_targeting_step</w:t>
      </w:r>
      <w:r>
        <w:rPr>
          <w:rStyle w:val="NormalTok"/>
        </w:rPr>
        <w:t xml:space="preserve">(g_fit, Q_fit)</w:t>
      </w:r>
      <w:r>
        <w:br/>
      </w:r>
      <w:r>
        <w:rPr>
          <w:rStyle w:val="NormalTok"/>
        </w:rPr>
        <w:t xml:space="preserve">psi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extract_tmle_estimate</w:t>
      </w:r>
      <w:r>
        <w:rPr>
          <w:rStyle w:val="NormalTok"/>
        </w:rPr>
        <w:t xml:space="preserve">(upd)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ATE</w:t>
      </w:r>
      <w:r>
        <w:br/>
      </w:r>
      <w:r>
        <w:br/>
      </w:r>
      <w:r>
        <w:rPr>
          <w:rStyle w:val="FunctionTok"/>
        </w:rPr>
        <w:t xml:space="preserve">save_lock</w:t>
      </w:r>
      <w:r>
        <w:rPr>
          <w:rStyle w:val="NormalTok"/>
        </w:rPr>
        <w:t xml:space="preserve">(final,  </w:t>
      </w:r>
      <w:r>
        <w:rPr>
          <w:rStyle w:val="StringTok"/>
        </w:rPr>
        <w:t xml:space="preserve">"lock.rds"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save_audit</w:t>
      </w:r>
      <w:r>
        <w:rPr>
          <w:rStyle w:val="NormalTok"/>
        </w:rPr>
        <w:t xml:space="preserve">(audit, </w:t>
      </w:r>
      <w:r>
        <w:rPr>
          <w:rStyle w:val="StringTok"/>
        </w:rPr>
        <w:t xml:space="preserve">"audit.rds"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Reporting tables.</w:t>
      </w:r>
      <w:r>
        <w:br/>
      </w:r>
      <w:r>
        <w:rPr>
          <w:rStyle w:val="FunctionTok"/>
        </w:rPr>
        <w:t xml:space="preserve">make_table1</w:t>
      </w:r>
      <w:r>
        <w:rPr>
          <w:rStyle w:val="NormalTok"/>
        </w:rPr>
        <w:t xml:space="preserve">(final,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make_table2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TMLE (primary)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upd), </w:t>
      </w:r>
      <w:r>
        <w:rPr>
          <w:rStyle w:val="AttributeTok"/>
        </w:rPr>
        <w:t xml:space="preserve">risk_time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DQ stress test is the only fundamentally new piece in the</w:t>
      </w:r>
      <w:r>
        <w:t xml:space="preserve"> </w:t>
      </w:r>
      <w:r>
        <w:t xml:space="preserve">above; the rest is conventional TL-RWE plumbing.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returns a metrics object of the same</w:t>
      </w:r>
      <w:r>
        <w:t xml:space="preserve"> </w:t>
      </w:r>
      <w:r>
        <w:t xml:space="preserve">class as the standard plasmode and feeds the same decision, so adding</w:t>
      </w:r>
      <w:r>
        <w:t xml:space="preserve"> </w:t>
      </w:r>
      <w:r>
        <w:t xml:space="preserve">the data-quality argument to the workflow does not require new</w:t>
      </w:r>
      <w:r>
        <w:t xml:space="preserve"> </w:t>
      </w:r>
      <w:r>
        <w:t xml:space="preserve">infrastructure on the analyst’s side.</w:t>
      </w:r>
    </w:p>
    <w:bookmarkEnd w:id="54"/>
    <w:bookmarkStart w:id="55" w:name="inside-run_plasmode_dq_stress"/>
    <w:p>
      <w:pPr>
        <w:pStyle w:val="Heading2"/>
      </w:pPr>
      <w:r>
        <w:t xml:space="preserve">8.2 Inside</w:t>
      </w:r>
      <w:r>
        <w:t xml:space="preserve"> </w:t>
      </w:r>
      <w:r>
        <w:rPr>
          <w:rStyle w:val="VerbatimChar"/>
        </w:rPr>
        <w:t xml:space="preserve">run_plasmode_dq_stress()</w:t>
      </w:r>
    </w:p>
    <w:p>
      <w:pPr>
        <w:pStyle w:val="FirstParagraph"/>
      </w:pPr>
      <w:r>
        <w:t xml:space="preserve">The function loops over a scenario grid, fits every candidate</w:t>
      </w:r>
      <w:r>
        <w:t xml:space="preserve"> </w:t>
      </w:r>
      <w:r>
        <w:t xml:space="preserve">under each scenario × severity, and aggregates bias, RMSE, and</w:t>
      </w:r>
      <w:r>
        <w:t xml:space="preserve"> </w:t>
      </w:r>
      <w:r>
        <w:t xml:space="preserve">coverage. Pseudocode:</w:t>
      </w:r>
    </w:p>
    <w:p>
      <w:pPr>
        <w:pStyle w:val="SourceCode"/>
      </w:pPr>
      <w:r>
        <w:rPr>
          <w:rStyle w:val="VerbatimChar"/>
        </w:rPr>
        <w:t xml:space="preserve">for each (scenario, severity) in scenario grid:</w:t>
      </w:r>
      <w:r>
        <w:br/>
      </w:r>
      <w:r>
        <w:rPr>
          <w:rStyle w:val="VerbatimChar"/>
        </w:rPr>
        <w:t xml:space="preserve">  for each replicate r:</w:t>
      </w:r>
      <w:r>
        <w:br/>
      </w:r>
      <w:r>
        <w:rPr>
          <w:rStyle w:val="VerbatimChar"/>
        </w:rPr>
        <w:t xml:space="preserve">    set seed deterministically from (lock$seed, r, scenario index)</w:t>
      </w:r>
      <w:r>
        <w:br/>
      </w:r>
      <w:r>
        <w:rPr>
          <w:rStyle w:val="VerbatimChar"/>
        </w:rPr>
        <w:t xml:space="preserve">    generate synthetic outcome from the lock's covariate-only Q0 model</w:t>
      </w:r>
      <w:r>
        <w:br/>
      </w:r>
      <w:r>
        <w:rPr>
          <w:rStyle w:val="VerbatimChar"/>
        </w:rPr>
        <w:t xml:space="preserve">    if scenario == unmeasured_confounding:</w:t>
      </w:r>
      <w:r>
        <w:br/>
      </w:r>
      <w:r>
        <w:rPr>
          <w:rStyle w:val="VerbatimChar"/>
        </w:rPr>
        <w:t xml:space="preserve">      sample latent U; modify treatment via a real PS model;</w:t>
      </w:r>
      <w:r>
        <w:br/>
      </w:r>
      <w:r>
        <w:rPr>
          <w:rStyle w:val="VerbatimChar"/>
        </w:rPr>
        <w:t xml:space="preserve">      modify outcome probabilities via OR_Y * U</w:t>
      </w:r>
      <w:r>
        <w:br/>
      </w:r>
      <w:r>
        <w:rPr>
          <w:rStyle w:val="VerbatimChar"/>
        </w:rPr>
        <w:t xml:space="preserve">    if scenario == treatment_misclass:</w:t>
      </w:r>
      <w:r>
        <w:br/>
      </w:r>
      <w:r>
        <w:rPr>
          <w:rStyle w:val="VerbatimChar"/>
        </w:rPr>
        <w:t xml:space="preserve">      apply (sens, spec) to A</w:t>
      </w:r>
      <w:r>
        <w:br/>
      </w:r>
      <w:r>
        <w:rPr>
          <w:rStyle w:val="VerbatimChar"/>
        </w:rPr>
        <w:t xml:space="preserve">    if scenario == outcome_misclass:</w:t>
      </w:r>
      <w:r>
        <w:br/>
      </w:r>
      <w:r>
        <w:rPr>
          <w:rStyle w:val="VerbatimChar"/>
        </w:rPr>
        <w:t xml:space="preserve">      apply (sens, spec) to Y, optionally by treatment arm</w:t>
      </w:r>
      <w:r>
        <w:br/>
      </w:r>
      <w:r>
        <w:rPr>
          <w:rStyle w:val="VerbatimChar"/>
        </w:rPr>
        <w:t xml:space="preserve">    if scenario == covariate_missingness:</w:t>
      </w:r>
      <w:r>
        <w:br/>
      </w:r>
      <w:r>
        <w:rPr>
          <w:rStyle w:val="VerbatimChar"/>
        </w:rPr>
        <w:t xml:space="preserve">      set MCAR fraction of W to NA, impute with column median</w:t>
      </w:r>
      <w:r>
        <w:br/>
      </w:r>
      <w:r>
        <w:rPr>
          <w:rStyle w:val="VerbatimChar"/>
        </w:rPr>
        <w:t xml:space="preserve">    for each candidate:</w:t>
      </w:r>
      <w:r>
        <w:br/>
      </w:r>
      <w:r>
        <w:rPr>
          <w:rStyle w:val="VerbatimChar"/>
        </w:rPr>
        <w:t xml:space="preserve">      fit g, Q, targeting; record est, SE, CI</w:t>
      </w:r>
      <w:r>
        <w:br/>
      </w:r>
      <w:r>
        <w:rPr>
          <w:rStyle w:val="VerbatimChar"/>
        </w:rPr>
        <w:t xml:space="preserve">  aggregate over replicates: bias, RMSE, coverage, SE/SD</w:t>
      </w:r>
      <w:r>
        <w:br/>
      </w:r>
      <w:r>
        <w:rPr>
          <w:rStyle w:val="VerbatimChar"/>
        </w:rPr>
        <w:t xml:space="preserve">return data frame indexed by (scenario, level, candidate)</w:t>
      </w:r>
    </w:p>
    <w:p>
      <w:pPr>
        <w:pStyle w:val="FirstParagraph"/>
      </w:pPr>
      <w:r>
        <w:t xml:space="preserve">The implementation is in</w:t>
      </w:r>
      <w:r>
        <w:t xml:space="preserve"> </w:t>
      </w:r>
      <w:r>
        <w:rPr>
          <w:rStyle w:val="VerbatimChar"/>
        </w:rPr>
        <w:t xml:space="preserve">R/plasmode_dq.R</w:t>
      </w:r>
      <w:r>
        <w:t xml:space="preserve">. Three details matter</w:t>
      </w:r>
      <w:r>
        <w:t xml:space="preserve"> </w:t>
      </w:r>
      <w:r>
        <w:t xml:space="preserve">for reproducibility. First, the seed is set deterministically from</w:t>
      </w:r>
      <w:r>
        <w:t xml:space="preserve"> </w:t>
      </w:r>
      <w:r>
        <w:rPr>
          <w:rStyle w:val="VerbatimChar"/>
        </w:rPr>
        <w:t xml:space="preserve">lock$seed + rep_i + sg_i * 10000L</w:t>
      </w:r>
      <w:r>
        <w:t xml:space="preserve"> </w:t>
      </w:r>
      <w:r>
        <w:t xml:space="preserve">so that re-running the same</w:t>
      </w:r>
      <w:r>
        <w:t xml:space="preserve"> </w:t>
      </w:r>
      <w:r>
        <w:t xml:space="preserve">lock with the same scenario list produces bit-identical metrics.</w:t>
      </w:r>
      <w:r>
        <w:t xml:space="preserve"> </w:t>
      </w:r>
      <w:r>
        <w:t xml:space="preserve">Second, the unmeasured-confounding scenario fits a real treatment-</w:t>
      </w:r>
      <w:r>
        <w:t xml:space="preserve"> </w:t>
      </w:r>
      <w:r>
        <w:t xml:space="preserve">mechanism (propensity) model on the lock data once and uses it as</w:t>
      </w:r>
      <w:r>
        <w:t xml:space="preserve"> </w:t>
      </w:r>
      <w:r>
        <w:t xml:space="preserve">the baseline propensity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shifts; earlier prototype versions</w:t>
      </w:r>
      <w:r>
        <w:t xml:space="preserve"> </w:t>
      </w:r>
      <w:r>
        <w:t xml:space="preserve">incorrectly used the outcome model’s prediction here, which we</w:t>
      </w:r>
      <w:r>
        <w:t xml:space="preserve"> </w:t>
      </w:r>
      <w:r>
        <w:t xml:space="preserve">fix in the version released with this paper. Third, treatment</w:t>
      </w:r>
      <w:r>
        <w:t xml:space="preserve"> </w:t>
      </w:r>
      <w:r>
        <w:t xml:space="preserve">misclassification accepts asymmetric (sens, spec) pairs rather than</w:t>
      </w:r>
      <w:r>
        <w:t xml:space="preserve"> </w:t>
      </w:r>
      <w:r>
        <w:t xml:space="preserve">symmetric flips, matching the form in which validation studies</w:t>
      </w:r>
      <w:r>
        <w:t xml:space="preserve"> </w:t>
      </w:r>
      <w:r>
        <w:t xml:space="preserve">typically report exposure-algorithm performance, and outcome</w:t>
      </w:r>
      <w:r>
        <w:t xml:space="preserve"> </w:t>
      </w:r>
      <w:r>
        <w:t xml:space="preserve">misclassification accepts optional per-treatment-arm sensitivity</w:t>
      </w:r>
      <w:r>
        <w:t xml:space="preserve"> </w:t>
      </w:r>
      <w:r>
        <w:t xml:space="preserve">and specificity, allowing the user to probe differential</w:t>
      </w:r>
      <w:r>
        <w:t xml:space="preserve"> </w:t>
      </w:r>
      <w:r>
        <w:t xml:space="preserve">misclassification, which is the most worrying case in observational</w:t>
      </w:r>
      <w:r>
        <w:t xml:space="preserve"> </w:t>
      </w:r>
      <w:r>
        <w:t xml:space="preserve">outcome ascertainment.</w:t>
      </w:r>
    </w:p>
    <w:bookmarkEnd w:id="55"/>
    <w:bookmarkStart w:id="56" w:name="cumulative-risk-workflow-considerations"/>
    <w:p>
      <w:pPr>
        <w:pStyle w:val="Heading2"/>
      </w:pPr>
      <w:r>
        <w:t xml:space="preserve">8.3 Cumulative-risk workflow considerations</w:t>
      </w:r>
    </w:p>
    <w:p>
      <w:pPr>
        <w:pStyle w:val="FirstParagraph"/>
      </w:pPr>
      <w:r>
        <w:t xml:space="preserve">cleanTMLE provides software support for several analytic considerations</w:t>
      </w:r>
      <w:r>
        <w:t xml:space="preserve"> </w:t>
      </w:r>
      <w:r>
        <w:t xml:space="preserve">that arise in cumulative-risk pharmacoepidemiology workflows.</w:t>
      </w:r>
    </w:p>
    <w:p>
      <w:pPr>
        <w:pStyle w:val="BodyText"/>
      </w:pPr>
      <w:r>
        <w:rPr>
          <w:i/>
          <w:iCs/>
        </w:rPr>
        <w:t xml:space="preserve">Model specification grammar.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identify_*()</w:t>
      </w:r>
      <w:r>
        <w:t xml:space="preserve"> </w:t>
      </w:r>
      <w:r>
        <w:t xml:space="preserve">family</w:t>
      </w:r>
      <w:r>
        <w:t xml:space="preserve"> </w:t>
      </w:r>
      <w:r>
        <w:t xml:space="preserve">(</w:t>
      </w:r>
      <w:r>
        <w:rPr>
          <w:rStyle w:val="VerbatimChar"/>
        </w:rPr>
        <w:t xml:space="preserve">identify_treatment()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identify_outcome()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identify_censoring()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identify_competing_risk()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identify_subject()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identify_interval()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identify_missing()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specify_models()</w:t>
      </w:r>
      <w:r>
        <w:t xml:space="preserve"> </w:t>
      </w:r>
      <w:r>
        <w:t xml:space="preserve">constructor allow</w:t>
      </w:r>
      <w:r>
        <w:t xml:space="preserve"> </w:t>
      </w:r>
      <w:r>
        <w:t xml:space="preserve">analysts to declare eligibility, treatment, outcome, censoring,</w:t>
      </w:r>
      <w:r>
        <w:t xml:space="preserve"> </w:t>
      </w:r>
      <w:r>
        <w:t xml:space="preserve">competing-risk, follow-up-interval, and intercurrent-event components</w:t>
      </w:r>
      <w:r>
        <w:t xml:space="preserve"> </w:t>
      </w:r>
      <w:r>
        <w:t xml:space="preserve">as code objects rather than prose. This lets the analysis lock</w:t>
      </w:r>
      <w:r>
        <w:t xml:space="preserve"> </w:t>
      </w:r>
      <w:r>
        <w:t xml:space="preserve">fingerprint the cohort definition together with the estimator.</w:t>
      </w:r>
    </w:p>
    <w:p>
      <w:pPr>
        <w:pStyle w:val="BodyText"/>
      </w:pPr>
      <w:r>
        <w:rPr>
          <w:i/>
          <w:iCs/>
        </w:rPr>
        <w:t xml:space="preserve">Cumulative-risk reporting.</w:t>
      </w:r>
      <w:r>
        <w:t xml:space="preserve"> </w:t>
      </w:r>
      <w:r>
        <w:rPr>
          <w:rStyle w:val="VerbatimChar"/>
        </w:rPr>
        <w:t xml:space="preserve">clean_risk_report_table()</w:t>
      </w:r>
      <w:r>
        <w:t xml:space="preserve"> </w:t>
      </w:r>
      <w:r>
        <w:t xml:space="preserve">produces a</w:t>
      </w:r>
      <w:r>
        <w:t xml:space="preserve"> </w:t>
      </w:r>
      <w:r>
        <w:t xml:space="preserve">compact table of cumulative risks at clinically meaningful follow-up</w:t>
      </w:r>
      <w:r>
        <w:t xml:space="preserve"> </w:t>
      </w:r>
      <w:r>
        <w:t xml:space="preserve">times, paired with risk-difference and risk-ratio summaries; the</w:t>
      </w:r>
      <w:r>
        <w:t xml:space="preserve"> </w:t>
      </w:r>
      <w:r>
        <w:rPr>
          <w:rStyle w:val="VerbatimChar"/>
        </w:rPr>
        <w:t xml:space="preserve">plot.cumrisk()</w:t>
      </w:r>
      <w:r>
        <w:t xml:space="preserve"> </w:t>
      </w:r>
      <w:r>
        <w:t xml:space="preserve">method renders the same content visually. The</w:t>
      </w:r>
      <w:r>
        <w:t xml:space="preserve"> </w:t>
      </w:r>
      <w:r>
        <w:t xml:space="preserve">package emphasises absolute risks at prespecified times rather than</w:t>
      </w:r>
      <w:r>
        <w:t xml:space="preserve"> </w:t>
      </w:r>
      <w:r>
        <w:t xml:space="preserve">ratio-only summaries.</w:t>
      </w:r>
    </w:p>
    <w:p>
      <w:pPr>
        <w:pStyle w:val="BodyText"/>
      </w:pPr>
      <w:r>
        <w:rPr>
          <w:i/>
          <w:iCs/>
        </w:rPr>
        <w:t xml:space="preserve">Censoring and missingness weights as a first-class analytic object.</w:t>
      </w:r>
      <w:r>
        <w:t xml:space="preserve"> </w:t>
      </w:r>
      <w:r>
        <w:rPr>
          <w:rStyle w:val="VerbatimChar"/>
        </w:rPr>
        <w:t xml:space="preserve">run_ipcw_tmle()</w:t>
      </w:r>
      <w:r>
        <w:t xml:space="preserve"> </w:t>
      </w:r>
      <w:r>
        <w:t xml:space="preserve">carries inverse-probability-of-censoring weights</w:t>
      </w:r>
      <w:r>
        <w:t xml:space="preserve"> </w:t>
      </w:r>
      <w:r>
        <w:t xml:space="preserve">through the targeting step, and</w:t>
      </w:r>
      <w:r>
        <w:t xml:space="preserve"> </w:t>
      </w:r>
      <w:r>
        <w:rPr>
          <w:rStyle w:val="VerbatimChar"/>
        </w:rPr>
        <w:t xml:space="preserve">clean_weight_diagnostics()</w:t>
      </w:r>
      <w:r>
        <w:t xml:space="preserve"> </w:t>
      </w:r>
      <w:r>
        <w:t xml:space="preserve">exposes</w:t>
      </w:r>
      <w:r>
        <w:t xml:space="preserve"> </w:t>
      </w:r>
      <w:r>
        <w:t xml:space="preserve">effective sample size, weight percentiles, the maximum weight, and</w:t>
      </w:r>
      <w:r>
        <w:t xml:space="preserve"> </w:t>
      </w:r>
      <w:r>
        <w:t xml:space="preserve">prespecified instability thresholds so that weight behaviour is</w:t>
      </w:r>
      <w:r>
        <w:t xml:space="preserve"> </w:t>
      </w:r>
      <w:r>
        <w:t xml:space="preserve">auditable alongside the point estimate rather than buried inside a</w:t>
      </w:r>
      <w:r>
        <w:t xml:space="preserve"> </w:t>
      </w:r>
      <w:r>
        <w:t xml:space="preserve">nuisance fit.</w:t>
      </w:r>
    </w:p>
    <w:p>
      <w:pPr>
        <w:pStyle w:val="BodyText"/>
      </w:pPr>
      <w:r>
        <w:rPr>
          <w:i/>
          <w:iCs/>
        </w:rPr>
        <w:t xml:space="preserve">Event-process classification.</w:t>
      </w:r>
      <w:r>
        <w:t xml:space="preserve"> </w:t>
      </w:r>
      <w:r>
        <w:rPr>
          <w:rStyle w:val="VerbatimChar"/>
        </w:rPr>
        <w:t xml:space="preserve">clean_event_process_table()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clean_check_event_processes()</w:t>
      </w:r>
      <w:r>
        <w:t xml:space="preserve"> </w:t>
      </w:r>
      <w:r>
        <w:t xml:space="preserve">distinguish event of interest,</w:t>
      </w:r>
      <w:r>
        <w:t xml:space="preserve"> </w:t>
      </w:r>
      <w:r>
        <w:t xml:space="preserve">competing event, censoring, treatment discontinuation or switching,</w:t>
      </w:r>
      <w:r>
        <w:t xml:space="preserve"> </w:t>
      </w:r>
      <w:r>
        <w:t xml:space="preserve">transfer-driven exclusions, and administrative end of follow-up,</w:t>
      </w:r>
      <w:r>
        <w:t xml:space="preserve"> </w:t>
      </w:r>
      <w:r>
        <w:t xml:space="preserve">and check component-vs-composite coherence so that follow-up</w:t>
      </w:r>
      <w:r>
        <w:t xml:space="preserve"> </w:t>
      </w:r>
      <w:r>
        <w:t xml:space="preserve">accounting is explicit rather than implicit. These helpers record</w:t>
      </w:r>
      <w:r>
        <w:t xml:space="preserve"> </w:t>
      </w:r>
      <w:r>
        <w:t xml:space="preserve">and check event-process structure; v0.1 does not yet estimate</w:t>
      </w:r>
      <w:r>
        <w:t xml:space="preserve"> </w:t>
      </w:r>
      <w:r>
        <w:t xml:space="preserve">native competing-risk cumulative-incidence estimands.</w:t>
      </w:r>
    </w:p>
    <w:p>
      <w:pPr>
        <w:pStyle w:val="BodyText"/>
      </w:pPr>
      <w:r>
        <w:rPr>
          <w:i/>
          <w:iCs/>
        </w:rPr>
        <w:t xml:space="preserve">Hazard-ratio de-emphasis.</w:t>
      </w:r>
      <w:r>
        <w:t xml:space="preserve"> </w:t>
      </w:r>
      <w:r>
        <w:t xml:space="preserve">Cumulative risks, risk differences,</w:t>
      </w:r>
      <w:r>
        <w:t xml:space="preserve"> </w:t>
      </w:r>
      <w:r>
        <w:t xml:space="preserve">and risk ratios at clinically meaningful time points are more</w:t>
      </w:r>
      <w:r>
        <w:t xml:space="preserve"> </w:t>
      </w:r>
      <w:r>
        <w:t xml:space="preserve">directly aligned with counterfactual estimands in many RWE</w:t>
      </w:r>
      <w:r>
        <w:t xml:space="preserve"> </w:t>
      </w:r>
      <w:r>
        <w:t xml:space="preserve">settings. Hazard ratios are treated as secondary unless the</w:t>
      </w:r>
      <w:r>
        <w:t xml:space="preserve"> </w:t>
      </w:r>
      <w:r>
        <w:t xml:space="preserve">estimand is explicitly defined on the hazard scale and a</w:t>
      </w:r>
      <w:r>
        <w:t xml:space="preserve"> </w:t>
      </w:r>
      <w:r>
        <w:t xml:space="preserve">proportional-hazards interpretation is scientifically justified.</w:t>
      </w:r>
    </w:p>
    <w:bookmarkEnd w:id="56"/>
    <w:bookmarkStart w:id="57" w:name="X0dca275365b1ea9fc0b3ffe97cd757b2bc51779"/>
    <w:p>
      <w:pPr>
        <w:pStyle w:val="Heading2"/>
      </w:pPr>
      <w:r>
        <w:t xml:space="preserve">8.4 Pre-outcome diagnostics for treatment, censoring, and missingness</w:t>
      </w:r>
    </w:p>
    <w:p>
      <w:pPr>
        <w:pStyle w:val="FirstParagraph"/>
      </w:pPr>
      <w:r>
        <w:t xml:space="preserve">Before outcome-unblinded estimation, investigators should report</w:t>
      </w:r>
      <w:r>
        <w:t xml:space="preserve"> </w:t>
      </w:r>
      <w:r>
        <w:t xml:space="preserve">diagnostics for the treatment, censoring, and missingness</w:t>
      </w:r>
      <w:r>
        <w:t xml:space="preserve"> </w:t>
      </w:r>
      <w:r>
        <w:t xml:space="preserve">mechanisms that support identification and estimator stability.</w:t>
      </w:r>
      <w:r>
        <w:t xml:space="preserve"> </w:t>
      </w:r>
      <w:r>
        <w:t xml:space="preserve">These include propensity-score overlap, distributions of treatment</w:t>
      </w:r>
      <w:r>
        <w:t xml:space="preserve"> </w:t>
      </w:r>
      <w:r>
        <w:t xml:space="preserve">and censoring weights, effective sample size, covariate balance</w:t>
      </w:r>
      <w:r>
        <w:t xml:space="preserve"> </w:t>
      </w:r>
      <w:r>
        <w:t xml:space="preserve">before and after weighting, and prespecified thresholds for</w:t>
      </w:r>
      <w:r>
        <w:t xml:space="preserve"> </w:t>
      </w:r>
      <w:r>
        <w:t xml:space="preserve">unacceptable positivity or weight instability. IPTW weights are</w:t>
      </w:r>
      <w:r>
        <w:t xml:space="preserve"> </w:t>
      </w:r>
      <w:r>
        <w:t xml:space="preserve">stabilised by default in cleanTMLE; effective sample size is</w:t>
      </w:r>
      <w:r>
        <w:t xml:space="preserve"> </w:t>
      </w:r>
      <w:r>
        <w:t xml:space="preserve">reported using the Kish formula on the stabilised weights so that</w:t>
      </w:r>
      <w:r>
        <w:t xml:space="preserve"> </w:t>
      </w:r>
      <w:r>
        <w:t xml:space="preserve">ESS is comparable across truncation candidates and across the</w:t>
      </w:r>
      <w:r>
        <w:t xml:space="preserve"> </w:t>
      </w:r>
      <w:r>
        <w:t xml:space="preserve">treatment- and censoring-weight passes. Extreme observations are</w:t>
      </w:r>
      <w:r>
        <w:t xml:space="preserve"> </w:t>
      </w:r>
      <w:r>
        <w:t xml:space="preserve">listed via</w:t>
      </w:r>
      <w:r>
        <w:t xml:space="preserve"> </w:t>
      </w:r>
      <w:r>
        <w:rPr>
          <w:rStyle w:val="VerbatimChar"/>
        </w:rPr>
        <w:t xml:space="preserve">extreme_weights()</w:t>
      </w:r>
      <w:r>
        <w:t xml:space="preserve"> </w:t>
      </w:r>
      <w:r>
        <w:t xml:space="preserve">so the top-percentile units are</w:t>
      </w:r>
      <w:r>
        <w:t xml:space="preserve"> </w:t>
      </w:r>
      <w:r>
        <w:t xml:space="preserve">visible alongside the summary distribution.</w:t>
      </w:r>
    </w:p>
    <w:p>
      <w:pPr>
        <w:pStyle w:val="BodyText"/>
      </w:pPr>
      <w:r>
        <w:t xml:space="preserve">For covariate balance, the recommended display is a three-way</w:t>
      </w:r>
      <w:r>
        <w:t xml:space="preserve"> </w:t>
      </w:r>
      <w:r>
        <w:t xml:space="preserve">Love plot showing absolute standardised mean differences in the</w:t>
      </w:r>
      <w:r>
        <w:t xml:space="preserve"> </w:t>
      </w:r>
      <w:r>
        <w:t xml:space="preserve">unweighted cohort, after matching, and after stabilised IPTW</w:t>
      </w:r>
      <w:r>
        <w:t xml:space="preserve"> </w:t>
      </w:r>
      <w:r>
        <w:t xml:space="preserve">(</w:t>
      </w:r>
      <w:r>
        <w:rPr>
          <w:rStyle w:val="VerbatimChar"/>
        </w:rPr>
        <w:t xml:space="preserve">love_plot_threeway()</w:t>
      </w:r>
      <w:r>
        <w:t xml:space="preserve"> </w:t>
      </w:r>
      <w:r>
        <w:t xml:space="preserve">consumes a lock and the matched / IPTW</w:t>
      </w:r>
      <w:r>
        <w:t xml:space="preserve"> </w:t>
      </w:r>
      <w:r>
        <w:t xml:space="preserve">weights). Plotting the three on a single axis makes it visible</w:t>
      </w:r>
      <w:r>
        <w:t xml:space="preserve"> </w:t>
      </w:r>
      <w:r>
        <w:t xml:space="preserve">which covariates remain imbalanced under which weighting strategy</w:t>
      </w:r>
      <w:r>
        <w:t xml:space="preserve"> </w:t>
      </w:r>
      <w:r>
        <w:t xml:space="preserve">and supports the estimator-vs-estimand distinction recorded in the</w:t>
      </w:r>
      <w:r>
        <w:t xml:space="preserve"> </w:t>
      </w:r>
      <w:r>
        <w:t xml:space="preserve">candidate lock. When competing</w:t>
      </w:r>
      <w:r>
        <w:t xml:space="preserve"> </w:t>
      </w:r>
      <w:r>
        <w:t xml:space="preserve">events are present, cumulative incidence for the event of</w:t>
      </w:r>
      <w:r>
        <w:t xml:space="preserve"> </w:t>
      </w:r>
      <w:r>
        <w:t xml:space="preserve">interest, the competing event, and the composite event should be</w:t>
      </w:r>
      <w:r>
        <w:t xml:space="preserve"> </w:t>
      </w:r>
      <w:r>
        <w:t xml:space="preserve">reported together, with internal checks that component risks are</w:t>
      </w:r>
      <w:r>
        <w:t xml:space="preserve"> </w:t>
      </w:r>
      <w:r>
        <w:t xml:space="preserve">coherent with the composite risk. The package supports these</w:t>
      </w:r>
      <w:r>
        <w:t xml:space="preserve"> </w:t>
      </w:r>
      <w:r>
        <w:t xml:space="preserve">checks via</w:t>
      </w:r>
      <w:r>
        <w:t xml:space="preserve"> </w:t>
      </w:r>
      <w:r>
        <w:rPr>
          <w:rStyle w:val="VerbatimChar"/>
        </w:rPr>
        <w:t xml:space="preserve">clean_weight_diagnostics()</w:t>
      </w:r>
      <w:r>
        <w:t xml:space="preserve"> </w:t>
      </w:r>
      <w:r>
        <w:t xml:space="preserve">for treatment and</w:t>
      </w:r>
      <w:r>
        <w:t xml:space="preserve"> </w:t>
      </w:r>
      <w:r>
        <w:t xml:space="preserve">censoring weights, and</w:t>
      </w:r>
      <w:r>
        <w:t xml:space="preserve"> </w:t>
      </w:r>
      <w:r>
        <w:rPr>
          <w:rStyle w:val="VerbatimChar"/>
        </w:rPr>
        <w:t xml:space="preserve">clean_check_event_processes()</w:t>
      </w:r>
      <w:r>
        <w:t xml:space="preserve"> </w:t>
      </w:r>
      <w:r>
        <w:t xml:space="preserve">for</w:t>
      </w:r>
      <w:r>
        <w:t xml:space="preserve"> </w:t>
      </w:r>
      <w:r>
        <w:t xml:space="preserve">component-vs-composite coherence. Applied to a worked</w:t>
      </w:r>
      <w:r>
        <w:t xml:space="preserve"> </w:t>
      </w:r>
      <w:r>
        <w:t xml:space="preserve">event-process table with the event-of-interest, competing, and</w:t>
      </w:r>
      <w:r>
        <w:t xml:space="preserve"> </w:t>
      </w:r>
      <w:r>
        <w:t xml:space="preserve">composite risks at three follow-up times, the coherence check</w:t>
      </w:r>
      <w:r>
        <w:t xml:space="preserve"> </w:t>
      </w:r>
      <w:r>
        <w:t xml:space="preserve">flags each row that violates additivity:</w:t>
      </w:r>
    </w:p>
    <w:p>
      <w:pPr>
        <w:pStyle w:val="SourceCode"/>
      </w:pPr>
      <w:r>
        <w:rPr>
          <w:rStyle w:val="VerbatimChar"/>
        </w:rPr>
        <w:t xml:space="preserve">R&gt;    time_point event_of_interest_risk competing_event_risk composite_risk</w:t>
      </w:r>
      <w:r>
        <w:br/>
      </w:r>
      <w:r>
        <w:rPr>
          <w:rStyle w:val="VerbatimChar"/>
        </w:rPr>
        <w:t xml:space="preserve">R&gt;  1         30                  0.012                0.006          0.018</w:t>
      </w:r>
      <w:r>
        <w:br/>
      </w:r>
      <w:r>
        <w:rPr>
          <w:rStyle w:val="VerbatimChar"/>
        </w:rPr>
        <w:t xml:space="preserve">R&gt;  2         90                  0.024                0.015          0.039</w:t>
      </w:r>
      <w:r>
        <w:br/>
      </w:r>
      <w:r>
        <w:rPr>
          <w:rStyle w:val="VerbatimChar"/>
        </w:rPr>
        <w:t xml:space="preserve">R&gt;  3        180                  0.051                0.038          0.089</w:t>
      </w:r>
      <w:r>
        <w:br/>
      </w:r>
      <w:r>
        <w:rPr>
          <w:rStyle w:val="VerbatimChar"/>
        </w:rPr>
        <w:t xml:space="preserve">R&gt;    component_sum  discrepancy flag</w:t>
      </w:r>
      <w:r>
        <w:br/>
      </w:r>
      <w:r>
        <w:rPr>
          <w:rStyle w:val="VerbatimChar"/>
        </w:rPr>
        <w:t xml:space="preserve">R&gt;  1         0.018 3.469447e-18   OK</w:t>
      </w:r>
      <w:r>
        <w:br/>
      </w:r>
      <w:r>
        <w:rPr>
          <w:rStyle w:val="VerbatimChar"/>
        </w:rPr>
        <w:t xml:space="preserve">R&gt;  2         0.039 0.000000e+00   OK</w:t>
      </w:r>
      <w:r>
        <w:br/>
      </w:r>
      <w:r>
        <w:rPr>
          <w:rStyle w:val="VerbatimChar"/>
        </w:rPr>
        <w:t xml:space="preserve">R&gt;  3         0.089 0.000000e+00   OK</w:t>
      </w:r>
    </w:p>
    <w:bookmarkEnd w:id="57"/>
    <w:bookmarkStart w:id="58" w:name="Xf50b5df1c7478f84a38ff2d616f12345ba7582f"/>
    <w:p>
      <w:pPr>
        <w:pStyle w:val="Heading2"/>
      </w:pPr>
      <w:r>
        <w:t xml:space="preserve">8.5 Reporting cumulative risks rather than hazard ratios</w:t>
      </w:r>
    </w:p>
    <w:p>
      <w:pPr>
        <w:pStyle w:val="FirstParagraph"/>
      </w:pPr>
      <w:r>
        <w:t xml:space="preserve">Cumulative risks, risk differences, and risk ratios at clinically</w:t>
      </w:r>
      <w:r>
        <w:t xml:space="preserve"> </w:t>
      </w:r>
      <w:r>
        <w:t xml:space="preserve">meaningful time points are more directly aligned with counterfactual</w:t>
      </w:r>
      <w:r>
        <w:t xml:space="preserve"> </w:t>
      </w:r>
      <w:r>
        <w:t xml:space="preserve">estimands in many RWE settings: each corresponds to a contrast of</w:t>
      </w:r>
      <w:r>
        <w:t xml:space="preserve"> </w:t>
      </w:r>
      <w:r>
        <w:t xml:space="preserve">counterfactual risks at a clinically interpretable horizon, with</w:t>
      </w:r>
      <w:r>
        <w:t xml:space="preserve"> </w:t>
      </w:r>
      <w:r>
        <w:t xml:space="preserve">no implicit averaging across a follow-up window during which the</w:t>
      </w:r>
      <w:r>
        <w:t xml:space="preserve"> </w:t>
      </w:r>
      <w:r>
        <w:t xml:space="preserve">hazard ratio may not be constant. Hazard ratios should be treated</w:t>
      </w:r>
      <w:r>
        <w:t xml:space="preserve"> </w:t>
      </w:r>
      <w:r>
        <w:t xml:space="preserve">as secondary unless the estimand is explicitly defined on the</w:t>
      </w:r>
      <w:r>
        <w:t xml:space="preserve"> </w:t>
      </w:r>
      <w:r>
        <w:t xml:space="preserve">hazard scale and a proportional-hazards interpretation is</w:t>
      </w:r>
      <w:r>
        <w:t xml:space="preserve"> </w:t>
      </w:r>
      <w:r>
        <w:t xml:space="preserve">scientifically justified for the question at hand. cleanTMLE</w:t>
      </w:r>
      <w:r>
        <w:t xml:space="preserve"> </w:t>
      </w:r>
      <w:r>
        <w:t xml:space="preserve">reflects this ordering:</w:t>
      </w:r>
      <w:r>
        <w:t xml:space="preserve"> </w:t>
      </w:r>
      <w:r>
        <w:rPr>
          <w:rStyle w:val="VerbatimChar"/>
        </w:rPr>
        <w:t xml:space="preserve">clean_risk_report_table()</w:t>
      </w:r>
      <w:r>
        <w:t xml:space="preserve"> </w:t>
      </w:r>
      <w:r>
        <w:t xml:space="preserve">produces a</w:t>
      </w:r>
      <w:r>
        <w:t xml:space="preserve"> </w:t>
      </w:r>
      <w:r>
        <w:t xml:space="preserve">single structured table of cumulative risks, contrasts, and event</w:t>
      </w:r>
      <w:r>
        <w:t xml:space="preserve"> </w:t>
      </w:r>
      <w:r>
        <w:t xml:space="preserve">counts at the prespecified follow-up time, and hazard-ratio</w:t>
      </w:r>
      <w:r>
        <w:t xml:space="preserve"> </w:t>
      </w:r>
      <w:r>
        <w:t xml:space="preserve">helpers are provided only as secondary analyses with an explicit</w:t>
      </w:r>
      <w:r>
        <w:t xml:space="preserve"> </w:t>
      </w:r>
      <w:r>
        <w:t xml:space="preserve">hazard-scale estimand declaration.</w:t>
      </w:r>
    </w:p>
    <w:bookmarkEnd w:id="58"/>
    <w:bookmarkEnd w:id="59"/>
    <w:bookmarkStart w:id="96" w:name="sec-simulation"/>
    <w:p>
      <w:pPr>
        <w:pStyle w:val="Heading1"/>
      </w:pPr>
      <w:r>
        <w:t xml:space="preserve">9. Simulation Study</w:t>
      </w:r>
    </w:p>
    <w:bookmarkStart w:id="60" w:name="design"/>
    <w:p>
      <w:pPr>
        <w:pStyle w:val="Heading2"/>
      </w:pPr>
      <w:r>
        <w:t xml:space="preserve">9.1 Design</w:t>
      </w:r>
    </w:p>
    <w:p>
      <w:pPr>
        <w:pStyle w:val="FirstParagraph"/>
      </w:pPr>
      <w:r>
        <w:t xml:space="preserve">We run a Monte Carlo simulation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observations per</w:t>
      </w:r>
      <w:r>
        <w:t xml:space="preserve"> </w:t>
      </w:r>
      <w:r>
        <w:t xml:space="preserve">replicate. Six estimators are compared: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Crude:</w:t>
      </w:r>
      <w:r>
        <w:t xml:space="preserve"> </w:t>
      </w:r>
      <w:r>
        <w:t xml:space="preserve">unadjusted risk difference.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IPTW:</w:t>
      </w:r>
      <w:r>
        <w:t xml:space="preserve"> </w:t>
      </w:r>
      <w:r>
        <w:t xml:space="preserve">stabilised inverse-probability-of-treatment weighting.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 Match:</w:t>
      </w:r>
      <w:r>
        <w:t xml:space="preserve"> </w:t>
      </w:r>
      <w:r>
        <w:t xml:space="preserve">1:1 nearest-neighbour propensity-score matching.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TMLE:</w:t>
      </w:r>
      <w:r>
        <w:t xml:space="preserve"> </w:t>
      </w:r>
      <w:r>
        <w:t xml:space="preserve">TMLE with the plasmode-selected specification, no</w:t>
      </w:r>
      <w:r>
        <w:t xml:space="preserve"> </w:t>
      </w:r>
      <w:r>
        <w:t xml:space="preserve">cross-fitting.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TMLE_CF (CV-TMLE):</w:t>
      </w:r>
      <w:r>
        <w:t xml:space="preserve"> </w:t>
      </w:r>
      <w:r>
        <w:t xml:space="preserve">cross-validated TMLE with two folds. We</w:t>
      </w:r>
      <w:r>
        <w:t xml:space="preserve"> </w:t>
      </w:r>
      <w:r>
        <w:t xml:space="preserve">use the names</w:t>
      </w:r>
      <w:r>
        <w:t xml:space="preserve"> </w:t>
      </w:r>
      <w:r>
        <w:t xml:space="preserve">“cross-validated TMLE”</w:t>
      </w:r>
      <w:r>
        <w:t xml:space="preserve"> </w:t>
      </w:r>
      <w:r>
        <w:t xml:space="preserve">and</w:t>
      </w:r>
      <w:r>
        <w:t xml:space="preserve"> </w:t>
      </w:r>
      <w:r>
        <w:t xml:space="preserve">“cross-fitted TMLE”</w:t>
      </w:r>
      <w:r>
        <w:t xml:space="preserve"> </w:t>
      </w:r>
      <w:r>
        <w:t xml:space="preserve">interchangeably; both describe the sample-split estimator of</w:t>
      </w:r>
      <w:r>
        <w:t xml:space="preserve"> </w:t>
      </w:r>
      <w:r>
        <w:t xml:space="preserve">Zheng and Laan (2011)</w:t>
      </w:r>
      <w:r>
        <w:t xml:space="preserve"> </w:t>
      </w:r>
      <w:r>
        <w:t xml:space="preserve">and</w:t>
      </w:r>
      <w:r>
        <w:t xml:space="preserve"> </w:t>
      </w:r>
      <w:r>
        <w:t xml:space="preserve">Chernozhukov et al. (2018)</w:t>
      </w:r>
      <w:r>
        <w:t xml:space="preserve"> </w:t>
      </w:r>
      <w:r>
        <w:t xml:space="preserve">in which the</w:t>
      </w:r>
      <w:r>
        <w:t xml:space="preserve"> </w:t>
      </w:r>
      <w:r>
        <w:t xml:space="preserve">nuisance fits are made on data held out from the targeting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Match_TMLE:</w:t>
      </w:r>
      <w:r>
        <w:t xml:space="preserve"> </w:t>
      </w:r>
      <w:r>
        <w:t xml:space="preserve">TMLE on the propensity-matched subset.</w:t>
      </w:r>
    </w:p>
    <w:p>
      <w:pPr>
        <w:pStyle w:val="FirstParagraph"/>
      </w:pPr>
      <w:r>
        <w:t xml:space="preserve">Three scenarios are run: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A. Good overlap.</w:t>
      </w:r>
      <w:r>
        <w:t xml:space="preserve"> </w:t>
      </w:r>
      <w:r>
        <w:rPr>
          <w:rStyle w:val="VerbatimChar"/>
        </w:rPr>
        <w:t xml:space="preserve">overlap_strength = 0.5</w:t>
      </w:r>
      <w:r>
        <w:t xml:space="preserve">, no unmeasured</w:t>
      </w:r>
      <w:r>
        <w:t xml:space="preserve"> </w:t>
      </w:r>
      <w:r>
        <w:t xml:space="preserve">confounding. Propensity scores stay inside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t>0.8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B. Marginal overlap.</w:t>
      </w:r>
      <w:r>
        <w:t xml:space="preserve"> </w:t>
      </w:r>
      <w:r>
        <w:rPr>
          <w:rStyle w:val="VerbatimChar"/>
        </w:rPr>
        <w:t xml:space="preserve">overlap_strength = 1.5</w:t>
      </w:r>
      <w:r>
        <w:t xml:space="preserve">, no unmeasured</w:t>
      </w:r>
      <w:r>
        <w:t xml:space="preserve"> </w:t>
      </w:r>
      <w:r>
        <w:t xml:space="preserve">confounding. Propensity scores reach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0.04</m:t>
            </m:r>
            <m:r>
              <m:rPr>
                <m:sty m:val="p"/>
              </m:rPr>
              <m:t>,</m:t>
            </m:r>
            <m:r>
              <m:t>0.99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C. Unmeasured confounding.</w:t>
      </w:r>
      <w:r>
        <w:t xml:space="preserve"> </w:t>
      </w:r>
      <w:r>
        <w:rPr>
          <w:rStyle w:val="VerbatimChar"/>
        </w:rPr>
        <w:t xml:space="preserve">overlap_strength = 0.5</w:t>
      </w:r>
      <w:r>
        <w:t xml:space="preserve">, plus a</w:t>
      </w:r>
      <w:r>
        <w:t xml:space="preserve"> </w:t>
      </w:r>
      <w:r>
        <w:t xml:space="preserve">binary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prevalence 0.20 and odds ratios 2.0 for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 The analyst’s covariate set excludes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FirstParagraph"/>
      </w:pPr>
      <w:r>
        <w:t xml:space="preserve">For each scenario the DQ stress test is run on three covariate-</w:t>
      </w:r>
      <w:r>
        <w:t xml:space="preserve"> </w:t>
      </w:r>
      <w:r>
        <w:t xml:space="preserve">missingness fractions (0.05, 0.10, 0.20); two paired</w:t>
      </w:r>
      <w:r>
        <w:t xml:space="preserve"> </w:t>
      </w:r>
      <w:r>
        <w:t xml:space="preserve">treatment-ascertainment (sens, spec) cells (0.95, 0.99) and</w:t>
      </w:r>
      <w:r>
        <w:t xml:space="preserve"> </w:t>
      </w:r>
      <w:r>
        <w:t xml:space="preserve">(0.90, 0.95); the same two paired cells for outcome ascertainment;</w:t>
      </w:r>
      <w:r>
        <w:t xml:space="preserve"> </w:t>
      </w:r>
      <w:r>
        <w:t xml:space="preserve">and two paired unmeasured-confounder strengths</w:t>
      </w:r>
      <w:r>
        <w:t xml:space="preserve"> </w:t>
      </w:r>
      <w:r>
        <w:t xml:space="preserve">(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nor/>
                    <m:sty m:val="p"/>
                  </m:rPr>
                  <m:t>OR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OR</m:t>
                </m:r>
              </m:e>
              <m:sub>
                <m:r>
                  <m:t>Y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1.5</m:t>
            </m:r>
          </m:e>
        </m:d>
        <m:r>
          <m:rPr>
            <m:sty m:val="p"/>
          </m:rPr>
          <m:t>,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2.0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prevalence fixed at 0.20). Across the four threats this</w:t>
      </w:r>
      <w:r>
        <w:t xml:space="preserve"> </w:t>
      </w:r>
      <w:r>
        <w:t xml:space="preserve">yields nine severity cells per Monte Carlo scenario. The PS candidate</w:t>
      </w:r>
      <w:r>
        <w:t xml:space="preserve"> </w:t>
      </w:r>
      <w:r>
        <w:t xml:space="preserve">grid comprises two GLM-based specifications varying the truncation</w:t>
      </w:r>
      <w:r>
        <w:t xml:space="preserve"> </w:t>
      </w:r>
      <w:r>
        <w:t xml:space="preserve">threshold (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}</m:t>
        </m:r>
      </m:oMath>
      <w:r>
        <w:t xml:space="preserve">); regularised-learner PS</w:t>
      </w:r>
      <w:r>
        <w:t xml:space="preserve"> </w:t>
      </w:r>
      <w:r>
        <w:t xml:space="preserve">candidates are excluded from the stress-test grid because</w:t>
      </w:r>
      <w:r>
        <w:t xml:space="preserve"> </w:t>
      </w:r>
      <w:r>
        <w:t xml:space="preserve">SL.glmnet produces runaway computation on the near-positivity-</w:t>
      </w:r>
      <w:r>
        <w:t xml:space="preserve"> </w:t>
      </w:r>
      <w:r>
        <w:t xml:space="preserve">violation designs generated for Scenario B, and GLM and regularised</w:t>
      </w:r>
      <w:r>
        <w:t xml:space="preserve"> </w:t>
      </w:r>
      <w:r>
        <w:t xml:space="preserve">PS produce near-identical plasmode metrics on this DGP (see</w:t>
      </w:r>
      <w:r>
        <w:t xml:space="preserve"> </w:t>
      </w:r>
      <w:hyperlink w:anchor="sec-limitations">
        <w:r>
          <w:rPr>
            <w:rStyle w:val="Hyperlink"/>
          </w:rPr>
          <w:t xml:space="preserve">Section 13.4</w:t>
        </w:r>
      </w:hyperlink>
      <w:r>
        <w:t xml:space="preserve">).</w:t>
      </w:r>
    </w:p>
    <w:p>
      <w:pPr>
        <w:pStyle w:val="BodyText"/>
      </w:pPr>
      <w:r>
        <w:t xml:space="preserve">We report 200 Monte Carlo replicates per scenario and give the Monte</w:t>
      </w:r>
      <w:r>
        <w:t xml:space="preserve"> </w:t>
      </w:r>
      <w:r>
        <w:t xml:space="preserve">Carlo standard error of each coverage estimate alongside it; coverage</w:t>
      </w:r>
      <w:r>
        <w:t xml:space="preserve"> </w:t>
      </w:r>
      <w:r>
        <w:t xml:space="preserve">differences within roughly</w:t>
      </w:r>
      <w:r>
        <w:t xml:space="preserve"> </w:t>
      </w:r>
      <m:oMath>
        <m:r>
          <m:rPr>
            <m:sty m:val="p"/>
          </m:rPr>
          <m:t>±</m:t>
        </m:r>
        <m:r>
          <m:t>0.03</m:t>
        </m:r>
      </m:oMath>
      <w:r>
        <w:t xml:space="preserve"> </w:t>
      </w:r>
      <w:r>
        <w:t xml:space="preserve">of nominal should be read as</w:t>
      </w:r>
      <w:r>
        <w:t xml:space="preserve"> </w:t>
      </w:r>
      <w:r>
        <w:t xml:space="preserve">compatible with the nominal level at this replicate count. Two control scenarios complement the three</w:t>
      </w:r>
      <w:r>
        <w:t xml:space="preserve"> </w:t>
      </w:r>
      <w:r>
        <w:t xml:space="preserve">above and are exercised in the gate operating-characteristics</w:t>
      </w:r>
      <w:r>
        <w:t xml:space="preserve"> </w:t>
      </w:r>
      <w:r>
        <w:t xml:space="preserve">meta-simulation of</w:t>
      </w:r>
      <w:r>
        <w:t xml:space="preserve"> </w:t>
      </w:r>
      <w:hyperlink w:anchor="sec-gate-oc">
        <w:r>
          <w:rPr>
            <w:rStyle w:val="Hyperlink"/>
          </w:rPr>
          <w:t xml:space="preserve">Section 11</w:t>
        </w:r>
      </w:hyperlink>
      <w:r>
        <w:t xml:space="preserve">: a</w:t>
      </w:r>
      <w:r>
        <w:t xml:space="preserve"> </w:t>
      </w:r>
      <w:r>
        <w:rPr>
          <w:i/>
          <w:iCs/>
        </w:rPr>
        <w:t xml:space="preserve">null</w:t>
      </w:r>
      <w:r>
        <w:t xml:space="preserve"> </w:t>
      </w:r>
      <w:r>
        <w:t xml:space="preserve">data-generating process with no</w:t>
      </w:r>
      <w:r>
        <w:t xml:space="preserve"> </w:t>
      </w:r>
      <w:r>
        <w:t xml:space="preserve">unmeasured confounding (the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cell), under which the oracle verdict</w:t>
      </w:r>
      <w:r>
        <w:t xml:space="preserve"> </w:t>
      </w:r>
      <w:r>
        <w:t xml:space="preserve">is GO so the screen’s STOP rate estimates its false-STOP rate; and a</w:t>
      </w:r>
      <w:r>
        <w:t xml:space="preserve"> </w:t>
      </w:r>
      <w:r>
        <w:rPr>
          <w:i/>
          <w:iCs/>
        </w:rPr>
        <w:t xml:space="preserve">positive control</w:t>
      </w:r>
      <w:r>
        <w:t xml:space="preserve"> </w:t>
      </w:r>
      <w:r>
        <w:t xml:space="preserve">in which strong but fully measured confounding is</w:t>
      </w:r>
      <w:r>
        <w:t xml:space="preserve"> </w:t>
      </w:r>
      <w:r>
        <w:t xml:space="preserve">removed by adjustment, under which the adjusted estimators should recover</w:t>
      </w:r>
      <w:r>
        <w:t xml:space="preserve"> </w:t>
      </w:r>
      <w:r>
        <w:t xml:space="preserve">the truth while the crude comparison does not.</w:t>
      </w:r>
    </w:p>
    <w:bookmarkEnd w:id="60"/>
    <w:bookmarkStart w:id="85" w:name="monte-carlo-results"/>
    <w:p>
      <w:pPr>
        <w:pStyle w:val="Heading2"/>
      </w:pPr>
      <w:r>
        <w:t xml:space="preserve">9.2 Monte Carlo results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mc-metric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Scenario C: Unmeasured Confounding. The g_value column is the additive bias that would push the 95% CI across zero (Gruber 2023 RWE p.5); smaller values mean the conclusion is more easily flipped by a postulated bias.</w:t>
            </w:r>
          </w:p>
          <w:p>
            <w:pPr>
              <w:pStyle w:val="Heading3"/>
              <w:jc w:val="center"/>
            </w:pPr>
            <w:bookmarkStart w:id="61" w:name="scenario-a-good-overlap-true-rd--0.02979"/>
            <w:r>
              <w:t xml:space="preserve">9.2.1 Scenario A: Good Overlap (true RD = -0.02979)</w:t>
            </w:r>
            <w:bookmarkEnd w:id="61"/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57"/>
              <w:gridCol w:w="344"/>
              <w:gridCol w:w="619"/>
              <w:gridCol w:w="619"/>
              <w:gridCol w:w="619"/>
              <w:gridCol w:w="550"/>
              <w:gridCol w:w="550"/>
              <w:gridCol w:w="826"/>
              <w:gridCol w:w="550"/>
              <w:gridCol w:w="619"/>
              <w:gridCol w:w="688"/>
              <w:gridCol w:w="619"/>
              <w:gridCol w:w="55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n_ok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bias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abs_bias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emp_sd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se_sd_ratio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coverage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mc_se_cov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ci_width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g_value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Crude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-0.01763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0.05283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IPTW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0.05399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 Match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-0.03123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0.05826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0.05348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TMLE_CF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-0.02978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0.05368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Match_TMLE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-0.03365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-0.00385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0.06137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</w:tbl>
          <w:p>
            <w:pPr>
              <w:pStyle w:val="Heading3"/>
              <w:jc w:val="center"/>
            </w:pPr>
            <w:bookmarkStart w:id="62" w:name="X539d2e41b20619841b5f484f160273f03ef61dd"/>
            <w:r>
              <w:t xml:space="preserve">9.2.2 Scenario B: Marginal Overlap (true RD = -0.02979)</w:t>
            </w:r>
            <w:bookmarkEnd w:id="62"/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57"/>
              <w:gridCol w:w="344"/>
              <w:gridCol w:w="619"/>
              <w:gridCol w:w="619"/>
              <w:gridCol w:w="619"/>
              <w:gridCol w:w="550"/>
              <w:gridCol w:w="550"/>
              <w:gridCol w:w="826"/>
              <w:gridCol w:w="550"/>
              <w:gridCol w:w="619"/>
              <w:gridCol w:w="688"/>
              <w:gridCol w:w="619"/>
              <w:gridCol w:w="55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n_ok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bias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abs_bias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emp_sd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se_sd_ratio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coverage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mc_se_cov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ci_width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g_value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Crude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0.03420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0.05293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IPTW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-0.03346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-0.00367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0.07937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 Match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-0.02770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-0.03166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0.05621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TMLE_CF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-0.02818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0.05673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Match_TMLE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</w:tbl>
          <w:p>
            <w:pPr>
              <w:pStyle w:val="Heading3"/>
              <w:jc w:val="center"/>
            </w:pPr>
            <w:bookmarkStart w:id="63" w:name="X5abe8fbf009ebf57dedb1ebf41d3907d23035c8"/>
            <w:r>
              <w:t xml:space="preserve">9.2.3 Scenario C: Unmeasured Confounding (true RD = -0.03347)</w:t>
            </w:r>
            <w:bookmarkEnd w:id="63"/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64"/>
              <w:gridCol w:w="347"/>
              <w:gridCol w:w="625"/>
              <w:gridCol w:w="555"/>
              <w:gridCol w:w="625"/>
              <w:gridCol w:w="555"/>
              <w:gridCol w:w="555"/>
              <w:gridCol w:w="833"/>
              <w:gridCol w:w="555"/>
              <w:gridCol w:w="625"/>
              <w:gridCol w:w="694"/>
              <w:gridCol w:w="625"/>
              <w:gridCol w:w="55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n_ok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mean_est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bias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abs_bias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emp_sd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mean_se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se_sd_ratio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coverage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mc_se_cov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ci_width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g_value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Crude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0.05624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IPTW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-0.02655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0.05779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 Match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-0.02615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-0.02650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0.05715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TMLE_CF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-0.02605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0.05735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Match_TMLE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-0.02886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</w:tbl>
          <w:bookmarkEnd w:id="64"/>
          <w:p/>
        </w:tc>
      </w:tr>
    </w:tbl>
    <w:bookmarkStart w:id="82" w:name="interpretation"/>
    <w:p>
      <w:pPr>
        <w:pStyle w:val="Heading3"/>
      </w:pPr>
      <w:r>
        <w:t xml:space="preserve">9.2.4 Interpretation</w:t>
      </w:r>
    </w:p>
    <w:p>
      <w:pPr>
        <w:pStyle w:val="FirstParagraph"/>
      </w:pPr>
      <w:r>
        <w:t xml:space="preserve">The simulation illustrates three intended uses of the staged</w:t>
      </w:r>
      <w:r>
        <w:t xml:space="preserve"> </w:t>
      </w:r>
      <w:r>
        <w:t xml:space="preserve">workflow: confirming acceptable finite-sample behaviour, detecting</w:t>
      </w:r>
      <w:r>
        <w:t xml:space="preserve"> </w:t>
      </w:r>
      <w:r>
        <w:t xml:space="preserve">instability under marginal overlap, and stopping under a</w:t>
      </w:r>
      <w:r>
        <w:t xml:space="preserve"> </w:t>
      </w:r>
      <w:r>
        <w:t xml:space="preserve">prespecified data-generating process that encodes an identification</w:t>
      </w:r>
      <w:r>
        <w:t xml:space="preserve"> </w:t>
      </w:r>
      <w:r>
        <w:t xml:space="preserve">failure.</w:t>
      </w:r>
    </w:p>
    <w:p>
      <w:pPr>
        <w:pStyle w:val="BodyText"/>
      </w:pPr>
      <w:r>
        <w:t xml:space="preserve">The workflow shows a specific thing here. A STOP decision is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failure of prespecified operating-characteristic thresholds under</w:t>
      </w:r>
      <w:r>
        <w:rPr>
          <w:b/>
          <w:bCs/>
        </w:rPr>
        <w:t xml:space="preserve"> </w:t>
      </w:r>
      <w:r>
        <w:rPr>
          <w:b/>
          <w:bCs/>
        </w:rPr>
        <w:t xml:space="preserve">the simulated DGP</w:t>
      </w:r>
      <w:r>
        <w:t xml:space="preserve">, not</w:t>
      </w:r>
      <w:r>
        <w:t xml:space="preserve"> </w:t>
      </w:r>
      <w:r>
        <w:rPr>
          <w:b/>
          <w:bCs/>
        </w:rPr>
        <w:t xml:space="preserve">detected real-data bias</w:t>
      </w:r>
      <w:r>
        <w:t xml:space="preserve">. The clarity of the STOP decision in</w:t>
      </w:r>
      <w:r>
        <w:t xml:space="preserve"> </w:t>
      </w:r>
      <w:r>
        <w:t xml:space="preserve">Scenario C depends on the analyst having anticipated the threat</w:t>
      </w:r>
      <w:r>
        <w:t xml:space="preserve"> </w:t>
      </w:r>
      <w:r>
        <w:t xml:space="preserve">(unmeasured confounding) and having encoded a corresponding latent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scenario in the locked DGP; the package does not infer the</w:t>
      </w:r>
      <w:r>
        <w:t xml:space="preserve"> </w:t>
      </w:r>
      <w:r>
        <w:t xml:space="preserve">threat from the realised data, and a STOP under a stress scenario</w:t>
      </w:r>
      <w:r>
        <w:t xml:space="preserve"> </w:t>
      </w:r>
      <w:r>
        <w:t xml:space="preserve">that the analyst chose to include is a different claim from</w:t>
      </w:r>
      <w:r>
        <w:t xml:space="preserve"> </w:t>
      </w:r>
      <w:r>
        <w:t xml:space="preserve">“this</w:t>
      </w:r>
      <w:r>
        <w:t xml:space="preserve"> </w:t>
      </w:r>
      <w:r>
        <w:t xml:space="preserve">study has unmeasured confounding”</w:t>
      </w:r>
      <w:r>
        <w:t xml:space="preserve">. The same distinction applies in</w:t>
      </w:r>
      <w:r>
        <w:t xml:space="preserve"> </w:t>
      </w:r>
      <w:r>
        <w:t xml:space="preserve">reverse: a GO decision does not imply that the realised data are</w:t>
      </w:r>
      <w:r>
        <w:t xml:space="preserve"> </w:t>
      </w:r>
      <w:r>
        <w:t xml:space="preserve">free of the threat, only that, under the prespecified DGP and the</w:t>
      </w:r>
      <w:r>
        <w:t xml:space="preserve"> </w:t>
      </w:r>
      <w:r>
        <w:t xml:space="preserve">locked thresholds, the candidate estimator does not fail.</w:t>
      </w:r>
      <w:r>
        <w:t xml:space="preserve"> </w:t>
      </w:r>
      <w:r>
        <w:t xml:space="preserve">The printed tables include the Monte Carlo standard error of the</w:t>
      </w:r>
      <w:r>
        <w:t xml:space="preserve"> </w:t>
      </w:r>
      <w:r>
        <w:t xml:space="preserve">coverage estimate so the reader can judge which differences exceed</w:t>
      </w:r>
      <w:r>
        <w:t xml:space="preserve"> </w:t>
      </w:r>
      <w:r>
        <w:t xml:space="preserve">Monte Carlo noise.</w:t>
      </w:r>
    </w:p>
    <w:p>
      <w:pPr>
        <w:pStyle w:val="BodyText"/>
      </w:pPr>
      <w:r>
        <w:t xml:space="preserve">Under good overlap (Scenario A) all adjusted estimators</w:t>
      </w:r>
      <w:r>
        <w:t xml:space="preserve"> </w:t>
      </w:r>
      <w:r>
        <w:t xml:space="preserve">recover the truth with bias well under the prespecified threshold</w:t>
      </w:r>
      <w:r>
        <w:t xml:space="preserve"> </w:t>
      </w:r>
      <w:r>
        <w:t xml:space="preserve">of 0.02 and with confidence intervals that cover at the nominal</w:t>
      </w:r>
      <w:r>
        <w:t xml:space="preserve"> </w:t>
      </w:r>
      <w:r>
        <w:t xml:space="preserve">rate. The crude estimator has substantial residual confounding and</w:t>
      </w:r>
      <w:r>
        <w:t xml:space="preserve"> </w:t>
      </w:r>
      <w:r>
        <w:t xml:space="preserve">its confidence intervals do not cover at 95%. This is the textbook</w:t>
      </w:r>
      <w:r>
        <w:t xml:space="preserve"> </w:t>
      </w:r>
      <w:r>
        <w:t xml:space="preserve">benchmark check.</w:t>
      </w:r>
    </w:p>
    <w:p>
      <w:pPr>
        <w:pStyle w:val="BodyText"/>
      </w:pPr>
      <w:r>
        <w:t xml:space="preserve">Under marginal overlap (Scenario B) the crude estimator</w:t>
      </w:r>
      <w:r>
        <w:t xml:space="preserve"> </w:t>
      </w:r>
      <w:r>
        <w:t xml:space="preserve">shifts further from the truth and IPTW shows wider CIs reflecting</w:t>
      </w:r>
      <w:r>
        <w:t xml:space="preserve"> </w:t>
      </w:r>
      <w:r>
        <w:t xml:space="preserve">the heavier weights, while TMLE and CV-TMLE hold bias small</w:t>
      </w:r>
      <w:r>
        <w:t xml:space="preserve"> </w:t>
      </w:r>
      <w:r>
        <w:t xml:space="preserve">relative to their empirical standard deviation (the residual bias</w:t>
      </w:r>
      <w:r>
        <w:t xml:space="preserve"> </w:t>
      </w:r>
      <w:r>
        <w:t xml:space="preserve">is statistically distinguishable from zero at the Monte Carlo</w:t>
      </w:r>
      <w:r>
        <w:t xml:space="preserve"> </w:t>
      </w:r>
      <w:r>
        <w:t xml:space="preserve">sample size used, but is an order of magnitude smaller than the</w:t>
      </w:r>
      <w:r>
        <w:t xml:space="preserve"> </w:t>
      </w:r>
      <w:r>
        <w:t xml:space="preserve">empirical SD). The plasmode-selected specification chooses</w:t>
      </w:r>
      <w:r>
        <w:t xml:space="preserve"> </w:t>
      </w:r>
      <w:r>
        <w:t xml:space="preserve">a higher truncation level than under Scenario A, illustrating that</w:t>
      </w:r>
      <w:r>
        <w:t xml:space="preserve"> </w:t>
      </w:r>
      <w:r>
        <w:t xml:space="preserve">the candidate selection adapts to the observed data structure.</w:t>
      </w:r>
    </w:p>
    <w:p>
      <w:pPr>
        <w:pStyle w:val="BodyText"/>
      </w:pPr>
      <w:r>
        <w:t xml:space="preserve">Under unmeasured confounding (Scenario C) every estimator is</w:t>
      </w:r>
      <w:r>
        <w:t xml:space="preserve"> </w:t>
      </w:r>
      <w:r>
        <w:t xml:space="preserve">biased in the same direction, because no method that adjusts only</w:t>
      </w:r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can remove the contribution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the treatment-outcome</w:t>
      </w:r>
      <w:r>
        <w:t xml:space="preserve"> </w:t>
      </w:r>
      <w:r>
        <w:t xml:space="preserve">association. The bias is smallest for TMLE and largest for the</w:t>
      </w:r>
      <w:r>
        <w:t xml:space="preserve"> </w:t>
      </w:r>
      <w:r>
        <w:t xml:space="preserve">crude estimator, but the difference is one of degree, not of kind.</w:t>
      </w:r>
      <w:r>
        <w:t xml:space="preserve"> </w:t>
      </w:r>
      <w:r>
        <w:t xml:space="preserve">The pre-outcome decision returns STOP for Scenario C. Inspection of</w:t>
      </w:r>
      <w:r>
        <w:t xml:space="preserve"> </w:t>
      </w:r>
      <w:r>
        <w:t xml:space="preserve">the per-component thresholds shows that the trigger is the</w:t>
      </w:r>
      <w:r>
        <w:t xml:space="preserve"> </w:t>
      </w:r>
      <w:r>
        <w:t xml:space="preserve">unmeasured-confounding DQ row (estimated bias from the U-shift</w:t>
      </w:r>
      <w:r>
        <w:t xml:space="preserve"> </w:t>
      </w:r>
      <w:r>
        <w:t xml:space="preserve">scenario exceeds the prespecified maximum), rather than the</w:t>
      </w:r>
      <w:r>
        <w:t xml:space="preserve"> </w:t>
      </w:r>
      <w:r>
        <w:t xml:space="preserve">baseline plasmode coverage check: the baseline TMLE coverage in</w:t>
      </w:r>
      <w:r>
        <w:t xml:space="preserve"> </w:t>
      </w:r>
      <w:r>
        <w:t xml:space="preserve">Scenario C is at the lower edge of the prespecified range, and the</w:t>
      </w:r>
      <w:r>
        <w:t xml:space="preserve"> </w:t>
      </w:r>
      <w:r>
        <w:t xml:space="preserve">DQ supplement is what makes the failure unambiguous. This</w:t>
      </w:r>
      <w:r>
        <w:t xml:space="preserve"> </w:t>
      </w:r>
      <w:r>
        <w:t xml:space="preserve">illustrates the intended role of the DQ stress test as a</w:t>
      </w:r>
      <w:r>
        <w:t xml:space="preserve"> </w:t>
      </w:r>
      <w:r>
        <w:t xml:space="preserve">quantitative supplement to the baseline plasmode metrics.</w:t>
      </w:r>
    </w:p>
    <w:p>
      <w:pPr>
        <w:pStyle w:val="BodyText"/>
      </w:pPr>
      <w:r>
        <w:t xml:space="preserve">A separate pattern concerns</w:t>
      </w:r>
      <w:r>
        <w:t xml:space="preserve"> </w:t>
      </w:r>
      <w:r>
        <w:rPr>
          <w:b/>
          <w:bCs/>
        </w:rPr>
        <w:t xml:space="preserve">variance-estimator selection</w:t>
      </w:r>
      <w:r>
        <w:t xml:space="preserve">, the</w:t>
      </w:r>
      <w:r>
        <w:t xml:space="preserve"> </w:t>
      </w:r>
      <w:r>
        <w:t xml:space="preserve">second stage of FIORD’s two-stage selector</w:t>
      </w:r>
      <w:r>
        <w:t xml:space="preserve"> </w:t>
      </w:r>
      <w:r>
        <w:t xml:space="preserve">(Nance et al. 2026)</w:t>
      </w:r>
      <w:r>
        <w:t xml:space="preserve">, which</w:t>
      </w:r>
      <w:r>
        <w:t xml:space="preserve"> </w:t>
      </w:r>
      <w:r>
        <w:t xml:space="preserve">interacts with the DGP in ways that the point-estimator comparison</w:t>
      </w:r>
      <w:r>
        <w:t xml:space="preserve"> </w:t>
      </w:r>
      <w:r>
        <w:t xml:space="preserve">does not reveal.</w:t>
      </w:r>
      <w:r>
        <w:t xml:space="preserve"> </w:t>
      </w:r>
      <w:hyperlink w:anchor="tbl-boot-varian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reports a targeted 100-replicate variance comparison for</w:t>
      </w:r>
      <w:r>
        <w:t xml:space="preserve"> </w:t>
      </w:r>
      <w:r>
        <w:t xml:space="preserve">IPTW and Match_TMLE across three overlap regimes. Overlap regime C has minimal</w:t>
      </w:r>
      <w:r>
        <w:t xml:space="preserve"> </w:t>
      </w:r>
      <w:r>
        <w:t xml:space="preserve">PS spread (very good overlap); overlap regime A has moderate PS spread (good</w:t>
      </w:r>
      <w:r>
        <w:t xml:space="preserve"> </w:t>
      </w:r>
      <w:r>
        <w:t xml:space="preserve">overlap); overlap regime B has wide PS spread (marginal overlap). These regimes</w:t>
      </w:r>
      <w:r>
        <w:t xml:space="preserve"> </w:t>
      </w:r>
      <w:r>
        <w:t xml:space="preserve">are distinct from the main simulation scenarios A, B, and C described in</w:t>
      </w:r>
      <w:r>
        <w:t xml:space="preserve"> </w:t>
      </w:r>
      <w:hyperlink w:anchor="sec-simulation">
        <w:r>
          <w:rPr>
            <w:rStyle w:val="Hyperlink"/>
          </w:rPr>
          <w:t xml:space="preserve">Section 9</w:t>
        </w:r>
      </w:hyperlink>
      <w:r>
        <w:t xml:space="preserve">. For each replicate both the IF-based and nonparametric</w:t>
      </w:r>
      <w:r>
        <w:t xml:space="preserve"> </w:t>
      </w:r>
      <w:r>
        <w:t xml:space="preserve">bootstrap (B = 200 draws, GLM PS) SE are computed; the table reports mean</w:t>
      </w:r>
      <w:r>
        <w:t xml:space="preserve"> </w:t>
      </w:r>
      <w:r>
        <w:t xml:space="preserve">SE/SD ratios and 95% CI coverage under each method.</w:t>
      </w:r>
    </w:p>
    <w:p>
      <w:pPr>
        <w:pStyle w:val="BodyText"/>
      </w:pPr>
      <w:r>
        <w:t xml:space="preserve">Under very good overlap (regime C), both IPTW and Match_TMLE are approximately</w:t>
      </w:r>
      <w:r>
        <w:t xml:space="preserve"> </w:t>
      </w:r>
      <w:r>
        <w:t xml:space="preserve">calibrated (0.95 IF-coverage for Match_TMLE, Monte Carlo</w:t>
      </w:r>
      <w:r>
        <w:t xml:space="preserve"> </w:t>
      </w:r>
      <w:r>
        <w:t xml:space="preserve">SE 0.02), and the bootstrap shows no material</w:t>
      </w:r>
      <w:r>
        <w:t xml:space="preserve"> </w:t>
      </w:r>
      <w:r>
        <w:t xml:space="preserve">difference at this sample size. When PS spread is minimal the matching-draw</w:t>
      </w:r>
      <w:r>
        <w:t xml:space="preserve"> </w:t>
      </w:r>
      <w:r>
        <w:t xml:space="preserve">variance is smaller relative to the outcome variance, so the IF-SE is already</w:t>
      </w:r>
      <w:r>
        <w:t xml:space="preserve"> </w:t>
      </w:r>
      <w:r>
        <w:t xml:space="preserve">at nominal coverage. Oracle selection would find no difference to act on here;</w:t>
      </w:r>
      <w:r>
        <w:t xml:space="preserve"> </w:t>
      </w:r>
      <w:r>
        <w:t xml:space="preserve">100 replicates can fail to detect a small difference, so this comparison does</w:t>
      </w:r>
      <w:r>
        <w:t xml:space="preserve"> </w:t>
      </w:r>
      <w:r>
        <w:t xml:space="preserve">not establish equivalence.</w:t>
      </w:r>
    </w:p>
    <w:p>
      <w:pPr>
        <w:pStyle w:val="BodyText"/>
      </w:pPr>
      <w:r>
        <w:t xml:space="preserve">Under good overlap (regime A), IPTW achieves se_sd_ratio_if ≈</w:t>
      </w:r>
      <w:r>
        <w:t xml:space="preserve"> </w:t>
      </w:r>
      <w:r>
        <w:t xml:space="preserve">0.98, coverage_if =</w:t>
      </w:r>
      <w:r>
        <w:t xml:space="preserve"> </w:t>
      </w:r>
      <w:r>
        <w:t xml:space="preserve">0.94. Match_TMLE is anti-conservative: the IF-based</w:t>
      </w:r>
      <w:r>
        <w:t xml:space="preserve"> </w:t>
      </w:r>
      <w:r>
        <w:t xml:space="preserve">SE undercovers at 0.89 (Monte Carlo SE</w:t>
      </w:r>
      <w:r>
        <w:t xml:space="preserve"> </w:t>
      </w:r>
      <w:r>
        <w:t xml:space="preserve">0.03), so the 95% interval fails in roughly one</w:t>
      </w:r>
      <w:r>
        <w:t xml:space="preserve"> </w:t>
      </w:r>
      <w:r>
        <w:t xml:space="preserve">replicate in 9. The paired-difference SE</w:t>
      </w:r>
      <w:r>
        <w:t xml:space="preserve"> </w:t>
      </w:r>
      <w:r>
        <w:t xml:space="preserve">conditions on the fixed matched dataset and ignores the matching-draw</w:t>
      </w:r>
      <w:r>
        <w:t xml:space="preserve"> </w:t>
      </w:r>
      <w:r>
        <w:t xml:space="preserve">variance, the variability from which controls are selected when the data are</w:t>
      </w:r>
      <w:r>
        <w:t xml:space="preserve"> </w:t>
      </w:r>
      <w:r>
        <w:t xml:space="preserve">resampled. In this regime the full-pipeline bootstrap raises coverage to</w:t>
      </w:r>
      <w:r>
        <w:t xml:space="preserve"> </w:t>
      </w:r>
      <w:r>
        <w:t xml:space="preserve">0.95 (Monte Carlo SE 0.02).</w:t>
      </w:r>
      <w:r>
        <w:t xml:space="preserve"> </w:t>
      </w:r>
      <w:r>
        <w:t xml:space="preserve">This is the setting where</w:t>
      </w:r>
      <w:r>
        <w:t xml:space="preserve"> </w:t>
      </w:r>
      <w:r>
        <w:rPr>
          <w:rStyle w:val="VerbatimChar"/>
        </w:rPr>
        <w:t xml:space="preserve">select_variance_method()</w:t>
      </w:r>
      <w:r>
        <w:t xml:space="preserve"> </w:t>
      </w:r>
      <w:r>
        <w:t xml:space="preserve">oracle coverage selection</w:t>
      </w:r>
      <w:r>
        <w:t xml:space="preserve"> </w:t>
      </w:r>
      <w:r>
        <w:t xml:space="preserve">would favour the bootstrap over the IF-based SE.</w:t>
      </w:r>
    </w:p>
    <w:p>
      <w:pPr>
        <w:pStyle w:val="BodyText"/>
      </w:pPr>
      <w:r>
        <w:t xml:space="preserve">Under marginal overlap the pattern reverses for IPTW. The</w:t>
      </w:r>
      <w:r>
        <w:t xml:space="preserve"> </w:t>
      </w:r>
      <w:r>
        <w:t xml:space="preserve">IF-based variance treats the propensity score as known and not</w:t>
      </w:r>
      <w:r>
        <w:t xml:space="preserve"> </w:t>
      </w:r>
      <w:r>
        <w:t xml:space="preserve">estimated</w:t>
      </w:r>
      <w:r>
        <w:t xml:space="preserve"> </w:t>
      </w:r>
      <w:r>
        <w:t xml:space="preserve">(J. M. Robins and Rotnitzky 1992)</w:t>
      </w:r>
      <w:r>
        <w:t xml:space="preserve">, and the wider PS range amplifies this effect</w:t>
      </w:r>
      <w:r>
        <w:t xml:space="preserve"> </w:t>
      </w:r>
      <w:r>
        <w:t xml:space="preserve">(se_sd_ratio_if = 1.23, coverage_if =</w:t>
      </w:r>
      <w:r>
        <w:t xml:space="preserve"> </w:t>
      </w:r>
      <w:r>
        <w:t xml:space="preserve">0.98, Monte Carlo SE 0.01).</w:t>
      </w:r>
      <w:r>
        <w:t xml:space="preserve"> </w:t>
      </w:r>
      <w:r>
        <w:t xml:space="preserve">The bootstrap does not correct this conservatism, and both bootstrap and IF</w:t>
      </w:r>
      <w:r>
        <w:t xml:space="preserve"> </w:t>
      </w:r>
      <w:r>
        <w:t xml:space="preserve">coverage remain near 0.98. The reason is structural. PS-estimation</w:t>
      </w:r>
      <w:r>
        <w:t xml:space="preserve"> </w:t>
      </w:r>
      <w:r>
        <w:t xml:space="preserve">uncertainty that inflates the IF-SE is a property of the estimation</w:t>
      </w:r>
      <w:r>
        <w:t xml:space="preserve"> </w:t>
      </w:r>
      <w:r>
        <w:t xml:space="preserve">problem; estimated nuisance parameters introduce additional variability that</w:t>
      </w:r>
      <w:r>
        <w:t xml:space="preserve"> </w:t>
      </w:r>
      <w:r>
        <w:t xml:space="preserve">the IF does not capture when it treats the score as fixed. Correcting this</w:t>
      </w:r>
      <w:r>
        <w:t xml:space="preserve"> </w:t>
      </w:r>
      <w:r>
        <w:t xml:space="preserve">requires an M-estimator or sandwich variance that jointly accounts for PS</w:t>
      </w:r>
      <w:r>
        <w:t xml:space="preserve"> </w:t>
      </w:r>
      <w:r>
        <w:t xml:space="preserve">estimation and outcome weighting</w:t>
      </w:r>
      <w:r>
        <w:t xml:space="preserve"> </w:t>
      </w:r>
      <w:r>
        <w:t xml:space="preserve">(Stefanski and Boos 2002)</w:t>
      </w:r>
      <w:r>
        <w:t xml:space="preserve">, not resampling.</w:t>
      </w:r>
      <w:r>
        <w:t xml:space="preserve"> </w:t>
      </w:r>
      <w:r>
        <w:t xml:space="preserve">Match_TMLE, by contrast, is well-calibrated in this regime (se_sd_ratio_if =</w:t>
      </w:r>
      <w:r>
        <w:t xml:space="preserve"> </w:t>
      </w:r>
      <w:r>
        <w:t xml:space="preserve">1.04, coverage_if = 0.97).</w:t>
      </w:r>
      <w:r>
        <w:t xml:space="preserve"> </w:t>
      </w:r>
      <w:r>
        <w:t xml:space="preserve">A likely explanation is that the nearest-neighbour caliper self-selects a</w:t>
      </w:r>
      <w:r>
        <w:t xml:space="preserve"> </w:t>
      </w:r>
      <w:r>
        <w:t xml:space="preserve">sub-population with better effective overlap, where the i.i.d. assumption</w:t>
      </w:r>
      <w:r>
        <w:t xml:space="preserve"> </w:t>
      </w:r>
      <w:r>
        <w:t xml:space="preserve">underlying the IF-SE is approximately satisfied. For Match_TMLE under marginal</w:t>
      </w:r>
      <w:r>
        <w:t xml:space="preserve"> </w:t>
      </w:r>
      <w:r>
        <w:t xml:space="preserve">overlap and for IPTW in both regimes, the bootstrap provides no material</w:t>
      </w:r>
      <w:r>
        <w:t xml:space="preserve"> </w:t>
      </w:r>
      <w:r>
        <w:t xml:space="preserve">improvement.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tbl-boot-varianc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IF-based versus bootstrap variance for IPTW and Match_TMLE across three overlap regimes (C: very good, A: good, B: marginal), 100 MC replicates per regime, B = 200 bootstrap draws. se_sd_ratio is the mean SE divided by the empirical SD of the point estimate; values above 1 indicate conservative (overcovering) inference, values below 1 indicate anti-conservative (undercovering) inference. Coverage cells report the proportion with its binomial Monte Carlo standard error in parentheses; at 100 replicates this standard error is about 0.02 to 0.03, so coverage differences smaller than roughly 0.05 are compatible with no difference.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69"/>
              <w:gridCol w:w="926"/>
              <w:gridCol w:w="674"/>
              <w:gridCol w:w="926"/>
              <w:gridCol w:w="1179"/>
              <w:gridCol w:w="1095"/>
              <w:gridCol w:w="13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Emp. 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SE/SD (IF)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Coverage (IF)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SE/SD (boot)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Coverage (boot)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C: Very Good Overlap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IPTW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 (0.02)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 (0.02)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C: Very Good Overlap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Match_TMLE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 (0.02)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 (0.02)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A: Good Overlap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IPTW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 (0.02)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0.93 (0.03)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A: Good Overlap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Match_TMLE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0.89 (0.03)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 (0.02)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B: Marginal Overlap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IPTW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0.98 (0.01)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 (0.01)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B: Marginal Overlap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Match_TMLE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0.97 (0.02)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 (0.01)</w:t>
                  </w:r>
                </w:p>
              </w:tc>
            </w:tr>
          </w:tbl>
          <w:bookmarkEnd w:id="65"/>
          <w:p/>
        </w:tc>
      </w:tr>
    </w:tbl>
    <w:p>
      <w:pPr>
        <w:pStyle w:val="BodyText"/>
      </w:pPr>
      <w:r>
        <w:t xml:space="preserve">The key practical implication is estimator- and scenario-specific.</w:t>
      </w:r>
      <w:r>
        <w:t xml:space="preserve"> </w:t>
      </w:r>
      <w:r>
        <w:t xml:space="preserve">Abadie and Imbens (2008)</w:t>
      </w:r>
      <w:r>
        <w:t xml:space="preserve"> </w:t>
      </w:r>
      <w:r>
        <w:t xml:space="preserve">establish a negative result for matching estimators: the</w:t>
      </w:r>
      <w:r>
        <w:t xml:space="preserve"> </w:t>
      </w:r>
      <w:r>
        <w:t xml:space="preserve">standard nonparametric bootstrap does not consistently estimate the variance</w:t>
      </w:r>
      <w:r>
        <w:t xml:space="preserve"> </w:t>
      </w:r>
      <w:r>
        <w:t xml:space="preserve">of a nearest-neighbour matching estimator with a fixed number of matches. The</w:t>
      </w:r>
      <w:r>
        <w:t xml:space="preserve"> </w:t>
      </w:r>
      <w:r>
        <w:t xml:space="preserve">procedure used here re-runs the full matching pipeline on each resample, which</w:t>
      </w:r>
      <w:r>
        <w:t xml:space="preserve"> </w:t>
      </w:r>
      <w:r>
        <w:t xml:space="preserve">differs from the fixed-match estimator they analyse, so we report its</w:t>
      </w:r>
      <w:r>
        <w:t xml:space="preserve"> </w:t>
      </w:r>
      <w:r>
        <w:t xml:space="preserve">behaviour as an empirical finding and do not claim it inherits a consistency</w:t>
      </w:r>
      <w:r>
        <w:t xml:space="preserve"> </w:t>
      </w:r>
      <w:r>
        <w:t xml:space="preserve">guarantee. The oracle coverage evidence under good overlap, where the</w:t>
      </w:r>
      <w:r>
        <w:t xml:space="preserve"> </w:t>
      </w:r>
      <w:r>
        <w:t xml:space="preserve">re-matching bootstrap raises Match_TMLE coverage from</w:t>
      </w:r>
      <w:r>
        <w:t xml:space="preserve"> </w:t>
      </w:r>
      <w:r>
        <w:t xml:space="preserve">0.89 to 0.95, supports using it in</w:t>
      </w:r>
      <w:r>
        <w:t xml:space="preserve"> </w:t>
      </w:r>
      <w:r>
        <w:t xml:space="preserve">that setting, and</w:t>
      </w:r>
      <w:r>
        <w:t xml:space="preserve"> </w:t>
      </w:r>
      <w:r>
        <w:rPr>
          <w:rStyle w:val="VerbatimChar"/>
        </w:rPr>
        <w:t xml:space="preserve">bootstrap_rd_variance()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estimator = "match_tmle"</w:t>
      </w:r>
      <w:r>
        <w:t xml:space="preserve"> </w:t>
      </w:r>
      <w:r>
        <w:t xml:space="preserve">implements it. These coverage estimates rest on 100 replicates, so they carry</w:t>
      </w:r>
      <w:r>
        <w:t xml:space="preserve"> </w:t>
      </w:r>
      <w:r>
        <w:t xml:space="preserve">Monte Carlo standard errors near 0.02 to 0.03, and a higher-replication</w:t>
      </w:r>
      <w:r>
        <w:t xml:space="preserve"> </w:t>
      </w:r>
      <w:r>
        <w:t xml:space="preserve">confirmation is a useful follow-up. Under marginal overlap, where the caliper</w:t>
      </w:r>
      <w:r>
        <w:t xml:space="preserve"> </w:t>
      </w:r>
      <w:r>
        <w:t xml:space="preserve">restricts the matched cohort to a well-overlapped sub-population, the</w:t>
      </w:r>
      <w:r>
        <w:t xml:space="preserve"> </w:t>
      </w:r>
      <w:r>
        <w:t xml:space="preserve">matching-draw variance is less severe and the IF-SE is approximately</w:t>
      </w:r>
      <w:r>
        <w:t xml:space="preserve"> </w:t>
      </w:r>
      <w:r>
        <w:t xml:space="preserve">calibrated, so oracle selection would identify the two methods as equivalent</w:t>
      </w:r>
      <w:r>
        <w:t xml:space="preserve"> </w:t>
      </w:r>
      <w:r>
        <w:t xml:space="preserve">there. For IPTW, neither variance method removes the conservatism from treating</w:t>
      </w:r>
      <w:r>
        <w:t xml:space="preserve"> </w:t>
      </w:r>
      <w:r>
        <w:t xml:space="preserve">the propensity score as known; analysts who require exact IPTW variance</w:t>
      </w:r>
      <w:r>
        <w:t xml:space="preserve"> </w:t>
      </w:r>
      <w:r>
        <w:t xml:space="preserve">calibration should consider an M-estimator that jointly models PS estimation</w:t>
      </w:r>
      <w:r>
        <w:t xml:space="preserve"> </w:t>
      </w:r>
      <w:r>
        <w:t xml:space="preserve">and outcome weighting.</w:t>
      </w:r>
      <w:r>
        <w:t xml:space="preserve"> </w:t>
      </w:r>
      <w:r>
        <w:rPr>
          <w:rStyle w:val="VerbatimChar"/>
        </w:rPr>
        <w:t xml:space="preserve">select_variance_method()</w:t>
      </w:r>
      <w:r>
        <w:t xml:space="preserve"> </w:t>
      </w:r>
      <w:r>
        <w:t xml:space="preserve">addresses this by using</w:t>
      </w:r>
      <w:r>
        <w:t xml:space="preserve"> </w:t>
      </w:r>
      <w:r>
        <w:t xml:space="preserve">oracle coverage on plasmode-generated synthetic data to identify, for the</w:t>
      </w:r>
      <w:r>
        <w:t xml:space="preserve"> </w:t>
      </w:r>
      <w:r>
        <w:t xml:space="preserve">study’s specific DGP and sample size, which variance method achieves nominal</w:t>
      </w:r>
      <w:r>
        <w:t xml:space="preserve"> </w:t>
      </w:r>
      <w:r>
        <w:t xml:space="preserve">coverage.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mc-boxplots"/>
          <w:p>
            <w:pPr>
              <w:pStyle w:val="Compact"/>
              <w:jc w:val="center"/>
            </w:pPr>
            <w:r>
              <w:drawing>
                <wp:inline>
                  <wp:extent cx="5334000" cy="600075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manuscript_methods_files/figure-docx/fig-mc-boxplots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0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Sampling distribution of the risk-difference estimate across Monte Carlo replicates. The dashed red line marks the true RD. Under unmeasured confounding (C), all estimators are shifted from the truth.</w:t>
            </w:r>
          </w:p>
          <w:bookmarkEnd w:id="6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coverage-bar"/>
          <w:p>
            <w:pPr>
              <w:pStyle w:val="Compact"/>
              <w:jc w:val="center"/>
            </w:pPr>
            <w:r>
              <w:drawing>
                <wp:inline>
                  <wp:extent cx="5334000" cy="333375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manuscript_methods_files/figure-docx/fig-coverage-bar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95% CI coverage by estimator and scenario. The dashed red line marks the nominal 95%.</w:t>
            </w:r>
          </w:p>
          <w:bookmarkEnd w:id="7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e-calibration"/>
          <w:p>
            <w:pPr>
              <w:pStyle w:val="Compact"/>
              <w:jc w:val="center"/>
            </w:pPr>
            <w:r>
              <w:drawing>
                <wp:inline>
                  <wp:extent cx="5334000" cy="333375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manuscript_methods_files/figure-docx/fig-se-calibration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Ratio of mean reported SE to empirical SD. Values near 1.0 indicate well-calibrated standard errors.</w:t>
            </w:r>
          </w:p>
          <w:bookmarkEnd w:id="7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mc-forest"/>
          <w:p>
            <w:pPr>
              <w:pStyle w:val="Compact"/>
              <w:jc w:val="center"/>
            </w:pPr>
            <w:r>
              <w:drawing>
                <wp:inline>
                  <wp:extent cx="5334000" cy="40005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manuscript_methods_files/figure-docx/fig-mc-fores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Forest plot of Monte Carlo mean estimates by estimator and scenario, with Monte Carlo 95 percent intervals. The dashed grey line marks each scenario’s true RD; the dashed red lines mark the prespecified |bias| decision threshold around the truth (max_abs_bias = 0.02). Candidates falling outside the red lines trip the locked decision rule for that scenario.</w:t>
            </w:r>
          </w:p>
          <w:bookmarkEnd w:id="81"/>
        </w:tc>
      </w:tr>
    </w:tbl>
    <w:bookmarkEnd w:id="82"/>
    <w:bookmarkStart w:id="84" w:name="X9f3d771c12b7522987e43688a0799e90a159038"/>
    <w:p>
      <w:pPr>
        <w:pStyle w:val="Heading3"/>
      </w:pPr>
      <w:r>
        <w:t xml:space="preserve">9.2.5 Traditional workflow vs outcome-blind staged workflow</w:t>
      </w:r>
    </w:p>
    <w:p>
      <w:pPr>
        <w:pStyle w:val="FirstParagraph"/>
      </w:pPr>
      <w:r>
        <w:t xml:space="preserve">The same simulation data answer a different question if we read them as a workflow-vs-workflow contrast rather than an estimator-vs-estimator contrast. The decision-rule table below summarises what a traditional analyst would have reported under each scenario versus what the prespecified staged decision rule returns. The estimates and CIs are unchanged; only the decision-rule overlay is new.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tbl-workflow-contras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Decision-rule overlay on the three simulation scenarios. The estimator fits are held fixed; only the prespecified decision applied before outcome access differs.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Traditional pipeline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Outcome-blind workflow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they differ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A. Good overlap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 prespecified TMLE; report a non-null effect; SE / SD ratio near 1; coverage at nominal 95 %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GO</w:t>
                  </w:r>
                  <w:r>
                    <w:t xml:space="preserve">; same point estimate and CI as the traditional pipeline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 practical difference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B. Marginal overlap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 prespecified TMLE; report. IPTW IF-SE is conservative (SE/SD ≈ 1.23) because the PS is treated as known; matched-TMLE IF-SE is approximately calibrated (SE/SD ≈ 1.04) in this scenario. Many reviewers will not catch the IPTW over-coverage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GO with FLAG</w:t>
                  </w:r>
                  <w:r>
                    <w:t xml:space="preserve"> </w:t>
                  </w:r>
                  <w:r>
                    <w:t xml:space="preserve">on IPTW variance calibration; the workflow surfaces this before unblinding and reports the matched-TMLE bootstrap coverage alongside the influence-function coverage so the better-calibrated method is chosen empirically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workflow surfaces the variance calibration issue as part of the dossier; the traditional pipeline relies on the reviewer to catch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C. Unmeasured confounding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 prespecified TMLE; report a biased non-null estimate (mean bias 0.007, coverage 0.93). Without an external probe, this estimate would be published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STOP</w:t>
                  </w:r>
                  <w:r>
                    <w:t xml:space="preserve"> </w:t>
                  </w:r>
                  <w:r>
                    <w:t xml:space="preserve">under the prespecified unmeasured-U DQ scenario; the locked analysis does not run as planned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workflow blocks publication of the biased estimate; the traditional pipeline does not</w:t>
                  </w:r>
                </w:p>
              </w:tc>
            </w:tr>
          </w:tbl>
          <w:bookmarkEnd w:id="83"/>
          <w:p/>
        </w:tc>
      </w:tr>
    </w:tbl>
    <w:p>
      <w:pPr>
        <w:pStyle w:val="BodyText"/>
      </w:pPr>
      <w:r>
        <w:t xml:space="preserve">The contrast is clearest in Scenario C: both pipelines have identical fits because the same nuisance models are used, but the workflow’s prespecified rule refuses to authorise the Stage 4 analysis once the unmeasured-U row of the DQ stress test exceeds the locked bias threshold. The traditional pipeline has no equivalent block.</w:t>
      </w:r>
    </w:p>
    <w:p>
      <w:pPr>
        <w:pStyle w:val="BodyText"/>
      </w:pPr>
      <w:r>
        <w:t xml:space="preserve">The workflow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invent free bias reduction. In Scenario C the TMLE bias is the same under both pipelines (0.007); the workflow’s contribution is the decision rule, not a different estimator.</w:t>
      </w:r>
    </w:p>
    <w:p>
      <w:pPr>
        <w:pStyle w:val="BodyText"/>
      </w:pPr>
      <w:r>
        <w:t xml:space="preserve">A note on what the simulation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show: it does not compare a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fixed-library TMLE against a</w:t>
      </w:r>
      <w:r>
        <w:t xml:space="preserve"> </w:t>
      </w:r>
      <w:r>
        <w:rPr>
          <w:i/>
          <w:iCs/>
        </w:rPr>
        <w:t xml:space="preserve">plasmode-selected</w:t>
      </w:r>
      <w:r>
        <w:t xml:space="preserve"> </w:t>
      </w:r>
      <w:r>
        <w:t xml:space="preserve">TMLE under varied DGPs (the workflow-contrast-C question). That comparison is reported in a standalone analysis (see</w:t>
      </w:r>
      <w:r>
        <w:t xml:space="preserve"> </w:t>
      </w:r>
      <w:r>
        <w:rPr>
          <w:rStyle w:val="VerbatimChar"/>
        </w:rPr>
        <w:t xml:space="preserve">reports/workflow_contrast_c.qmd</w:t>
      </w:r>
      <w:r>
        <w:t xml:space="preserve"> </w:t>
      </w:r>
      <w:r>
        <w:t xml:space="preserve">in the project repository).</w:t>
      </w:r>
    </w:p>
    <w:bookmarkEnd w:id="84"/>
    <w:bookmarkEnd w:id="85"/>
    <w:bookmarkStart w:id="95" w:name="plasmode-dq-stress-test-results"/>
    <w:p>
      <w:pPr>
        <w:pStyle w:val="Heading2"/>
      </w:pPr>
      <w:r>
        <w:t xml:space="preserve">9.3 Plasmode DQ stress-test results</w:t>
      </w:r>
    </w:p>
    <w:bookmarkStart w:id="86" w:name="scenario-a-good-overlap"/>
    <w:p>
      <w:pPr>
        <w:pStyle w:val="Heading3"/>
      </w:pPr>
      <w:r>
        <w:t xml:space="preserve">9.3.1 Scenario A: Good Overlap</w:t>
      </w:r>
    </w:p>
    <w:p>
      <w:pPr>
        <w:pStyle w:val="FirstParagraph"/>
      </w:pPr>
      <w:r>
        <w:t xml:space="preserve">Selected candidate:</w:t>
      </w:r>
      <w:r>
        <w:t xml:space="preserve"> </w:t>
      </w:r>
      <w:r>
        <w:rPr>
          <w:rStyle w:val="VerbatimChar"/>
        </w:rPr>
        <w:t xml:space="preserve">aggressive</w:t>
      </w:r>
    </w:p>
    <w:p>
      <w:pPr>
        <w:pStyle w:val="TableCaption"/>
      </w:pPr>
      <w:r>
        <w:t xml:space="preserve">DQ degradation: Scenario A: Good Overlap (candidate: aggressive)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Q degradation: Scenario A: Good Overlap (candidate: aggressive)"/>
      </w:tblPr>
      <w:tblGrid>
        <w:gridCol w:w="214"/>
        <w:gridCol w:w="1141"/>
        <w:gridCol w:w="1284"/>
        <w:gridCol w:w="998"/>
        <w:gridCol w:w="998"/>
        <w:gridCol w:w="784"/>
        <w:gridCol w:w="927"/>
        <w:gridCol w:w="927"/>
        <w:gridCol w:w="6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OR_trt2.0_out2.0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OR_trt3.0_out3.0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OR_trt4.0_out4.0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OR_trt6.0_out6.0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OR_trt8.0_out8.0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slope_x2.0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slope_x3.0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slope_x4.0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-0.034</w:t>
            </w:r>
          </w:p>
        </w:tc>
      </w:tr>
    </w:tbl>
    <w:bookmarkEnd w:id="86"/>
    <w:bookmarkStart w:id="87" w:name="scenario-b-marginal-overlap"/>
    <w:p>
      <w:pPr>
        <w:pStyle w:val="Heading3"/>
      </w:pPr>
      <w:r>
        <w:t xml:space="preserve">9.3.2 Scenario B: Marginal Overlap</w:t>
      </w:r>
    </w:p>
    <w:p>
      <w:pPr>
        <w:pStyle w:val="FirstParagraph"/>
      </w:pPr>
      <w:r>
        <w:t xml:space="preserve">Selected candidate:</w:t>
      </w:r>
      <w:r>
        <w:t xml:space="preserve"> </w:t>
      </w:r>
      <w:r>
        <w:rPr>
          <w:rStyle w:val="VerbatimChar"/>
        </w:rPr>
        <w:t xml:space="preserve">robust</w:t>
      </w:r>
    </w:p>
    <w:p>
      <w:pPr>
        <w:pStyle w:val="TableCaption"/>
      </w:pPr>
      <w:r>
        <w:t xml:space="preserve">DQ degradation: Scenario B: Marginal Overlap (candidate: robust)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Q degradation: Scenario B: Marginal Overlap (candidate: robust)"/>
      </w:tblPr>
      <w:tblGrid>
        <w:gridCol w:w="214"/>
        <w:gridCol w:w="1141"/>
        <w:gridCol w:w="1284"/>
        <w:gridCol w:w="998"/>
        <w:gridCol w:w="998"/>
        <w:gridCol w:w="784"/>
        <w:gridCol w:w="927"/>
        <w:gridCol w:w="927"/>
        <w:gridCol w:w="6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OR_trt2.0_out2.0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OR_trt3.0_out3.0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OR_trt4.0_out4.0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OR_trt6.0_out6.0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OR_trt8.0_out8.0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slope_x2.0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slope_x3.0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slope_x4.0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</w:tbl>
    <w:bookmarkEnd w:id="87"/>
    <w:bookmarkStart w:id="88" w:name="scenario-c-unmeasured-confounding"/>
    <w:p>
      <w:pPr>
        <w:pStyle w:val="Heading3"/>
      </w:pPr>
      <w:r>
        <w:t xml:space="preserve">9.3.3 Scenario C: Unmeasured Confounding</w:t>
      </w:r>
    </w:p>
    <w:p>
      <w:pPr>
        <w:pStyle w:val="FirstParagraph"/>
      </w:pPr>
      <w:r>
        <w:t xml:space="preserve">Selected candidate:</w:t>
      </w:r>
      <w:r>
        <w:t xml:space="preserve"> </w:t>
      </w:r>
      <w:r>
        <w:rPr>
          <w:rStyle w:val="VerbatimChar"/>
        </w:rPr>
        <w:t xml:space="preserve">aggressive</w:t>
      </w:r>
    </w:p>
    <w:p>
      <w:pPr>
        <w:pStyle w:val="TableCaption"/>
      </w:pPr>
      <w:r>
        <w:t xml:space="preserve">DQ degradation: Scenario C: Unmeasured Confounding (candidate: aggressive)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Q degradation: Scenario C: Unmeasured Confounding (candidate: aggressive)"/>
      </w:tblPr>
      <w:tblGrid>
        <w:gridCol w:w="214"/>
        <w:gridCol w:w="1141"/>
        <w:gridCol w:w="1284"/>
        <w:gridCol w:w="998"/>
        <w:gridCol w:w="998"/>
        <w:gridCol w:w="784"/>
        <w:gridCol w:w="927"/>
        <w:gridCol w:w="927"/>
        <w:gridCol w:w="6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cov_degraded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cov_drop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cov_miss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sens0.95_spec0.99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out_misclass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sens0.90_spec0.95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OR_trt2.0_out2.0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OR_trt3.0_out3.0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OR_trt4.0_out4.0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OR_trt6.0_out6.0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OR_trt8.0_out8.0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slope_x2.0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slope_x3.0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slope_x4.0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</w:tbl>
    <w:bookmarkEnd w:id="88"/>
    <w:bookmarkStart w:id="93" w:name="reading-the-degradation-gradient"/>
    <w:p>
      <w:pPr>
        <w:pStyle w:val="Heading3"/>
      </w:pPr>
      <w:r>
        <w:t xml:space="preserve">9.3.4 Reading the degradation gradient</w:t>
      </w:r>
    </w:p>
    <w:p>
      <w:pPr>
        <w:pStyle w:val="FirstParagraph"/>
      </w:pPr>
      <w:r>
        <w:t xml:space="preserve">The four degradation mechanisms produce qualitatively different</w:t>
      </w:r>
      <w:r>
        <w:t xml:space="preserve"> </w:t>
      </w:r>
      <w:r>
        <w:t xml:space="preserve">profiles. Covariate missingness produces a flat gradient in both</w:t>
      </w:r>
      <w:r>
        <w:t xml:space="preserve"> </w:t>
      </w:r>
      <w:r>
        <w:t xml:space="preserve">the good-overlap and marginal-overlap scenarios. As implemented in</w:t>
      </w:r>
      <w:r>
        <w:t xml:space="preserve"> </w:t>
      </w:r>
      <w:r>
        <w:t xml:space="preserve">v0.1, this scenario applies MCAR missingness to a subset of the</w:t>
      </w:r>
      <w:r>
        <w:t xml:space="preserve"> </w:t>
      </w:r>
      <w:r>
        <w:t xml:space="preserve">locked covariates and reimputes with column medians, which is</w:t>
      </w:r>
      <w:r>
        <w:t xml:space="preserve"> </w:t>
      </w:r>
      <w:r>
        <w:t xml:space="preserve">approximately unbiased by construction under MCAR; the flat</w:t>
      </w:r>
      <w:r>
        <w:t xml:space="preserve"> </w:t>
      </w:r>
      <w:r>
        <w:t xml:space="preserve">gradient therefore confirms that median imputation does not</w:t>
      </w:r>
      <w:r>
        <w:t xml:space="preserve"> </w:t>
      </w:r>
      <w:r>
        <w:t xml:space="preserve">introduce additional bias under MCAR but is not a strong test of</w:t>
      </w:r>
      <w:r>
        <w:t xml:space="preserve"> </w:t>
      </w:r>
      <w:r>
        <w:t xml:space="preserve">the missingness handling. We discuss this limitation, and the</w:t>
      </w:r>
      <w:r>
        <w:t xml:space="preserve"> </w:t>
      </w:r>
      <w:r>
        <w:t xml:space="preserve">MAR / MNAR scenarios that would constitute a stronger test, in</w:t>
      </w:r>
      <w:r>
        <w:t xml:space="preserve"> </w:t>
      </w:r>
      <w:hyperlink w:anchor="sec-limitations">
        <w:r>
          <w:rPr>
            <w:rStyle w:val="Hyperlink"/>
          </w:rPr>
          <w:t xml:space="preserve">Section 13.4</w:t>
        </w:r>
      </w:hyperlink>
      <w:r>
        <w:t xml:space="preserve">. Treatment misclassification attenuates the</w:t>
      </w:r>
      <w:r>
        <w:t xml:space="preserve"> </w:t>
      </w:r>
      <w:r>
        <w:t xml:space="preserve">estimate toward the null: bias against the (pre-misclassification)</w:t>
      </w:r>
      <w:r>
        <w:t xml:space="preserve"> </w:t>
      </w:r>
      <w:r>
        <w:t xml:space="preserve">target estimand rises as (sens, spec) worsen. Coverage of the</w:t>
      </w:r>
      <w:r>
        <w:t xml:space="preserve"> </w:t>
      </w:r>
      <w:r>
        <w:t xml:space="preserve">pre-misclassification target therefore drops as severity increases;</w:t>
      </w:r>
      <w:r>
        <w:t xml:space="preserve"> </w:t>
      </w:r>
      <w:r>
        <w:t xml:space="preserve">the magnitude of the drop is reported per severity level in the</w:t>
      </w:r>
      <w:r>
        <w:t xml:space="preserve"> </w:t>
      </w:r>
      <w:r>
        <w:t xml:space="preserve">companion table. (Coverage of the</w:t>
      </w:r>
      <w:r>
        <w:t xml:space="preserve"> </w:t>
      </w:r>
      <w:r>
        <w:rPr>
          <w:i/>
          <w:iCs/>
        </w:rPr>
        <w:t xml:space="preserve">attenuated</w:t>
      </w:r>
      <w:r>
        <w:t xml:space="preserve"> </w:t>
      </w:r>
      <w:r>
        <w:t xml:space="preserve">target remains</w:t>
      </w:r>
      <w:r>
        <w:t xml:space="preserve"> </w:t>
      </w:r>
      <w:r>
        <w:t xml:space="preserve">closer to nominal, but the staged workflow evaluates each candidate</w:t>
      </w:r>
      <w:r>
        <w:t xml:space="preserve"> </w:t>
      </w:r>
      <w:r>
        <w:t xml:space="preserve">against the prespecified estimand.) Outcome misclassification</w:t>
      </w:r>
      <w:r>
        <w:t xml:space="preserve"> </w:t>
      </w:r>
      <w:r>
        <w:t xml:space="preserve">under (0.90, 0.95) produces the largest bias of the three</w:t>
      </w:r>
      <w:r>
        <w:t xml:space="preserve"> </w:t>
      </w:r>
      <w:r>
        <w:t xml:space="preserve">“measurement”</w:t>
      </w:r>
      <w:r>
        <w:t xml:space="preserve"> </w:t>
      </w:r>
      <w:r>
        <w:t xml:space="preserve">threats, particularly when applied differentially by</w:t>
      </w:r>
      <w:r>
        <w:t xml:space="preserve"> </w:t>
      </w:r>
      <w:r>
        <w:t xml:space="preserve">treatment arm. Unmeasured confounding produces the largest</w:t>
      </w:r>
      <w:r>
        <w:t xml:space="preserve"> </w:t>
      </w:r>
      <w:r>
        <w:t xml:space="preserve">degradation overall and is the only threat that pushes the</w:t>
      </w:r>
      <w:r>
        <w:t xml:space="preserve"> </w:t>
      </w:r>
      <w:r>
        <w:t xml:space="preserve">selected candidate’s RMSE ratio above 1.5 in our default settings.</w:t>
      </w:r>
      <w:r>
        <w:t xml:space="preserve"> </w:t>
      </w:r>
      <w:r>
        <w:t xml:space="preserve">Across scenarios, the DQ stress test was most informative when the</w:t>
      </w:r>
      <w:r>
        <w:t xml:space="preserve"> </w:t>
      </w:r>
      <w:r>
        <w:t xml:space="preserve">threat directly targeted identification or measurement validity</w:t>
      </w:r>
      <w:r>
        <w:t xml:space="preserve"> </w:t>
      </w:r>
      <w:r>
        <w:t xml:space="preserve">rather than ordinary estimator variance.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dq-degradation"/>
          <w:p>
            <w:pPr>
              <w:pStyle w:val="Compact"/>
              <w:jc w:val="center"/>
            </w:pPr>
            <w:r>
              <w:drawing>
                <wp:inline>
                  <wp:extent cx="5334000" cy="66675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manuscript_methods_files/figure-docx/fig-dq-degradation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6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Degradation gradient. Bias (top) and coverage (bottom) for the selected TMLE candidate at each severity level of each DQ scenario, faceted by Monte Carlo scenario.</w:t>
            </w:r>
          </w:p>
          <w:bookmarkEnd w:id="92"/>
        </w:tc>
      </w:tr>
    </w:tbl>
    <w:bookmarkEnd w:id="93"/>
    <w:bookmarkStart w:id="94" w:name="X5279e1ced4d2fe9dcc6c52ed678abd8f92e4cc2"/>
    <w:p>
      <w:pPr>
        <w:pStyle w:val="Heading3"/>
      </w:pPr>
      <w:r>
        <w:t xml:space="preserve">9.3.5 FIORD two-stage selector on the cached plasmode</w:t>
      </w:r>
    </w:p>
    <w:p>
      <w:pPr>
        <w:pStyle w:val="FirstParagraph"/>
      </w:pPr>
      <w:r>
        <w:t xml:space="preserve">Applied to the cached</w:t>
      </w:r>
      <w:r>
        <w:t xml:space="preserve"> </w:t>
      </w:r>
      <w:r>
        <w:rPr>
          <w:rStyle w:val="VerbatimChar"/>
        </w:rPr>
        <w:t xml:space="preserve">plasmode_*.csv</w:t>
      </w:r>
      <w:r>
        <w:t xml:space="preserve"> </w:t>
      </w:r>
      <w:r>
        <w:t xml:space="preserve">candidate-evaluation tables, the FIORD two-stage selector first screens candidates whose oracle coverage is within</w:t>
      </w:r>
      <w:r>
        <w:t xml:space="preserve"> </w:t>
      </w:r>
      <w:r>
        <w:rPr>
          <w:rStyle w:val="VerbatimChar"/>
        </w:rPr>
        <w:t xml:space="preserve">fiord_coverage_tol = 0.02</w:t>
      </w:r>
      <w:r>
        <w:t xml:space="preserve"> </w:t>
      </w:r>
      <w:r>
        <w:t xml:space="preserve">of the nominal 0.95, then picks the candidate with the smallest mean SE among the survivors. The single-step</w:t>
      </w:r>
      <w:r>
        <w:t xml:space="preserve"> </w:t>
      </w:r>
      <w:r>
        <w:rPr>
          <w:rStyle w:val="VerbatimChar"/>
        </w:rPr>
        <w:t xml:space="preserve">rule = "min_rmse"</w:t>
      </w:r>
      <w:r>
        <w:t xml:space="preserve"> </w:t>
      </w:r>
      <w:r>
        <w:t xml:space="preserve">rule that the manuscript currently uses does not separate the two stages and can choose a candidate whose coverage is on the edge of acceptable but whose RMSE is technically smallest.</w:t>
      </w:r>
    </w:p>
    <w:p>
      <w:pPr>
        <w:pStyle w:val="TableCaption"/>
      </w:pPr>
      <w:r>
        <w:t xml:space="preserve">Single-step minimax (current cleanTMLE default) vs FIORD two-stage selector on the cached plasmode candidate metrics, by scenario. When the two columns disagree, the FIORD selector is choosing a candidate that achieves nominal oracle coverage at a slightly higher RMSE.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ingle-step minimax (current cleanTMLE default) vs FIORD two-stage selector on the cached plasmode candidate metrics, by scenario. When the two columns disagree, the FIORD selector is choosing a candidate that achieves nominal oracle coverage at a slightly higher RMSE."/>
      </w:tblPr>
      <w:tblGrid>
        <w:gridCol w:w="1795"/>
        <w:gridCol w:w="2217"/>
        <w:gridCol w:w="3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single_step_min_rmse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fiord_two_stage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good_overlap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(no candidate within tol)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marginal_overlap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(no candidate within tol)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unmeasured_conf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(no candidate within tol)</w:t>
            </w:r>
          </w:p>
        </w:tc>
      </w:tr>
    </w:tbl>
    <w:p>
      <w:pPr>
        <w:pStyle w:val="BodyText"/>
      </w:pPr>
      <w:r>
        <w:t xml:space="preserve">With the two-candidate GLM-only grid used in</w:t>
      </w:r>
      <w:r>
        <w:t xml:space="preserve"> </w:t>
      </w:r>
      <w:hyperlink w:anchor="sec-simulation">
        <w:r>
          <w:rPr>
            <w:rStyle w:val="Hyperlink"/>
          </w:rPr>
          <w:t xml:space="preserve">Section 9</w:t>
        </w:r>
      </w:hyperlink>
      <w:r>
        <w:t xml:space="preserve">, the</w:t>
      </w:r>
      <w:r>
        <w:t xml:space="preserve"> </w:t>
      </w:r>
      <w:r>
        <w:rPr>
          <w:rStyle w:val="VerbatimChar"/>
        </w:rPr>
        <w:t xml:space="preserve">glm_t01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glm_t05</w:t>
      </w:r>
      <w:r>
        <w:t xml:space="preserve"> </w:t>
      </w:r>
      <w:r>
        <w:t xml:space="preserve">candidates differ by less than 0.001 in</w:t>
      </w:r>
      <w:r>
        <w:t xml:space="preserve"> </w:t>
      </w:r>
      <w:r>
        <w:t xml:space="preserve">RMSE across scenarios, so both selectors choose the same candidate</w:t>
      </w:r>
      <w:r>
        <w:t xml:space="preserve"> </w:t>
      </w:r>
      <w:r>
        <w:t xml:space="preserve">in every cell. This grid is too narrow to exercise the contrast</w:t>
      </w:r>
      <w:r>
        <w:t xml:space="preserve"> </w:t>
      </w:r>
      <w:r>
        <w:t xml:space="preserve">between the two rules. The FIORD coverage screen remains informative</w:t>
      </w:r>
      <w:r>
        <w:t xml:space="preserve"> </w:t>
      </w:r>
      <w:r>
        <w:t xml:space="preserve">as a diagnostic. Under marginal overlap (Scenario B) neither</w:t>
      </w:r>
      <w:r>
        <w:t xml:space="preserve"> </w:t>
      </w:r>
      <w:r>
        <w:t xml:space="preserve">candidate achieves oracle coverage within the 0.02 tolerance of</w:t>
      </w:r>
      <w:r>
        <w:t xml:space="preserve"> </w:t>
      </w:r>
      <w:r>
        <w:t xml:space="preserve">nominal, which the table flags as</w:t>
      </w:r>
      <w:r>
        <w:t xml:space="preserve"> </w:t>
      </w:r>
      <w:r>
        <w:t xml:space="preserve">“no candidate within tol”</w:t>
      </w:r>
      <w:r>
        <w:t xml:space="preserve">, a</w:t>
      </w:r>
      <w:r>
        <w:t xml:space="preserve"> </w:t>
      </w:r>
      <w:r>
        <w:t xml:space="preserve">property of the near-positivity DGP at this replicate count. The</w:t>
      </w:r>
      <w:r>
        <w:t xml:space="preserve"> </w:t>
      </w:r>
      <w:r>
        <w:t xml:space="preserve">contrast between</w:t>
      </w:r>
      <w:r>
        <w:t xml:space="preserve"> </w:t>
      </w:r>
      <w:r>
        <w:rPr>
          <w:rStyle w:val="VerbatimChar"/>
        </w:rPr>
        <w:t xml:space="preserve">min_rmse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min_max_rmse</w:t>
      </w:r>
      <w:r>
        <w:t xml:space="preserve"> </w:t>
      </w:r>
      <w:r>
        <w:t xml:space="preserve">becomes substantive</w:t>
      </w:r>
      <w:r>
        <w:t xml:space="preserve"> </w:t>
      </w:r>
      <w:r>
        <w:t xml:space="preserve">when the candidate grid separates the candidates, which the</w:t>
      </w:r>
      <w:r>
        <w:t xml:space="preserve"> </w:t>
      </w:r>
      <w:r>
        <w:t xml:space="preserve">constructed demonstration in</w:t>
      </w:r>
      <w:r>
        <w:t xml:space="preserve"> </w:t>
      </w:r>
      <w:hyperlink w:anchor="sec-divergence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exhibits.</w:t>
      </w:r>
    </w:p>
    <w:bookmarkEnd w:id="94"/>
    <w:bookmarkEnd w:id="95"/>
    <w:bookmarkEnd w:id="96"/>
    <w:bookmarkStart w:id="102" w:name="sec-divergence"/>
    <w:p>
      <w:pPr>
        <w:pStyle w:val="Heading1"/>
      </w:pPr>
      <w:r>
        <w:t xml:space="preserve">10. Worst-case selection changes the locked estimator</w:t>
      </w:r>
    </w:p>
    <w:p>
      <w:pPr>
        <w:pStyle w:val="FirstParagraph"/>
      </w:pPr>
      <w:r>
        <w:t xml:space="preserve">The Monte Carlo study in</w:t>
      </w:r>
      <w:r>
        <w:t xml:space="preserve"> </w:t>
      </w:r>
      <w:hyperlink w:anchor="sec-simulation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validates estimator behaviour. This</w:t>
      </w:r>
      <w:r>
        <w:t xml:space="preserve"> </w:t>
      </w:r>
      <w:r>
        <w:t xml:space="preserve">section presents the central result. The grid of three truncation candidates</w:t>
      </w:r>
      <w:r>
        <w:t xml:space="preserve"> </w:t>
      </w:r>
      <w:r>
        <w:t xml:space="preserve">does separate on baseline RMSE, and the</w:t>
      </w:r>
      <w:r>
        <w:t xml:space="preserve"> </w:t>
      </w:r>
      <w:r>
        <w:rPr>
          <w:rStyle w:val="VerbatimChar"/>
        </w:rPr>
        <w:t xml:space="preserve">min_max_rmse</w:t>
      </w:r>
      <w:r>
        <w:t xml:space="preserve"> </w:t>
      </w:r>
      <w:r>
        <w:t xml:space="preserve">rule selects a different</w:t>
      </w:r>
      <w:r>
        <w:t xml:space="preserve"> </w:t>
      </w:r>
      <w:r>
        <w:t xml:space="preserve">candidate from</w:t>
      </w:r>
      <w:r>
        <w:t xml:space="preserve"> </w:t>
      </w:r>
      <w:r>
        <w:rPr>
          <w:rStyle w:val="VerbatimChar"/>
        </w:rPr>
        <w:t xml:space="preserve">min_rmse</w:t>
      </w:r>
      <w:r>
        <w:t xml:space="preserve">. The constructed demonstration below confirms this and</w:t>
      </w:r>
      <w:r>
        <w:t xml:space="preserve"> </w:t>
      </w:r>
      <w:r>
        <w:t xml:space="preserve">exhibits the mechanism. The demonstration’s purpose is existence: it</w:t>
      </w:r>
      <w:r>
        <w:t xml:space="preserve"> </w:t>
      </w:r>
      <w:r>
        <w:t xml:space="preserve">shows that realistic threat configurations exist under which the two rules</w:t>
      </w:r>
      <w:r>
        <w:t xml:space="preserve"> </w:t>
      </w:r>
      <w:r>
        <w:t xml:space="preserve">diverge. The severities were chosen to exhibit the mechanism, so the</w:t>
      </w:r>
      <w:r>
        <w:t xml:space="preserve"> </w:t>
      </w:r>
      <w:r>
        <w:t xml:space="preserve">demonstration establishes that divergence is possible rather than that it is</w:t>
      </w:r>
      <w:r>
        <w:t xml:space="preserve"> </w:t>
      </w:r>
      <w:r>
        <w:t xml:space="preserve">generic. The whole sweep runs through the package functions</w:t>
      </w:r>
      <w:r>
        <w:t xml:space="preserve"> </w:t>
      </w:r>
      <w:r>
        <w:rPr>
          <w:rStyle w:val="VerbatimChar"/>
        </w:rPr>
        <w:t xml:space="preserve">run_plasmode_feasibility()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near_positivity</w:t>
      </w:r>
      <w:r>
        <w:t xml:space="preserve"> </w:t>
      </w:r>
      <w:r>
        <w:t xml:space="preserve">as a first-class threat), and</w:t>
      </w:r>
      <w:r>
        <w:t xml:space="preserve"> </w:t>
      </w:r>
      <w:r>
        <w:rPr>
          <w:rStyle w:val="VerbatimChar"/>
        </w:rPr>
        <w:t xml:space="preserve">select_tmle_candidate()</w:t>
      </w:r>
      <w:r>
        <w:t xml:space="preserve">, on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run_simulation.R</w:t>
      </w:r>
      <w:r>
        <w:t xml:space="preserve"> </w:t>
      </w:r>
      <w:r>
        <w:t xml:space="preserve">data-generating process. The driver and its results</w:t>
      </w:r>
      <w:r>
        <w:t xml:space="preserve"> </w:t>
      </w:r>
      <w:r>
        <w:t xml:space="preserve">are in the companion repository (</w:t>
      </w:r>
      <w:r>
        <w:rPr>
          <w:rStyle w:val="VerbatimChar"/>
        </w:rPr>
        <w:t xml:space="preserve">sandbox/candidate_divergence/</w:t>
      </w:r>
      <w:r>
        <w:t xml:space="preserve">).</w:t>
      </w:r>
    </w:p>
    <w:p>
      <w:pPr>
        <w:pStyle w:val="BodyText"/>
      </w:pPr>
      <w:r>
        <w:t xml:space="preserve">The candidates differ in one design choice, the propensity-score truncation</w:t>
      </w:r>
      <w:r>
        <w:t xml:space="preserve"> </w:t>
      </w:r>
      <w:r>
        <w:t xml:space="preserve">threshold, with a main-effects GLM propensity model throughout. The grid is</w:t>
      </w:r>
      <w:r>
        <w:t xml:space="preserve"> </w:t>
      </w:r>
      <w:r>
        <w:t xml:space="preserve">aggressive (truncation 0.001), middle (0.025), and robust (0.20). Three</w:t>
      </w:r>
      <w:r>
        <w:t xml:space="preserve"> </w:t>
      </w:r>
      <w:r>
        <w:t xml:space="preserve">prespecified threats are swept at increasing severity. The first is a</w:t>
      </w:r>
      <w:r>
        <w:t xml:space="preserve"> </w:t>
      </w:r>
      <w:r>
        <w:t xml:space="preserve">practical positivity violation, implemented by amplifying the</w:t>
      </w:r>
      <w:r>
        <w:t xml:space="preserve"> </w:t>
      </w:r>
      <w:r>
        <w:t xml:space="preserve">covariate-to-treatment association so a subgroup approaches deterministic</w:t>
      </w:r>
      <w:r>
        <w:t xml:space="preserve"> </w:t>
      </w:r>
      <w:r>
        <w:t xml:space="preserve">treatment and the estimated propensity score reaches the boundary. The second</w:t>
      </w:r>
      <w:r>
        <w:t xml:space="preserve"> </w:t>
      </w:r>
      <w:r>
        <w:t xml:space="preserve">is unmeasured confounding with a latent binary factor shifting treatment and</w:t>
      </w:r>
      <w:r>
        <w:t xml:space="preserve"> </w:t>
      </w:r>
      <w:r>
        <w:t xml:space="preserve">outcome on the odds scale across odds ratios from 3 to 8. The third is</w:t>
      </w:r>
      <w:r>
        <w:t xml:space="preserve"> </w:t>
      </w:r>
      <w:r>
        <w:t xml:space="preserve">covariate missingness completely at random with median imputation. Decision</w:t>
      </w:r>
      <w:r>
        <w:t xml:space="preserve"> </w:t>
      </w:r>
      <w:r>
        <w:t xml:space="preserve">thresholds were locked before the sweep, allowing at most a doubling of root</w:t>
      </w:r>
      <w:r>
        <w:t xml:space="preserve"> </w:t>
      </w:r>
      <w:r>
        <w:t xml:space="preserve">mean squared error relative to a candidate’s own baseline. The study uses 200</w:t>
      </w:r>
      <w:r>
        <w:t xml:space="preserve"> </w:t>
      </w:r>
      <w:r>
        <w:t xml:space="preserve">synthetic replicates per cell and five independent batches, and reports Monte</w:t>
      </w:r>
      <w:r>
        <w:t xml:space="preserve"> </w:t>
      </w:r>
      <w:r>
        <w:t xml:space="preserve">Carlo standard errors from the between-batch spread.</w:t>
      </w:r>
    </w:p>
    <w:p>
      <w:pPr>
        <w:pStyle w:val="TableCaption"/>
      </w:pPr>
      <w:r>
        <w:t xml:space="preserve">Baseline and worst-case root mean squared error for the three truncation candidates, each with Monte Carlo standard error, and the candidate each rule selects.</w:t>
      </w:r>
      <w:r>
        <w:t xml:space="preserve"> </w:t>
      </w:r>
      <w:r>
        <w:rPr>
          <w:rStyle w:val="VerbatimChar"/>
        </w:rPr>
        <w:t xml:space="preserve">min_rmse</w:t>
      </w:r>
      <w:r>
        <w:t xml:space="preserve"> </w:t>
      </w:r>
      <w:r>
        <w:t xml:space="preserve">selects the robust candidate;</w:t>
      </w:r>
      <w:r>
        <w:t xml:space="preserve"> </w:t>
      </w:r>
      <w:r>
        <w:rPr>
          <w:rStyle w:val="VerbatimChar"/>
        </w:rPr>
        <w:t xml:space="preserve">min_max_rmse</w:t>
      </w:r>
      <w:r>
        <w:t xml:space="preserve"> </w:t>
      </w:r>
      <w:r>
        <w:t xml:space="preserve">selects the middle candidate.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aseline and worst-case root mean squared error for the three truncation candidates, each with Monte Carlo standard error, and the candidate each rule selects. min_rmse selects the robust candidate; min_max_rmse selects the middle candidate."/>
      </w:tblPr>
      <w:tblGrid>
        <w:gridCol w:w="675"/>
        <w:gridCol w:w="859"/>
        <w:gridCol w:w="1350"/>
        <w:gridCol w:w="1473"/>
        <w:gridCol w:w="1964"/>
        <w:gridCol w:w="798"/>
        <w:gridCol w:w="7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PS truncation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RMSE (MC 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Worst-case RMSE (MC 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min_max_rmse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0.0214 (0.0004)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0.1495 (0.0010)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near_positivity [slope_x4.0]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0.0211 (0.0004)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0.0922 (0.0005)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 [OR_trt8.0_out8.0]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&lt;–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0.0184 (0.0003)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0.0977 (0.0006)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unmeasured_U [OR_trt8.0_out8.0]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&lt;– selected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divergence"/>
          <w:p>
            <w:pPr>
              <w:pStyle w:val="Compact"/>
              <w:jc w:val="center"/>
            </w:pPr>
            <w:r>
              <w:drawing>
                <wp:inline>
                  <wp:extent cx="5334000" cy="242454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../sandbox/candidate_divergence/figures/degradation_gradient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24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Degradation gradient for the three truncation candidates. Panel A, the near-positivity threat: the aggressive candidate crosses the locked threshold (2x baseline, dashed) while the robust candidate stays below it. Panel B, the unmeasured-confounding threat: the robust candidate degrades the most. Each candidate is fragile to a different threat, and the middle candidate has the lowest worst case.</w:t>
            </w:r>
          </w:p>
          <w:bookmarkEnd w:id="100"/>
        </w:tc>
      </w:tr>
    </w:tbl>
    <w:p>
      <w:pPr>
        <w:pStyle w:val="BodyText"/>
      </w:pPr>
      <w:r>
        <w:t xml:space="preserve">At baseline the heaviest truncation has the lowest root mean squared error</w:t>
      </w:r>
      <w:r>
        <w:t xml:space="preserve"> </w:t>
      </w:r>
      <w:r>
        <w:t xml:space="preserve">(0.0184 for robust against</w:t>
      </w:r>
      <w:r>
        <w:t xml:space="preserve"> </w:t>
      </w:r>
      <w:r>
        <w:t xml:space="preserve">0.0211 for middle and</w:t>
      </w:r>
      <w:r>
        <w:t xml:space="preserve"> </w:t>
      </w:r>
      <w:r>
        <w:t xml:space="preserve">0.0214 for aggressive), because under double</w:t>
      </w:r>
      <w:r>
        <w:t xml:space="preserve"> </w:t>
      </w:r>
      <w:r>
        <w:t xml:space="preserve">robustness clipping the smallest propensity scores removes weight variance at</w:t>
      </w:r>
      <w:r>
        <w:t xml:space="preserve"> </w:t>
      </w:r>
      <w:r>
        <w:t xml:space="preserve">almost no cost in bias. The</w:t>
      </w:r>
      <w:r>
        <w:t xml:space="preserve"> </w:t>
      </w:r>
      <w:r>
        <w:rPr>
          <w:rStyle w:val="VerbatimChar"/>
        </w:rPr>
        <w:t xml:space="preserve">min_rmse</w:t>
      </w:r>
      <w:r>
        <w:t xml:space="preserve"> </w:t>
      </w:r>
      <w:r>
        <w:t xml:space="preserve">rule therefore selects the robust</w:t>
      </w:r>
      <w:r>
        <w:t xml:space="preserve"> </w:t>
      </w:r>
      <w:r>
        <w:t xml:space="preserve">candidate. The threat sweep reorders the candidates. Under the positivity</w:t>
      </w:r>
      <w:r>
        <w:t xml:space="preserve"> </w:t>
      </w:r>
      <w:r>
        <w:t xml:space="preserve">violation the aggressive candidate’s inverse-probability weights reach a mean</w:t>
      </w:r>
      <w:r>
        <w:t xml:space="preserve"> </w:t>
      </w:r>
      <w:r>
        <w:t xml:space="preserve">maximum near 1,000 and its error rises past seven times baseline (</w:t>
      </w:r>
      <w:hyperlink w:anchor="fig-divergence">
        <w:r>
          <w:rPr>
            <w:rStyle w:val="Hyperlink"/>
          </w:rPr>
          <w:t xml:space="preserve">Figure 6</w:t>
        </w:r>
      </w:hyperlink>
      <w:r>
        <w:t xml:space="preserve">,</w:t>
      </w:r>
      <w:r>
        <w:t xml:space="preserve"> </w:t>
      </w:r>
      <w:r>
        <w:t xml:space="preserve">Panel A), well beyond the locked threshold, while truncation caps the weights</w:t>
      </w:r>
      <w:r>
        <w:t xml:space="preserve"> </w:t>
      </w:r>
      <w:r>
        <w:t xml:space="preserve">for the other two candidates. The binding threat for the middle and robust</w:t>
      </w:r>
      <w:r>
        <w:t xml:space="preserve"> </w:t>
      </w:r>
      <w:r>
        <w:t xml:space="preserve">candidates is the strongest unmeasured confounding, where the heaviest</w:t>
      </w:r>
      <w:r>
        <w:t xml:space="preserve"> </w:t>
      </w:r>
      <w:r>
        <w:t xml:space="preserve">truncation is the most exposed, since the observations it discards carry the</w:t>
      </w:r>
      <w:r>
        <w:t xml:space="preserve"> </w:t>
      </w:r>
      <w:r>
        <w:t xml:space="preserve">information needed to offset the latent factor (Panel B). Taking each</w:t>
      </w:r>
      <w:r>
        <w:t xml:space="preserve"> </w:t>
      </w:r>
      <w:r>
        <w:t xml:space="preserve">candidate’s worst case across all threats gives</w:t>
      </w:r>
      <w:r>
        <w:t xml:space="preserve"> </w:t>
      </w:r>
      <w:r>
        <w:t xml:space="preserve">0.1495 for aggressive,</w:t>
      </w:r>
      <w:r>
        <w:t xml:space="preserve"> </w:t>
      </w:r>
      <w:r>
        <w:t xml:space="preserve">0.0977 for robust, and</w:t>
      </w:r>
      <w:r>
        <w:t xml:space="preserve"> </w:t>
      </w:r>
      <w:r>
        <w:t xml:space="preserve">0.0922 for middle. The</w:t>
      </w:r>
      <w:r>
        <w:t xml:space="preserve"> </w:t>
      </w:r>
      <w:r>
        <w:rPr>
          <w:rStyle w:val="VerbatimChar"/>
        </w:rPr>
        <w:t xml:space="preserve">min_max_rmse</w:t>
      </w:r>
      <w:r>
        <w:t xml:space="preserve"> </w:t>
      </w:r>
      <w:r>
        <w:t xml:space="preserve">rule</w:t>
      </w:r>
      <w:r>
        <w:t xml:space="preserve"> </w:t>
      </w:r>
      <w:r>
        <w:t xml:space="preserve">therefore selects the middle candidate. The two rules disagree, the</w:t>
      </w:r>
      <w:r>
        <w:t xml:space="preserve"> </w:t>
      </w:r>
      <w:r>
        <w:t xml:space="preserve">disagreement holds in all five batches, and the worst-case separation between</w:t>
      </w:r>
      <w:r>
        <w:t xml:space="preserve"> </w:t>
      </w:r>
      <w:r>
        <w:t xml:space="preserve">the two selected candidates is</w:t>
      </w:r>
      <w:r>
        <w:t xml:space="preserve"> </w:t>
      </w:r>
      <w:r>
        <w:t xml:space="preserve">0.0055 against a combined Monte Carlo standard</w:t>
      </w:r>
      <w:r>
        <w:t xml:space="preserve"> </w:t>
      </w:r>
      <w:r>
        <w:t xml:space="preserve">error of 0.0008, so the change in decision is a</w:t>
      </w:r>
      <w:r>
        <w:t xml:space="preserve"> </w:t>
      </w:r>
      <w:r>
        <w:t xml:space="preserve">property of the design and not simulation noise.</w:t>
      </w:r>
    </w:p>
    <w:p>
      <w:pPr>
        <w:pStyle w:val="BodyText"/>
      </w:pPr>
      <w:r>
        <w:t xml:space="preserve">Propensity-score truncation trades variance against robustness, and the two</w:t>
      </w:r>
      <w:r>
        <w:t xml:space="preserve"> </w:t>
      </w:r>
      <w:r>
        <w:t xml:space="preserve">rules reward opposite ends of that trade. A rule that ranks candidates on</w:t>
      </w:r>
      <w:r>
        <w:t xml:space="preserve"> </w:t>
      </w:r>
      <w:r>
        <w:t xml:space="preserve">performance in an undisturbed reference sample rewards the heaviest truncation.</w:t>
      </w:r>
      <w:r>
        <w:t xml:space="preserve"> </w:t>
      </w:r>
      <w:r>
        <w:t xml:space="preserve">The same heavy truncation is the least able to recover from strong unmeasured</w:t>
      </w:r>
      <w:r>
        <w:t xml:space="preserve"> </w:t>
      </w:r>
      <w:r>
        <w:t xml:space="preserve">confounding, and the lightest truncation is destroyed by the positivity</w:t>
      </w:r>
      <w:r>
        <w:t xml:space="preserve"> </w:t>
      </w:r>
      <w:r>
        <w:t xml:space="preserve">violation. The intermediate truncation has neither failure at full severity, so</w:t>
      </w:r>
      <w:r>
        <w:t xml:space="preserve"> </w:t>
      </w:r>
      <w:r>
        <w:t xml:space="preserve">the worst-case rule selects it. This is a constructed illustration rather than a</w:t>
      </w:r>
      <w:r>
        <w:t xml:space="preserve"> </w:t>
      </w:r>
      <w:r>
        <w:t xml:space="preserve">property of every grid, and it does not weaken the prespecification logic of the</w:t>
      </w:r>
      <w:r>
        <w:t xml:space="preserve"> </w:t>
      </w:r>
      <w:r>
        <w:t xml:space="preserve">workflow. The threat list and its severities are declared in the locked</w:t>
      </w:r>
      <w:r>
        <w:t xml:space="preserve"> </w:t>
      </w:r>
      <w:r>
        <w:t xml:space="preserve">analysis plan, and the demonstration shows why declaring them, and selecting</w:t>
      </w:r>
      <w:r>
        <w:t xml:space="preserve"> </w:t>
      </w:r>
      <w:r>
        <w:t xml:space="preserve">against the worst case, can change which estimator is locked.</w:t>
      </w:r>
    </w:p>
    <w:bookmarkStart w:id="101" w:name="sec-evalue"/>
    <w:p>
      <w:pPr>
        <w:pStyle w:val="Heading2"/>
      </w:pPr>
      <w:r>
        <w:t xml:space="preserve">10.1 Comparison with E-value-based sensitivity</w:t>
      </w:r>
    </w:p>
    <w:p>
      <w:pPr>
        <w:pStyle w:val="FirstParagraph"/>
      </w:pPr>
      <w:r>
        <w:t xml:space="preserve">The E-value</w:t>
      </w:r>
      <w:r>
        <w:t xml:space="preserve"> </w:t>
      </w:r>
      <w:r>
        <w:t xml:space="preserve">(VanderWeele and Ding 2017)</w:t>
      </w:r>
      <w:r>
        <w:t xml:space="preserve"> </w:t>
      </w:r>
      <w:r>
        <w:t xml:space="preserve">reports the minimum strength</w:t>
      </w:r>
      <w:r>
        <w:t xml:space="preserve"> </w:t>
      </w:r>
      <w:r>
        <w:t xml:space="preserve">of unmeasured confounding required to reduce the observed estimate</w:t>
      </w:r>
      <w:r>
        <w:t xml:space="preserve"> </w:t>
      </w:r>
      <w:r>
        <w:t xml:space="preserve">to the null. It is post-hoc: it is computed from the realised</w:t>
      </w:r>
      <w:r>
        <w:t xml:space="preserve"> </w:t>
      </w:r>
      <w:r>
        <w:t xml:space="preserve">estimate after the outcome is unblinded. The plasmode DQ stress</w:t>
      </w:r>
      <w:r>
        <w:t xml:space="preserve"> </w:t>
      </w:r>
      <w:r>
        <w:t xml:space="preserve">test runs in the opposite direction: given a hypothesised confounder</w:t>
      </w:r>
      <w:r>
        <w:t xml:space="preserve"> </w:t>
      </w:r>
      <w:r>
        <w:t xml:space="preserve">strength, it computes the bias of each candidate. The two are</w:t>
      </w:r>
      <w:r>
        <w:t xml:space="preserve"> </w:t>
      </w:r>
      <w:r>
        <w:t xml:space="preserve">complementary, and we recommend reporting both.</w:t>
      </w:r>
    </w:p>
    <w:p>
      <w:pPr>
        <w:pStyle w:val="TableCaption"/>
      </w:pPr>
      <w:r>
        <w:t xml:space="preserve">Unmeasured confounding under two methods: a single E-value threshold and a candidate-specific bias curve.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measured confounding under two methods: a single E-value threshold and a candidate-specific bias curv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RD (no U)</w:t>
            </w:r>
          </w:p>
        </w:tc>
        <w:tc>
          <w:tcPr/>
          <w:p>
            <w:pPr>
              <w:pStyle w:val="Compact"/>
            </w:pPr>
            <w:r>
              <w:t xml:space="preserve">-0.02979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RD (U present, OR = 2.0)</w:t>
            </w:r>
          </w:p>
        </w:tc>
        <w:tc>
          <w:tcPr/>
          <w:p>
            <w:pPr>
              <w:pStyle w:val="Compact"/>
            </w:pPr>
            <w:r>
              <w:t xml:space="preserve">-0.03347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TMLE estimate, Scenario A (no U)</w:t>
            </w:r>
          </w:p>
        </w:tc>
        <w:tc>
          <w:tcPr/>
          <w:p>
            <w:pPr>
              <w:pStyle w:val="Compact"/>
            </w:pPr>
            <w:r>
              <w:t xml:space="preserve">-0.03041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TMLE estimate, Scenario C (U present, not adjusted)</w:t>
            </w:r>
          </w:p>
        </w:tc>
        <w:tc>
          <w:tcPr/>
          <w:p>
            <w:pPr>
              <w:pStyle w:val="Compact"/>
            </w:pPr>
            <w:r>
              <w:t xml:space="preserve">-0.02650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 bias from unmeasured U (Scenario C)</w:t>
            </w:r>
          </w:p>
        </w:tc>
        <w:tc>
          <w:tcPr/>
          <w:p>
            <w:pPr>
              <w:pStyle w:val="Compact"/>
            </w:pPr>
            <w:r>
              <w:t xml:space="preserve">0.00697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E-value (from Scenario A estimate)</w:t>
            </w:r>
          </w:p>
        </w:tc>
        <w:tc>
          <w:tcPr/>
          <w:p>
            <w:pPr>
              <w:pStyle w:val="Compact"/>
            </w:pPr>
            <w:r>
              <w:t xml:space="preserve">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OR_trt2.0_out2.0</w:t>
            </w:r>
          </w:p>
        </w:tc>
        <w:tc>
          <w:tcPr/>
          <w:p>
            <w:pPr>
              <w:pStyle w:val="Compact"/>
            </w:pPr>
            <w:r>
              <w:t xml:space="preserve">0.01646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OR_trt3.0_out3.0</w:t>
            </w:r>
          </w:p>
        </w:tc>
        <w:tc>
          <w:tcPr/>
          <w:p>
            <w:pPr>
              <w:pStyle w:val="Compact"/>
            </w:pPr>
            <w:r>
              <w:t xml:space="preserve">0.02697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OR_trt4.0_out4.0</w:t>
            </w:r>
          </w:p>
        </w:tc>
        <w:tc>
          <w:tcPr/>
          <w:p>
            <w:pPr>
              <w:pStyle w:val="Compact"/>
            </w:pPr>
            <w:r>
              <w:t xml:space="preserve">0.04293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OR_trt6.0_out6.0</w:t>
            </w:r>
          </w:p>
        </w:tc>
        <w:tc>
          <w:tcPr/>
          <w:p>
            <w:pPr>
              <w:pStyle w:val="Compact"/>
            </w:pPr>
            <w:r>
              <w:t xml:space="preserve">0.07645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stress bias at OR_trt8.0_out8.0</w:t>
            </w:r>
          </w:p>
        </w:tc>
        <w:tc>
          <w:tcPr/>
          <w:p>
            <w:pPr>
              <w:pStyle w:val="Compact"/>
            </w:pPr>
            <w:r>
              <w:t xml:space="preserve">0.09560</w:t>
            </w:r>
          </w:p>
        </w:tc>
      </w:tr>
    </w:tbl>
    <w:bookmarkEnd w:id="101"/>
    <w:bookmarkEnd w:id="102"/>
    <w:bookmarkStart w:id="104" w:name="sec-gate-oc"/>
    <w:p>
      <w:pPr>
        <w:pStyle w:val="Heading1"/>
      </w:pPr>
      <w:r>
        <w:t xml:space="preserve">11. Operating characteristics of the pre-outcome gate</w:t>
      </w:r>
    </w:p>
    <w:p>
      <w:pPr>
        <w:pStyle w:val="FirstParagraph"/>
      </w:pPr>
      <w:r>
        <w:t xml:space="preserve">The simulation in</w:t>
      </w:r>
      <w:r>
        <w:t xml:space="preserve"> </w:t>
      </w:r>
      <w:hyperlink w:anchor="sec-simulation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shows the workflow returning the</w:t>
      </w:r>
      <w:r>
        <w:t xml:space="preserve"> </w:t>
      </w:r>
      <w:r>
        <w:t xml:space="preserve">prespecified staged verdict in three scenarios, but it does not</w:t>
      </w:r>
      <w:r>
        <w:t xml:space="preserve"> </w:t>
      </w:r>
      <w:r>
        <w:t xml:space="preserve">measure the screen</w:t>
      </w:r>
      <w:r>
        <w:t xml:space="preserve"> </w:t>
      </w:r>
      <w:r>
        <w:rPr>
          <w:i/>
          <w:iCs/>
        </w:rPr>
        <w:t xml:space="preserve">as a decision rule</w:t>
      </w:r>
      <w:r>
        <w:t xml:space="preserve">. A reviewer is entitled to ask</w:t>
      </w:r>
      <w:r>
        <w:t xml:space="preserve"> </w:t>
      </w:r>
      <w:r>
        <w:t xml:space="preserve">how often the gate’s verdict agrees with the verdict an oracle would</w:t>
      </w:r>
      <w:r>
        <w:t xml:space="preserve"> </w:t>
      </w:r>
      <w:r>
        <w:t xml:space="preserve">reach knowing the realised estimator’s true bias, and how that agreement</w:t>
      </w:r>
      <w:r>
        <w:t xml:space="preserve"> </w:t>
      </w:r>
      <w:r>
        <w:t xml:space="preserve">degrades when the synthetic-outcome model is misspecified. We answer this</w:t>
      </w:r>
      <w:r>
        <w:t xml:space="preserve"> </w:t>
      </w:r>
      <w:r>
        <w:t xml:space="preserve">with a calibration meta-simulation (</w:t>
      </w:r>
      <w:r>
        <w:rPr>
          <w:rStyle w:val="VerbatimChar"/>
        </w:rPr>
        <w:t xml:space="preserve">run_gate_operating_characteristics.R</w:t>
      </w:r>
      <w:r>
        <w:t xml:space="preserve"> </w:t>
      </w:r>
      <w:r>
        <w:t xml:space="preserve">in the companion repository).</w:t>
      </w:r>
    </w:p>
    <w:p>
      <w:pPr>
        <w:pStyle w:val="BodyText"/>
      </w:pPr>
      <w:r>
        <w:t xml:space="preserve">The design isolates the unmeasured-confounding threat. For a grid of true</w:t>
      </w:r>
      <w:r>
        <w:t xml:space="preserve"> </w:t>
      </w:r>
      <w:r>
        <w:t xml:space="preserve">confounder strengths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(odds ratios on both treatment and outcome), we</w:t>
      </w:r>
      <w:r>
        <w:t xml:space="preserve"> </w:t>
      </w:r>
      <w:r>
        <w:t xml:space="preserve">compute two quantities at each</w:t>
      </w:r>
      <w:r>
        <w:t xml:space="preserve"> </w:t>
      </w:r>
      <m:oMath>
        <m:r>
          <m:t>s</m:t>
        </m:r>
      </m:oMath>
      <w:r>
        <w:t xml:space="preserve">. The</w:t>
      </w:r>
      <w:r>
        <w:t xml:space="preserve"> </w:t>
      </w:r>
      <w:r>
        <w:rPr>
          <w:i/>
          <w:iCs/>
        </w:rPr>
        <w:t xml:space="preserve">oracle</w:t>
      </w:r>
      <w:r>
        <w:t xml:space="preserve"> </w:t>
      </w:r>
      <w:r>
        <w:t xml:space="preserve">bias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real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is the mean bias of the realised TMLE, adjusting for the measured</w:t>
      </w:r>
      <w:r>
        <w:t xml:space="preserve"> </w:t>
      </w:r>
      <w:r>
        <w:t xml:space="preserve">covariates only, when a true unmeasured confounder of strength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acts on</w:t>
      </w:r>
      <w:r>
        <w:t xml:space="preserve"> </w:t>
      </w:r>
      <w:r>
        <w:t xml:space="preserve">both the treatment and the outcome. The</w:t>
      </w:r>
      <w:r>
        <w:t xml:space="preserve"> </w:t>
      </w:r>
      <w:r>
        <w:rPr>
          <w:i/>
          <w:iCs/>
        </w:rPr>
        <w:t xml:space="preserve">screen-predicted</w:t>
      </w:r>
      <w:r>
        <w:t xml:space="preserve"> </w:t>
      </w:r>
      <w:r>
        <w:t xml:space="preserve">bias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screen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is what the outcome-blind plasmode screen</w:t>
      </w:r>
      <w:r>
        <w:t xml:space="preserve"> </w:t>
      </w:r>
      <w:r>
        <w:t xml:space="preserve">anticipates at the same strength: the treatment and outcome nuisance</w:t>
      </w:r>
      <w:r>
        <w:t xml:space="preserve"> </w:t>
      </w:r>
      <w:r>
        <w:t xml:space="preserve">surfaces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are fitted on the analyst’s cohort, a</w:t>
      </w:r>
      <w:r>
        <w:t xml:space="preserve"> </w:t>
      </w:r>
      <w:r>
        <w:t xml:space="preserve">what-if confounder of strength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injected into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synthetic</w:t>
      </w:r>
      <w:r>
        <w:t xml:space="preserve"> </w:t>
      </w:r>
      <w:r>
        <w:t xml:space="preserve">treatment and the synthetic outcome, and the same TMLE is scored against</w:t>
      </w:r>
      <w:r>
        <w:t xml:space="preserve"> </w:t>
      </w:r>
      <w:r>
        <w:t xml:space="preserve">the synthetic truth. The synthetic nuisances are fitted two ways, a</w:t>
      </w:r>
      <w:r>
        <w:t xml:space="preserve"> </w:t>
      </w:r>
      <w:r>
        <w:t xml:space="preserve">misspecified GLM and a flexible SuperLearner (GLM, MARS, and random</w:t>
      </w:r>
      <w:r>
        <w:t xml:space="preserve"> </w:t>
      </w:r>
      <w:r>
        <w:t xml:space="preserve">forest), under both a linear and a nonlinear true surface, and the locked</w:t>
      </w:r>
      <w:r>
        <w:t xml:space="preserve"> </w:t>
      </w:r>
      <w:r>
        <w:t xml:space="preserve">STOP threshold is applied to both the oracle and the screen. The realised</w:t>
      </w:r>
      <w:r>
        <w:t xml:space="preserve"> </w:t>
      </w:r>
      <w:r>
        <w:t xml:space="preserve">estimator uses a GLM nuisance library, so that under the nonlinear surface</w:t>
      </w:r>
      <w:r>
        <w:t xml:space="preserve"> </w:t>
      </w:r>
      <w:r>
        <w:t xml:space="preserve">its bias reflects nuisance misspecification as well as the omitted</w:t>
      </w:r>
      <w:r>
        <w:t xml:space="preserve"> </w:t>
      </w:r>
      <w:r>
        <w:t xml:space="preserve">confounder, and the screen can predict that bias only if its synthetic</w:t>
      </w:r>
      <w:r>
        <w:t xml:space="preserve"> </w:t>
      </w:r>
      <w:r>
        <w:t xml:space="preserve">nuisances reproduce the nonlinearity.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gate-o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6: Calibration of the pre-outcome gate. Oracle bias is the realised TMLE bias under a true confounder of the given strength; screen bias is the plasmode-predicted bias at the same strength under a GLM and a flexible (SuperLearner) synthetic-nuisance model. STOP columns apply the locked |bias| threshold (0.02).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61"/>
              <w:gridCol w:w="449"/>
              <w:gridCol w:w="449"/>
              <w:gridCol w:w="786"/>
              <w:gridCol w:w="1572"/>
              <w:gridCol w:w="1348"/>
              <w:gridCol w:w="674"/>
              <w:gridCol w:w="898"/>
              <w:gridCol w:w="11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Surface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True 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True 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Bias (oracle)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Bias (screen, GLM nuisance)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Bias (screen, flexible)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STOP oracle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STOP screen GLM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STOP screen flexible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nonlinear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103"/>
          <w:p/>
        </w:tc>
      </w:tr>
    </w:tbl>
    <w:p>
      <w:pPr>
        <w:pStyle w:val="BodyText"/>
      </w:pPr>
      <w:r>
        <w:t xml:space="preserve">Against the oracle, the screen with a flexible (SuperLearner) synthetic-nuisance model attains sensitivity 1.00 and specificity 1.00; with a GLM synthetic-nuisance model these are 0.62 and 1.00. The gap between the two quantifies the cost of misspecifying the synthetic-nuisance model, the central plasmode pitfall</w:t>
      </w:r>
      <w:r>
        <w:t xml:space="preserve"> </w:t>
      </w:r>
      <w:r>
        <w:t xml:space="preserve">(Schreck et al. 2024)</w:t>
      </w:r>
      <w:r>
        <w:t xml:space="preserve">.</w:t>
      </w:r>
    </w:p>
    <w:p>
      <w:pPr>
        <w:pStyle w:val="BodyText"/>
      </w:pPr>
      <w:r>
        <w:t xml:space="preserve">Two patterns bound what the screen can and cannot predict. First, the screen</w:t>
      </w:r>
      <w:r>
        <w:t xml:space="preserve"> </w:t>
      </w:r>
      <w:r>
        <w:t xml:space="preserve">predicts the realised bias well only to the extent that the analyst names</w:t>
      </w:r>
      <w:r>
        <w:t xml:space="preserve"> </w:t>
      </w:r>
      <w:r>
        <w:t xml:space="preserve">a confounder of the right strength: it calibrates against threats of the</w:t>
      </w:r>
      <w:r>
        <w:t xml:space="preserve"> </w:t>
      </w:r>
      <w:r>
        <w:t xml:space="preserve">specified magnitude, but a true confounder stronger than anticipated is</w:t>
      </w:r>
      <w:r>
        <w:t xml:space="preserve"> </w:t>
      </w:r>
      <w:r>
        <w:t xml:space="preserve">not detected, so a STOP is evidence of fragility while a GO is not a</w:t>
      </w:r>
      <w:r>
        <w:t xml:space="preserve"> </w:t>
      </w:r>
      <w:r>
        <w:t xml:space="preserve">certificate of robustness (</w:t>
      </w:r>
      <w:hyperlink w:anchor="sec-guarantees">
        <w:r>
          <w:rPr>
            <w:rStyle w:val="Hyperlink"/>
          </w:rPr>
          <w:t xml:space="preserve">Section 7.4</w:t>
        </w:r>
      </w:hyperlink>
      <w:r>
        <w:t xml:space="preserve">). Second, under a nonlinear</w:t>
      </w:r>
      <w:r>
        <w:t xml:space="preserve"> </w:t>
      </w:r>
      <w:r>
        <w:t xml:space="preserve">true surface the GLM screen under-predicts the realised bias, because its</w:t>
      </w:r>
      <w:r>
        <w:t xml:space="preserve"> </w:t>
      </w:r>
      <w:r>
        <w:t xml:space="preserve">synthetic treatment and outcome surfaces are too simple to reproduce the</w:t>
      </w:r>
      <w:r>
        <w:t xml:space="preserve"> </w:t>
      </w:r>
      <w:r>
        <w:t xml:space="preserve">nuisance misspecification that biases the realised estimator, whereas the</w:t>
      </w:r>
      <w:r>
        <w:t xml:space="preserve"> </w:t>
      </w:r>
      <w:r>
        <w:t xml:space="preserve">flexible screen reproduces it and tracks the oracle more closely. This is</w:t>
      </w:r>
      <w:r>
        <w:t xml:space="preserve"> </w:t>
      </w:r>
      <w:r>
        <w:t xml:space="preserve">the reason the package exposes a</w:t>
      </w:r>
      <w:r>
        <w:t xml:space="preserve"> </w:t>
      </w:r>
      <w:r>
        <w:rPr>
          <w:rStyle w:val="VerbatimChar"/>
        </w:rPr>
        <w:t xml:space="preserve">q0_library</w:t>
      </w:r>
      <w:r>
        <w:t xml:space="preserve"> </w:t>
      </w:r>
      <w:r>
        <w:t xml:space="preserve">argument and why we</w:t>
      </w:r>
      <w:r>
        <w:t xml:space="preserve"> </w:t>
      </w:r>
      <w:r>
        <w:t xml:space="preserve">recommend a flexible synthetic-nuisance model. The run reported here uses</w:t>
      </w:r>
      <w:r>
        <w:t xml:space="preserve"> </w:t>
      </w:r>
      <w:hyperlink w:anchor="tbl-gate-oc">
        <w:r>
          <w:rPr>
            <w:rStyle w:val="Hyperlink"/>
          </w:rPr>
          <w:t xml:space="preserve">Table 6</w:t>
        </w:r>
      </w:hyperlink>
      <w:r>
        <w:t xml:space="preserve">’s replicate count with the Monte Carlo standard error of each</w:t>
      </w:r>
      <w:r>
        <w:t xml:space="preserve"> </w:t>
      </w:r>
      <w:r>
        <w:t xml:space="preserve">bias estimate; the script’s</w:t>
      </w:r>
      <w:r>
        <w:t xml:space="preserve"> </w:t>
      </w:r>
      <w:r>
        <w:rPr>
          <w:rStyle w:val="VerbatimChar"/>
        </w:rPr>
        <w:t xml:space="preserve">reps</w:t>
      </w:r>
      <w:r>
        <w:t xml:space="preserve"> </w:t>
      </w:r>
      <w:r>
        <w:t xml:space="preserve">is set higher for a final run.</w:t>
      </w:r>
    </w:p>
    <w:bookmarkEnd w:id="104"/>
    <w:bookmarkStart w:id="130" w:name="sec-casestudy"/>
    <w:p>
      <w:pPr>
        <w:pStyle w:val="Heading1"/>
      </w:pPr>
      <w:r>
        <w:t xml:space="preserve">12. Case Study: Rescue.Co Kenya Trauma Registry</w:t>
      </w:r>
    </w:p>
    <w:bookmarkStart w:id="105" w:name="why-a-real-data-workflow-demonstration"/>
    <w:p>
      <w:pPr>
        <w:pStyle w:val="Heading2"/>
      </w:pPr>
      <w:r>
        <w:t xml:space="preserve">12.1 Why a real-data workflow demonstration</w:t>
      </w:r>
    </w:p>
    <w:p>
      <w:pPr>
        <w:pStyle w:val="FirstParagraph"/>
      </w:pPr>
      <w:r>
        <w:t xml:space="preserve">We use the Rescue.Co Kenya Trauma Registry as a real</w:t>
      </w:r>
      <w:r>
        <w:t xml:space="preserve"> </w:t>
      </w:r>
      <w:r>
        <w:t xml:space="preserve">comparative-effectiveness study that exercises the full workflow on</w:t>
      </w:r>
      <w:r>
        <w:t xml:space="preserve"> </w:t>
      </w:r>
      <w:r>
        <w:t xml:space="preserve">genuine registry data, while presenting the resulting estimate as a</w:t>
      </w:r>
      <w:r>
        <w:t xml:space="preserve"> </w:t>
      </w:r>
      <w:r>
        <w:t xml:space="preserve">single illustrative application rather than as confirmatory evidence</w:t>
      </w:r>
      <w:r>
        <w:t xml:space="preserve"> </w:t>
      </w:r>
      <w:r>
        <w:t xml:space="preserve">about the causal effect of Rescue.Co transport. The registry compares</w:t>
      </w:r>
      <w:r>
        <w:t xml:space="preserve"> </w:t>
      </w:r>
      <w:r>
        <w:t xml:space="preserve">prehospital transport by a specialised emergency-medical-services</w:t>
      </w:r>
      <w:r>
        <w:t xml:space="preserve"> </w:t>
      </w:r>
      <w:r>
        <w:t xml:space="preserve">provider (Rescue.Co) with traditional ambulance care at three Nairobi</w:t>
      </w:r>
      <w:r>
        <w:t xml:space="preserve"> </w:t>
      </w:r>
      <w:r>
        <w:t xml:space="preserve">hospitals, on functional outcome six months post-injury. All five stages</w:t>
      </w:r>
      <w:r>
        <w:t xml:space="preserve"> </w:t>
      </w:r>
      <w:r>
        <w:t xml:space="preserve">were run on cleanTMLE 0.1.1 and the example is fully reproducible from</w:t>
      </w:r>
      <w:r>
        <w:t xml:space="preserve"> </w:t>
      </w:r>
      <w:r>
        <w:t xml:space="preserve">the bundled</w:t>
      </w:r>
      <w:r>
        <w:t xml:space="preserve"> </w:t>
      </w:r>
      <w:r>
        <w:rPr>
          <w:rStyle w:val="VerbatimChar"/>
        </w:rPr>
        <w:t xml:space="preserve">rescueCo/</w:t>
      </w:r>
      <w:r>
        <w:t xml:space="preserve"> </w:t>
      </w:r>
      <w:r>
        <w:t xml:space="preserve">directory in the companion repository. The DQ</w:t>
      </w:r>
      <w:r>
        <w:t xml:space="preserve"> </w:t>
      </w:r>
      <w:r>
        <w:t xml:space="preserve">stress test uses the 200-replicate run (see</w:t>
      </w:r>
      <w:r>
        <w:t xml:space="preserve"> </w:t>
      </w:r>
      <w:hyperlink w:anchor="sec-casestudy-dq">
        <w:r>
          <w:rPr>
            <w:rStyle w:val="Hyperlink"/>
          </w:rPr>
          <w:t xml:space="preserve">Section 12.4</w:t>
        </w:r>
      </w:hyperlink>
      <w:r>
        <w:t xml:space="preserve">).</w:t>
      </w:r>
    </w:p>
    <w:p>
      <w:pPr>
        <w:pStyle w:val="BodyText"/>
      </w:pPr>
      <w:r>
        <w:t xml:space="preserve">The example is interesting for four reasons that the simulation</w:t>
      </w:r>
      <w:r>
        <w:t xml:space="preserve"> </w:t>
      </w:r>
      <w:r>
        <w:t xml:space="preserve">does not exercise: (a) the primary outcome (Glasgow Outcome Scale</w:t>
      </w:r>
      <w:r>
        <w:t xml:space="preserve"> </w:t>
      </w:r>
      <w:r>
        <w:t xml:space="preserve">Extended, GOSE 1–8)</w:t>
      </w:r>
      <w:r>
        <w:t xml:space="preserve"> </w:t>
      </w:r>
      <w:r>
        <w:t xml:space="preserve">(Wilson, Pettigrew, and Teasdale 1998)</w:t>
      </w:r>
      <w:r>
        <w:t xml:space="preserve"> </w:t>
      </w:r>
      <w:r>
        <w:t xml:space="preserve">has 24.6 % missing values from loss to</w:t>
      </w:r>
      <w:r>
        <w:t xml:space="preserve"> </w:t>
      </w:r>
      <w:r>
        <w:t xml:space="preserve">6-month follow-up; (b) 492 ambulance arrivals were inter-facility</w:t>
      </w:r>
      <w:r>
        <w:t xml:space="preserve"> </w:t>
      </w:r>
      <w:r>
        <w:t xml:space="preserve">transfers and were excluded from the primary cohort, leaving the</w:t>
      </w:r>
      <w:r>
        <w:t xml:space="preserve"> </w:t>
      </w:r>
      <w:r>
        <w:t xml:space="preserve">direct-from-scene 1,693; (c) an 8-week healthcare-worker strike</w:t>
      </w:r>
      <w:r>
        <w:t xml:space="preserve"> </w:t>
      </w:r>
      <w:r>
        <w:t xml:space="preserve">(15 March 2024 to 8 May 2024) acts as a quasi-natural-experiment</w:t>
      </w:r>
      <w:r>
        <w:t xml:space="preserve"> </w:t>
      </w:r>
      <w:r>
        <w:t xml:space="preserve">confounder that is not part of either SPIFD2 or the four threats</w:t>
      </w:r>
      <w:r>
        <w:t xml:space="preserve"> </w:t>
      </w:r>
      <w:r>
        <w:t xml:space="preserve">encoded by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; and (d) two prespecified</w:t>
      </w:r>
      <w:r>
        <w:t xml:space="preserve"> </w:t>
      </w:r>
      <w:r>
        <w:t xml:space="preserve">socioeconomic negative controls (urban household, primary cooking</w:t>
      </w:r>
      <w:r>
        <w:t xml:space="preserve"> </w:t>
      </w:r>
      <w:r>
        <w:t xml:space="preserve">fuel) screen for residual SES confounding.</w:t>
      </w:r>
    </w:p>
    <w:bookmarkEnd w:id="105"/>
    <w:bookmarkStart w:id="106" w:name="superlearner-library-specification"/>
    <w:p>
      <w:pPr>
        <w:pStyle w:val="Heading2"/>
      </w:pPr>
      <w:r>
        <w:t xml:space="preserve">12.2 SuperLearner library specification</w:t>
      </w:r>
    </w:p>
    <w:p>
      <w:pPr>
        <w:pStyle w:val="FirstParagraph"/>
      </w:pPr>
      <w:r>
        <w:t xml:space="preserve">We follow</w:t>
      </w:r>
      <w:r>
        <w:t xml:space="preserve"> </w:t>
      </w:r>
      <w:r>
        <w:t xml:space="preserve">Phillips et al. (2023)</w:t>
      </w:r>
      <w:r>
        <w:t xml:space="preserve"> </w:t>
      </w:r>
      <w:r>
        <w:t xml:space="preserve">on SuperLearner library composition.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277</m:t>
        </m:r>
      </m:oMath>
      <w:r>
        <w:t xml:space="preserve"> </w:t>
      </w:r>
      <w:r>
        <w:t xml:space="preserve">complete-outcome observations, the</w:t>
      </w:r>
      <w:r>
        <w:t xml:space="preserve"> </w:t>
      </w:r>
      <w:r>
        <w:t xml:space="preserve">recommended cross-validation count is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10</m:t>
        </m:r>
      </m:oMath>
      <w:r>
        <w:t xml:space="preserve">, and the recommended</w:t>
      </w:r>
      <w:r>
        <w:t xml:space="preserve"> </w:t>
      </w:r>
      <w:r>
        <w:t xml:space="preserve">library is a screened mixture of a parametric base learner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SL.glm</w:t>
      </w:r>
      <w:r>
        <w:t xml:space="preserve">), a regularised learner (</w:t>
      </w:r>
      <w:r>
        <w:rPr>
          <w:rStyle w:val="VerbatimChar"/>
        </w:rPr>
        <w:t xml:space="preserve">SL.glmnet</w:t>
      </w:r>
      <w:r>
        <w:t xml:space="preserve">), and a generalised-</w:t>
      </w:r>
      <w:r>
        <w:t xml:space="preserve"> </w:t>
      </w:r>
      <w:r>
        <w:t xml:space="preserve">additive learner (</w:t>
      </w:r>
      <w:r>
        <w:rPr>
          <w:rStyle w:val="VerbatimChar"/>
        </w:rPr>
        <w:t xml:space="preserve">SL.gam</w:t>
      </w:r>
      <w:r>
        <w:t xml:space="preserve">). The cleanTMLE helper</w:t>
      </w:r>
      <w:r>
        <w:t xml:space="preserve"> </w:t>
      </w:r>
      <w:r>
        <w:rPr>
          <w:rStyle w:val="VerbatimChar"/>
        </w:rPr>
        <w:t xml:space="preserve">validate_superlearner_spec(n_eff, library = ...)</w:t>
      </w:r>
      <w:r>
        <w:t xml:space="preserve"> </w:t>
      </w:r>
      <w:r>
        <w:t xml:space="preserve">records this</w:t>
      </w:r>
      <w:r>
        <w:t xml:space="preserve"> </w:t>
      </w:r>
      <w:r>
        <w:t xml:space="preserve">recommendation in the lock and warns when the user-supplied library</w:t>
      </w:r>
      <w:r>
        <w:t xml:space="preserve"> </w:t>
      </w:r>
      <w:r>
        <w:t xml:space="preserve">is degenerate. The rescueCo lock uses the same recommended library.</w:t>
      </w:r>
    </w:p>
    <w:bookmarkEnd w:id="106"/>
    <w:bookmarkStart w:id="113" w:name="cohort-estimand-and-pre-specification"/>
    <w:p>
      <w:pPr>
        <w:pStyle w:val="Heading2"/>
      </w:pPr>
      <w:r>
        <w:t xml:space="preserve">12.3 Cohort, estimand, and pre-specification</w:t>
      </w:r>
    </w:p>
    <w:p>
      <w:pPr>
        <w:pStyle w:val="FirstParagraph"/>
      </w:pPr>
      <w:r>
        <w:t xml:space="preserve">The lock fixes the binary version of GOSE (</w:t>
      </w:r>
      <w:r>
        <w:rPr>
          <w:rStyle w:val="VerbatimChar"/>
        </w:rPr>
        <w:t xml:space="preserve">gose_good = 1</w:t>
      </w:r>
      <w:r>
        <w:t xml:space="preserve"> </w:t>
      </w:r>
      <w:r>
        <w:t xml:space="preserve">if GOSE</w:t>
      </w:r>
      <w:r>
        <w:t xml:space="preserve"> </w:t>
      </w:r>
      <w:r>
        <w:t xml:space="preserve">&gt; 4) as the primary outcome, treating ambulance arrival of any kind</w:t>
      </w:r>
      <w:r>
        <w:t xml:space="preserve"> </w:t>
      </w:r>
      <w:r>
        <w:t xml:space="preserve">as in-scope and excluding inter-facility transfers. After</w:t>
      </w:r>
      <w:r>
        <w:t xml:space="preserve"> </w:t>
      </w:r>
      <w:r>
        <w:t xml:space="preserve">exclusions the analytic cohort is</w:t>
      </w:r>
      <w:r>
        <w:t xml:space="preserve"> </w:t>
      </w:r>
      <w:r>
        <w:rPr>
          <w:b/>
          <w:bCs/>
        </w:rPr>
        <w:t xml:space="preserve">n = 1,693 (1,013 Rescue.Co; 680</w:t>
      </w:r>
      <w:r>
        <w:rPr>
          <w:b/>
          <w:bCs/>
        </w:rPr>
        <w:t xml:space="preserve"> </w:t>
      </w:r>
      <w:r>
        <w:rPr>
          <w:b/>
          <w:bCs/>
        </w:rPr>
        <w:t xml:space="preserve">other ambulance)</w:t>
      </w:r>
      <w:r>
        <w:t xml:space="preserve">; n = 1,277 have non-missing 6-month GOSE.</w:t>
      </w:r>
      <w:r>
        <w:t xml:space="preserve"> </w:t>
      </w:r>
      <w:r>
        <w:t xml:space="preserve">Twenty-one covariates enter the propensity-score model after a</w:t>
      </w:r>
      <w:r>
        <w:t xml:space="preserve"> </w:t>
      </w:r>
      <w:r>
        <w:t xml:space="preserve">near-zero-variance filter drops nine of the originally selected</w:t>
      </w:r>
      <w:r>
        <w:t xml:space="preserve"> </w:t>
      </w:r>
      <w:r>
        <w:t xml:space="preserve">thirty (combined prevalence below 1 % in the analytic cohort): the</w:t>
      </w:r>
      <w:r>
        <w:t xml:space="preserve"> </w:t>
      </w:r>
      <w:r>
        <w:t xml:space="preserve">retained set covers demographics (age, sex, marital, education),</w:t>
      </w:r>
      <w:r>
        <w:t xml:space="preserve"> </w:t>
      </w:r>
      <w:r>
        <w:t xml:space="preserve">distance, mechanism of injury (a subset of indicators), the</w:t>
      </w:r>
      <w:r>
        <w:t xml:space="preserve"> </w:t>
      </w:r>
      <w:r>
        <w:t xml:space="preserve">chronic-illness panel (the higher-prevalence conditions), SES</w:t>
      </w:r>
      <w:r>
        <w:t xml:space="preserve"> </w:t>
      </w:r>
      <w:r>
        <w:t xml:space="preserve">proxies (urban household, occupation), payment, GCS, ISS, arrival</w:t>
      </w:r>
      <w:r>
        <w:t xml:space="preserve"> </w:t>
      </w:r>
      <w:r>
        <w:t xml:space="preserve">month, alcohol use at injury, and assault intent.</w:t>
      </w:r>
    </w:p>
    <w:p>
      <w:pPr>
        <w:pStyle w:val="BodyText"/>
      </w:pPr>
      <w:r>
        <w:t xml:space="preserve">The lock declares two prespecified sensitivity plans (a 4-point PS</w:t>
      </w:r>
      <w:r>
        <w:t xml:space="preserve"> </w:t>
      </w:r>
      <w:r>
        <w:t xml:space="preserve">truncation grid and a transfer-inclusion rerun) and five negative</w:t>
      </w:r>
      <w:r>
        <w:t xml:space="preserve"> </w:t>
      </w:r>
      <w:r>
        <w:t xml:space="preserve">controls, each tagged with its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confounding</w:t>
      </w:r>
      <w:r>
        <w:t xml:space="preserve"> </w:t>
      </w:r>
      <w:r>
        <w:t xml:space="preserve">domain:</w:t>
      </w:r>
      <w:r>
        <w:t xml:space="preserve"> </w:t>
      </w:r>
      <w:r>
        <w:rPr>
          <w:rStyle w:val="VerbatimChar"/>
        </w:rPr>
        <w:t xml:space="preserve">chronic_hypertension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chronic_diabetes_insulin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chronic_hiv_art</w:t>
      </w:r>
      <w:r>
        <w:t xml:space="preserve"> </w:t>
      </w:r>
      <w:r>
        <w:t xml:space="preserve">cover</w:t>
      </w:r>
      <w:r>
        <w:t xml:space="preserve"> </w:t>
      </w:r>
      <w:r>
        <w:rPr>
          <w:i/>
          <w:iCs/>
        </w:rPr>
        <w:t xml:space="preserve">confounding by indication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functional 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household_urban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fuel_wood</w:t>
      </w:r>
      <w:r>
        <w:t xml:space="preserve"> </w:t>
      </w:r>
      <w:r>
        <w:t xml:space="preserve">cover</w:t>
      </w:r>
      <w:r>
        <w:t xml:space="preserve"> </w:t>
      </w:r>
      <w:r>
        <w:rPr>
          <w:i/>
          <w:iCs/>
        </w:rPr>
        <w:t xml:space="preserve">health-seeking behaviour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access to healthcare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define_negative_control(..., domain = ...)</w:t>
      </w:r>
      <w:r>
        <w:t xml:space="preserve"> </w:t>
      </w:r>
      <w:r>
        <w:t xml:space="preserve">argument added in</w:t>
      </w:r>
      <w:r>
        <w:t xml:space="preserve"> </w:t>
      </w:r>
      <w:r>
        <w:t xml:space="preserve">cleanTMLE 0.1.1 records the domain in the lock and the audit log so</w:t>
      </w:r>
      <w:r>
        <w:t xml:space="preserve"> </w:t>
      </w:r>
      <w:r>
        <w:t xml:space="preserve">a reviewer can verify that the NC set spans the four domains rather</w:t>
      </w:r>
      <w:r>
        <w:t xml:space="preserve"> </w:t>
      </w:r>
      <w:r>
        <w:t xml:space="preserve">than concentrating in one. Three of the five NCs</w:t>
      </w:r>
      <w:r>
        <w:t xml:space="preserve"> </w:t>
      </w:r>
      <w:r>
        <w:t xml:space="preserve">(</w:t>
      </w:r>
      <w:r>
        <w:rPr>
          <w:rStyle w:val="VerbatimChar"/>
        </w:rPr>
        <w:t xml:space="preserve">chronic_diabetes_insulin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chronic_hiv_art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fuel_wood</w:t>
      </w:r>
      <w:r>
        <w:t xml:space="preserve">) are</w:t>
      </w:r>
      <w:r>
        <w:t xml:space="preserve"> </w:t>
      </w:r>
      <w:r>
        <w:t xml:space="preserve">dropped before fitting by the same near-zero-variance filter that</w:t>
      </w:r>
      <w:r>
        <w:t xml:space="preserve"> </w:t>
      </w:r>
      <w:r>
        <w:t xml:space="preserve">trims the PS-covariate set, and the bundle’s Stage 1 script logs the</w:t>
      </w:r>
      <w:r>
        <w:t xml:space="preserve"> </w:t>
      </w:r>
      <w:r>
        <w:t xml:space="preserve">drops to the pipeline log (the cleanTMLE 0.1.1 audit-log capture for</w:t>
      </w:r>
      <w:r>
        <w:t xml:space="preserve"> </w:t>
      </w:r>
      <w:r>
        <w:t xml:space="preserve">NC failures applies at fit time, not at sanitisation time, so these</w:t>
      </w:r>
      <w:r>
        <w:t xml:space="preserve"> </w:t>
      </w:r>
      <w:r>
        <w:t xml:space="preserve">drops surface in the run log rather than in the structured audit).</w:t>
      </w:r>
      <w:r>
        <w:t xml:space="preserve"> </w:t>
      </w:r>
      <w:r>
        <w:t xml:space="preserve">The remaining two NCs are fit at Stage 3. The estimand is attached via</w:t>
      </w:r>
      <w:r>
        <w:t xml:space="preserve"> </w:t>
      </w:r>
      <w:r>
        <w:rPr>
          <w:rStyle w:val="VerbatimChar"/>
        </w:rPr>
        <w:t xml:space="preserve">attach_estimand()</w:t>
      </w:r>
      <w:r>
        <w:t xml:space="preserve"> </w:t>
      </w:r>
      <w:r>
        <w:t xml:space="preserve">and the lock is</w:t>
      </w:r>
      <w:r>
        <w:t xml:space="preserve"> </w:t>
      </w:r>
      <w:r>
        <w:t xml:space="preserve">fingerprinted with SHA-256. Stage 2b runs the baseline</w:t>
      </w:r>
      <w:r>
        <w:t xml:space="preserve"> </w:t>
      </w:r>
      <w:r>
        <w:rPr>
          <w:rStyle w:val="VerbatimChar"/>
        </w:rPr>
        <w:t xml:space="preserve">run_plasmode_feasibility()</w:t>
      </w:r>
      <w:r>
        <w:t xml:space="preserve"> </w:t>
      </w:r>
      <w:r>
        <w:t xml:space="preserve">on two GLM-PS truncation candidates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glm_t01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glm_t05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0.05</m:t>
        </m:r>
      </m:oMath>
      <w:r>
        <w:t xml:space="preserve">) for 50</w:t>
      </w:r>
      <w:r>
        <w:t xml:space="preserve"> </w:t>
      </w:r>
      <w:r>
        <w:t xml:space="preserve">replicates each, and Stage 3 runs the full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over the four threats on a wider</w:t>
      </w:r>
      <w:r>
        <w:t xml:space="preserve"> </w:t>
      </w:r>
      <w:r>
        <w:t xml:space="preserve">candidate set (</w:t>
      </w:r>
      <w:r>
        <w:rPr>
          <w:rStyle w:val="VerbatimChar"/>
        </w:rPr>
        <w:t xml:space="preserve">glm_t01</w:t>
      </w:r>
      <w:r>
        <w:t xml:space="preserve">,</w:t>
      </w:r>
      <w:r>
        <w:t xml:space="preserve"> </w:t>
      </w:r>
      <w:r>
        <w:rPr>
          <w:rStyle w:val="VerbatimChar"/>
        </w:rPr>
        <w:t xml:space="preserve">glmnet_t01</w:t>
      </w:r>
      <w:r>
        <w:t xml:space="preserve">,</w:t>
      </w:r>
      <w:r>
        <w:t xml:space="preserve"> </w:t>
      </w:r>
      <w:r>
        <w:rPr>
          <w:rStyle w:val="VerbatimChar"/>
        </w:rPr>
        <w:t xml:space="preserve">ensemble_t01</w:t>
      </w:r>
      <w:r>
        <w:t xml:space="preserve">,</w:t>
      </w:r>
      <w:r>
        <w:t xml:space="preserve"> </w:t>
      </w:r>
      <w:r>
        <w:rPr>
          <w:rStyle w:val="VerbatimChar"/>
        </w:rPr>
        <w:t xml:space="preserve">ensemble_t05</w:t>
      </w:r>
      <w:r>
        <w:t xml:space="preserve">). The locked candidate is selected via</w:t>
      </w:r>
      <w:r>
        <w:t xml:space="preserve"> </w:t>
      </w:r>
      <w:r>
        <w:rPr>
          <w:rStyle w:val="VerbatimChar"/>
        </w:rPr>
        <w:t xml:space="preserve">select_tmle_candidate(rule = "min_max_rmse", dq_results = ...)</w:t>
      </w:r>
      <w:r>
        <w:t xml:space="preserve">,</w:t>
      </w:r>
      <w:r>
        <w:t xml:space="preserve"> </w:t>
      </w:r>
      <w:r>
        <w:t xml:space="preserve">the manuscript’s recommended minimax rule.</w:t>
      </w:r>
    </w:p>
    <w:bookmarkStart w:id="111" w:name="cohort-flow"/>
    <w:p>
      <w:pPr>
        <w:pStyle w:val="Heading3"/>
      </w:pPr>
      <w:r>
        <w:t xml:space="preserve">12.3.1 Cohort flow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hort-flow"/>
          <w:p>
            <w:pPr>
              <w:pStyle w:val="Compact"/>
              <w:jc w:val="center"/>
            </w:pPr>
            <w:r>
              <w:drawing>
                <wp:inline>
                  <wp:extent cx="4000500" cy="5000625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figures/fig-cohort-flow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500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Cohort attrition for the Rescue.Co Kenya Trauma Registry case study. Counts shown at each prespecified inclusion/exclusion criterion. Inter-facility transfers are excluded from the analytic cohort; complete-outcome rows are used for the unweighted estimators and for the IPCW-weighted complete-case TMLE, and missing GOSE (n = 416, 24.6%) is handled by IPCW.</w:t>
            </w:r>
          </w:p>
          <w:bookmarkEnd w:id="110"/>
        </w:tc>
      </w:tr>
    </w:tbl>
    <w:bookmarkEnd w:id="111"/>
    <w:bookmarkStart w:id="112" w:name="analytic-setup-at-a-glance"/>
    <w:p>
      <w:pPr>
        <w:pStyle w:val="Heading3"/>
      </w:pPr>
      <w:r>
        <w:t xml:space="preserve">12.3.2 Analytic setup at a glance</w:t>
      </w:r>
    </w:p>
    <w:p>
      <w:pPr>
        <w:pStyle w:val="FirstParagraph"/>
      </w:pPr>
      <w:r>
        <w:t xml:space="preserve">Four compact setup tables make the case-study specification fully</w:t>
      </w:r>
      <w:r>
        <w:t xml:space="preserve"> </w:t>
      </w:r>
      <w:r>
        <w:t xml:space="preserve">visible in one place: the event process, the target populations</w:t>
      </w:r>
      <w:r>
        <w:t xml:space="preserve"> </w:t>
      </w:r>
      <w:r>
        <w:t xml:space="preserve">that each candidate procedure addresses, the weight-diagnostic</w:t>
      </w:r>
      <w:r>
        <w:t xml:space="preserve"> </w:t>
      </w:r>
      <w:r>
        <w:t xml:space="preserve">thresholds, and the candidate estimator-estimand pairs.</w:t>
      </w:r>
    </w:p>
    <w:p>
      <w:pPr>
        <w:pStyle w:val="BodyText"/>
      </w:pPr>
      <w:r>
        <w:rPr>
          <w:b/>
          <w:bCs/>
        </w:rPr>
        <w:t xml:space="preserve">Event-process table.</w:t>
      </w:r>
      <w:r>
        <w:t xml:space="preserve"> </w:t>
      </w:r>
      <w:r>
        <w:t xml:space="preserve">This table classifies every event-like</w:t>
      </w:r>
      <w:r>
        <w:t xml:space="preserve"> </w:t>
      </w:r>
      <w:r>
        <w:t xml:space="preserve">quantity in the cohort as outcome, censoring, missingness,</w:t>
      </w:r>
      <w:r>
        <w:t xml:space="preserve"> </w:t>
      </w:r>
      <w:r>
        <w:t xml:space="preserve">intercurrent event, exclusion, or administrative end of follow-up: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3"/>
        <w:gridCol w:w="2049"/>
        <w:gridCol w:w="3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Event-like quantity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GOSE &gt; 4 at 6 months</w:t>
            </w:r>
          </w:p>
        </w:tc>
        <w:tc>
          <w:tcPr/>
          <w:p>
            <w:pPr>
              <w:pStyle w:val="Compact"/>
            </w:pPr>
            <w:r>
              <w:t xml:space="preserve">Event of interest (outcome)</w:t>
            </w:r>
          </w:p>
        </w:tc>
        <w:tc>
          <w:tcPr/>
          <w:p>
            <w:pPr>
              <w:pStyle w:val="Compact"/>
            </w:pPr>
            <w:r>
              <w:t xml:space="preserve">Estimand: marginal RD on this binary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GOSE missing at 6 months</w:t>
            </w:r>
          </w:p>
        </w:tc>
        <w:tc>
          <w:tcPr/>
          <w:p>
            <w:pPr>
              <w:pStyle w:val="Compact"/>
            </w:pPr>
            <w:r>
              <w:t xml:space="preserve">Missingness</w:t>
            </w:r>
          </w:p>
        </w:tc>
        <w:tc>
          <w:tcPr/>
          <w:p>
            <w:pPr>
              <w:pStyle w:val="Compact"/>
            </w:pPr>
            <w:r>
              <w:t xml:space="preserve">Primary: complete-outcome analysis; IPCW sensitivity under a conditional missingness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In-hospital death before 6-month GOSE</w:t>
            </w:r>
          </w:p>
        </w:tc>
        <w:tc>
          <w:tcPr/>
          <w:p>
            <w:pPr>
              <w:pStyle w:val="Compact"/>
            </w:pPr>
            <w:r>
              <w:t xml:space="preserve">Outcome component / intercurrent event</w:t>
            </w:r>
          </w:p>
        </w:tc>
        <w:tc>
          <w:tcPr/>
          <w:p>
            <w:pPr>
              <w:pStyle w:val="Compact"/>
            </w:pPr>
            <w:r>
              <w:t xml:space="preserve">Coded as GOSE = 1 under a composite or worst-rank strategy;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Inter-facility transfer at index event</w:t>
            </w:r>
          </w:p>
        </w:tc>
        <w:tc>
          <w:tcPr/>
          <w:p>
            <w:pPr>
              <w:pStyle w:val="Compact"/>
            </w:pPr>
            <w: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Excluded from analytic cohort at Stage 1b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switching / crossover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Point exposure at scene; no time-varying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6-month follow-up window end</w:t>
            </w:r>
          </w:p>
        </w:tc>
        <w:tc>
          <w:tcPr/>
          <w:p>
            <w:pPr>
              <w:pStyle w:val="Compact"/>
            </w:pPr>
            <w:r>
              <w:t xml:space="preserve">Administrative end of FU</w:t>
            </w:r>
          </w:p>
        </w:tc>
        <w:tc>
          <w:tcPr/>
          <w:p>
            <w:pPr>
              <w:pStyle w:val="Compact"/>
            </w:pPr>
            <w:r>
              <w:t xml:space="preserve">Fixed at 6 months; no admin censoring before that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Target-population table.</w:t>
      </w:r>
      <w:r>
        <w:t xml:space="preserve"> </w:t>
      </w:r>
      <w:r>
        <w:t xml:space="preserve">Different candidate procedures</w:t>
      </w:r>
      <w:r>
        <w:t xml:space="preserve"> </w:t>
      </w:r>
      <w:r>
        <w:t xml:space="preserve">correspond to different target populations: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82"/>
        <w:gridCol w:w="47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Target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Crude (complete-case)</w:t>
            </w:r>
          </w:p>
        </w:tc>
        <w:tc>
          <w:tcPr/>
          <w:p>
            <w:pPr>
              <w:pStyle w:val="Compact"/>
            </w:pPr>
            <w:r>
              <w:t xml:space="preserve">Complete-outcome subset (n = 1,277)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 matching</w:t>
            </w:r>
          </w:p>
        </w:tc>
        <w:tc>
          <w:tcPr/>
          <w:p>
            <w:pPr>
              <w:pStyle w:val="Compact"/>
            </w:pPr>
            <w:r>
              <w:t xml:space="preserve">Matched overlap subset (n = 615)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IPTW (stabilised)</w:t>
            </w:r>
          </w:p>
        </w:tc>
        <w:tc>
          <w:tcPr/>
          <w:p>
            <w:pPr>
              <w:pStyle w:val="Compact"/>
            </w:pPr>
            <w:r>
              <w:t xml:space="preserve">Full eligible cohort (n = 1,693)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Full-cohort TMLE (prespecified primary)</w:t>
            </w:r>
          </w:p>
        </w:tc>
        <w:tc>
          <w:tcPr/>
          <w:p>
            <w:pPr>
              <w:pStyle w:val="Compact"/>
            </w:pPr>
            <w:r>
              <w:t xml:space="preserve">Full eligible cohort (n = 1,693)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Matched-cohort TMLE</w:t>
            </w:r>
          </w:p>
        </w:tc>
        <w:tc>
          <w:tcPr/>
          <w:p>
            <w:pPr>
              <w:pStyle w:val="Compact"/>
            </w:pPr>
            <w:r>
              <w:t xml:space="preserve">Matched overlap subset (n = 1,230)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Complete-outcome TMLE with IPCW weights</w:t>
            </w:r>
          </w:p>
        </w:tc>
        <w:tc>
          <w:tcPr/>
          <w:p>
            <w:pPr>
              <w:pStyle w:val="Compact"/>
            </w:pPr>
            <w:r>
              <w:t xml:space="preserve">Complete-outcome rows weighted toward full-cohort marginal contrast</w:t>
            </w:r>
          </w:p>
        </w:tc>
      </w:tr>
    </w:tbl>
    <w:p>
      <w:pPr>
        <w:pStyle w:val="BodyText"/>
      </w:pPr>
      <w:r>
        <w:rPr>
          <w:b/>
          <w:bCs/>
        </w:rPr>
        <w:t xml:space="preserve">Weight-diagnostics table.</w:t>
      </w:r>
      <w:r>
        <w:t xml:space="preserve"> </w:t>
      </w:r>
      <w:r>
        <w:t xml:space="preserve">Treatment weights and missingness</w:t>
      </w:r>
      <w:r>
        <w:t xml:space="preserve"> </w:t>
      </w:r>
      <w:r>
        <w:t xml:space="preserve">weights are evaluated against prespecified thresholds: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5"/>
        <w:gridCol w:w="1513"/>
        <w:gridCol w:w="1816"/>
        <w:gridCol w:w="28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Weight 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Prespecified instability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weights (stabilised)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fit_ps_superlearner()</w:t>
            </w:r>
          </w:p>
        </w:tc>
        <w:tc>
          <w:tcPr/>
          <w:p>
            <w:pPr>
              <w:pStyle w:val="Compact"/>
            </w:pPr>
            <w:r>
              <w:t xml:space="preserve">Mean, SD, 99th pct, max, Kish ESS</w:t>
            </w:r>
          </w:p>
        </w:tc>
        <w:tc>
          <w:tcPr/>
          <w:p>
            <w:pPr>
              <w:pStyle w:val="Compact"/>
            </w:pPr>
            <w:r>
              <w:t xml:space="preserve">Max &gt; 10, or &gt; 1 % of weights above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IPCW weights (missingness)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run_ipcw_tmle()</w:t>
            </w:r>
          </w:p>
        </w:tc>
        <w:tc>
          <w:tcPr/>
          <w:p>
            <w:pPr>
              <w:pStyle w:val="Compact"/>
            </w:pPr>
            <w:r>
              <w:t xml:space="preserve">Mean, SD, 99th pct, max</w:t>
            </w:r>
          </w:p>
        </w:tc>
        <w:tc>
          <w:tcPr/>
          <w:p>
            <w:pPr>
              <w:pStyle w:val="Compact"/>
            </w:pPr>
            <w:r>
              <w:t xml:space="preserve">Max &gt;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(for</w:t>
            </w:r>
            <w:r>
              <w:t xml:space="preserve"> </w:t>
            </w:r>
            <w:r>
              <w:rPr>
                <w:rStyle w:val="VerbatimChar"/>
              </w:rPr>
              <w:t xml:space="preserve">Complete-outcome TMLE with IPCW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 of treatment and IPCW weights</w:t>
            </w:r>
          </w:p>
        </w:tc>
        <w:tc>
          <w:tcPr/>
          <w:p>
            <w:pPr>
              <w:pStyle w:val="Compact"/>
            </w:pPr>
            <w:r>
              <w:t xml:space="preserve">Mean, SD, max, ESS</w:t>
            </w:r>
          </w:p>
        </w:tc>
        <w:tc>
          <w:tcPr/>
          <w:p>
            <w:pPr>
              <w:pStyle w:val="Compact"/>
            </w:pPr>
            <w:r>
              <w:t xml:space="preserve">Max &gt; 15, or ESS &lt; 30 % of n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Estimator-estimand table.</w:t>
      </w:r>
      <w:r>
        <w:t xml:space="preserve"> </w:t>
      </w:r>
      <w:r>
        <w:t xml:space="preserve">Each candidate is recorded as a</w:t>
      </w:r>
      <w:r>
        <w:t xml:space="preserve"> </w:t>
      </w:r>
      <w:r>
        <w:t xml:space="preserve">paired estimator-and-estimand object: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5"/>
        <w:gridCol w:w="1119"/>
        <w:gridCol w:w="516"/>
        <w:gridCol w:w="602"/>
        <w:gridCol w:w="3400"/>
        <w:gridCol w:w="10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Nuisance library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Truncation</w:t>
            </w:r>
          </w:p>
        </w:tc>
        <w:tc>
          <w:tcPr/>
          <w:p>
            <w:pPr>
              <w:pStyle w:val="Compact"/>
            </w:pPr>
            <w:r>
              <w:t xml:space="preserve">Missingness</w:t>
            </w:r>
          </w:p>
        </w:tc>
        <w:tc>
          <w:tcPr/>
          <w:p>
            <w:pPr>
              <w:pStyle w:val="Compact"/>
            </w:pPr>
            <w:r>
              <w:t xml:space="preserve">Estimand implication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Complete case</w:t>
            </w:r>
          </w:p>
        </w:tc>
        <w:tc>
          <w:tcPr/>
          <w:p>
            <w:pPr>
              <w:pStyle w:val="Compact"/>
            </w:pPr>
            <w:r>
              <w:t xml:space="preserve">Marginal contrast in complete-outcome subset</w:t>
            </w:r>
          </w:p>
        </w:tc>
        <w:tc>
          <w:tcPr/>
          <w:p>
            <w:pPr>
              <w:pStyle w:val="Compact"/>
            </w:pPr>
            <w:r>
              <w:t xml:space="preserve">Reference comparator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 matching</w:t>
            </w:r>
          </w:p>
        </w:tc>
        <w:tc>
          <w:tcPr/>
          <w:p>
            <w:pPr>
              <w:pStyle w:val="Compact"/>
            </w:pPr>
            <w:r>
              <w:t xml:space="preserve">GLM 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Complete case</w:t>
            </w:r>
          </w:p>
        </w:tc>
        <w:tc>
          <w:tcPr/>
          <w:p>
            <w:pPr>
              <w:pStyle w:val="Compact"/>
            </w:pPr>
            <w:r>
              <w:t xml:space="preserve">ATE in matched overlap subset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IPTW (stabilised)</w:t>
            </w:r>
          </w:p>
        </w:tc>
        <w:tc>
          <w:tcPr/>
          <w:p>
            <w:pPr>
              <w:pStyle w:val="Compact"/>
            </w:pPr>
            <w:r>
              <w:t xml:space="preserve">GLM 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Complete case</w:t>
            </w:r>
          </w:p>
        </w:tc>
        <w:tc>
          <w:tcPr/>
          <w:p>
            <w:pPr>
              <w:pStyle w:val="Compact"/>
            </w:pPr>
            <w:r>
              <w:t xml:space="preserve">Full-cohort marginal contrast estimated with stabilised, truncated treatment weights; truncation may approximate the practical estimand and should be reported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Full-cohort TMLE</w:t>
            </w:r>
          </w:p>
        </w:tc>
        <w:tc>
          <w:tcPr/>
          <w:p>
            <w:pPr>
              <w:pStyle w:val="Compact"/>
            </w:pPr>
            <w:r>
              <w:t xml:space="preserve">SL ensemble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Complete case</w:t>
            </w:r>
          </w:p>
        </w:tc>
        <w:tc>
          <w:tcPr/>
          <w:p>
            <w:pPr>
              <w:pStyle w:val="Compact"/>
            </w:pPr>
            <w:r>
              <w:t xml:space="preserve">ATE in full eligible cohort under prespecified locked SL 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Matched-cohort TMLE</w:t>
            </w:r>
          </w:p>
        </w:tc>
        <w:tc>
          <w:tcPr/>
          <w:p>
            <w:pPr>
              <w:pStyle w:val="Compact"/>
            </w:pPr>
            <w:r>
              <w:t xml:space="preserve">SL ensemble (matched)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Complete case</w:t>
            </w:r>
          </w:p>
        </w:tc>
        <w:tc>
          <w:tcPr/>
          <w:p>
            <w:pPr>
              <w:pStyle w:val="Compact"/>
            </w:pPr>
            <w:r>
              <w:t xml:space="preserve">ATE in matched overlap subset</w:t>
            </w:r>
          </w:p>
        </w:tc>
        <w:tc>
          <w:tcPr/>
          <w:p>
            <w:pPr>
              <w:pStyle w:val="Compact"/>
            </w:pPr>
            <w:r>
              <w:t xml:space="preserve">Sensitivity (target pop)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Complete-outcome TMLE w/ IPCW</w:t>
            </w:r>
          </w:p>
        </w:tc>
        <w:tc>
          <w:tcPr/>
          <w:p>
            <w:pPr>
              <w:pStyle w:val="Compact"/>
            </w:pPr>
            <w:r>
              <w:t xml:space="preserve">SL ensemble + SL IPCW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IPCW</w:t>
            </w:r>
          </w:p>
        </w:tc>
        <w:tc>
          <w:tcPr/>
          <w:p>
            <w:pPr>
              <w:pStyle w:val="Compact"/>
            </w:pPr>
            <w:r>
              <w:t xml:space="preserve">ATE in full eligible cohort under the locked missingness model</w:t>
            </w:r>
          </w:p>
        </w:tc>
        <w:tc>
          <w:tcPr/>
          <w:p>
            <w:pPr>
              <w:pStyle w:val="Compact"/>
            </w:pPr>
            <w:r>
              <w:t xml:space="preserve">Sensitivity (missingness)</w:t>
            </w:r>
          </w:p>
        </w:tc>
      </w:tr>
    </w:tbl>
    <w:p>
      <w:pPr>
        <w:pStyle w:val="BodyText"/>
      </w:pPr>
      <w:r>
        <w:t xml:space="preserve">These four tables make the analytic considerations explicit before</w:t>
      </w:r>
      <w:r>
        <w:t xml:space="preserve"> </w:t>
      </w:r>
      <w:r>
        <w:t xml:space="preserve">the pre-outcome decision rule is read. They also document the</w:t>
      </w:r>
      <w:r>
        <w:t xml:space="preserve"> </w:t>
      </w:r>
      <w:r>
        <w:t xml:space="preserve">estimand-vs-estimator distinction: candidates that differ by</w:t>
      </w:r>
      <w:r>
        <w:t xml:space="preserve"> </w:t>
      </w:r>
      <w:r>
        <w:t xml:space="preserve">truncation, matching, or IPCW correspond to different effective</w:t>
      </w:r>
      <w:r>
        <w:t xml:space="preserve"> </w:t>
      </w:r>
      <w:r>
        <w:t xml:space="preserve">target populations and are reported as paired objects rather than</w:t>
      </w:r>
      <w:r>
        <w:t xml:space="preserve"> </w:t>
      </w:r>
      <w:r>
        <w:t xml:space="preserve">interchangeable estimators of the same parameter.</w:t>
      </w:r>
    </w:p>
    <w:p>
      <w:pPr>
        <w:pStyle w:val="BodyText"/>
      </w:pPr>
      <w:r>
        <w:rPr>
          <w:b/>
          <w:bCs/>
        </w:rPr>
        <w:t xml:space="preserve">Target-trial timing table.</w:t>
      </w:r>
      <w:r>
        <w:t xml:space="preserve"> </w:t>
      </w:r>
      <w:r>
        <w:t xml:space="preserve">The following table records the</w:t>
      </w:r>
      <w:r>
        <w:t xml:space="preserve"> </w:t>
      </w:r>
      <w:r>
        <w:t xml:space="preserve">prespecified target-trial design elements and their lock status</w:t>
      </w:r>
      <w:r>
        <w:t xml:space="preserve"> </w:t>
      </w:r>
      <w:r>
        <w:t xml:space="preserve">before any outcome access.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 element</w:t>
            </w:r>
          </w:p>
        </w:tc>
        <w:tc>
          <w:tcPr/>
          <w:p>
            <w:pPr>
              <w:pStyle w:val="Compact"/>
            </w:pPr>
            <w:r>
              <w:t xml:space="preserve">Rescue.Co implementation</w:t>
            </w:r>
          </w:p>
        </w:tc>
        <w:tc>
          <w:tcPr/>
          <w:p>
            <w:pPr>
              <w:pStyle w:val="Compact"/>
            </w:pPr>
            <w:r>
              <w:t xml:space="preserve">Pre-outcome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date / time zero</w:t>
            </w:r>
          </w:p>
        </w:tc>
        <w:tc>
          <w:tcPr/>
          <w:p>
            <w:pPr>
              <w:pStyle w:val="Compact"/>
            </w:pPr>
            <w:r>
              <w:t xml:space="preserve">Time of trauma-related ambulance arrival at participating hospital</w:t>
            </w:r>
          </w:p>
        </w:tc>
        <w:tc>
          <w:tcPr/>
          <w:p>
            <w:pPr>
              <w:pStyle w:val="Compact"/>
            </w:pPr>
            <w:r>
              <w:t xml:space="preserve">Locked in</w:t>
            </w:r>
            <w:r>
              <w:t xml:space="preserve"> </w:t>
            </w:r>
            <w:r>
              <w:rPr>
                <w:rStyle w:val="VerbatimChar"/>
              </w:rPr>
              <w:t xml:space="preserve">identify_interval()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definition</w:t>
            </w:r>
          </w:p>
        </w:tc>
        <w:tc>
          <w:tcPr/>
          <w:p>
            <w:pPr>
              <w:pStyle w:val="Compact"/>
            </w:pPr>
            <w:r>
              <w:t xml:space="preserve">Rescue.Co EMS transport (A = 1) vs. other ambulance services (A = 0) at index</w:t>
            </w:r>
          </w:p>
        </w:tc>
        <w:tc>
          <w:tcPr/>
          <w:p>
            <w:pPr>
              <w:pStyle w:val="Compact"/>
            </w:pPr>
            <w:r>
              <w:t xml:space="preserve">Locked in</w:t>
            </w:r>
            <w:r>
              <w:t xml:space="preserve"> </w:t>
            </w:r>
            <w:r>
              <w:rPr>
                <w:rStyle w:val="VerbatimChar"/>
              </w:rPr>
              <w:t xml:space="preserve">identify_treatment()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group</w:t>
            </w:r>
          </w:p>
        </w:tc>
        <w:tc>
          <w:tcPr/>
          <w:p>
            <w:pPr>
              <w:pStyle w:val="Compact"/>
            </w:pPr>
            <w:r>
              <w:t xml:space="preserve">Other ambulance services at the same hospitals during the same period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 window</w:t>
            </w:r>
          </w:p>
        </w:tc>
        <w:tc>
          <w:tcPr/>
          <w:p>
            <w:pPr>
              <w:pStyle w:val="Compact"/>
            </w:pPr>
            <w:r>
              <w:t xml:space="preserve">2018 to 2024 trauma transports, direct-from-scene only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Covariate window</w:t>
            </w:r>
          </w:p>
        </w:tc>
        <w:tc>
          <w:tcPr/>
          <w:p>
            <w:pPr>
              <w:pStyle w:val="Compact"/>
            </w:pPr>
            <w:r>
              <w:t xml:space="preserve">At or before index (no post-index covariates)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window</w:t>
            </w:r>
          </w:p>
        </w:tc>
        <w:tc>
          <w:tcPr/>
          <w:p>
            <w:pPr>
              <w:pStyle w:val="Compact"/>
            </w:pPr>
            <w:r>
              <w:t xml:space="preserve">6 months from index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definition</w:t>
            </w:r>
          </w:p>
        </w:tc>
        <w:tc>
          <w:tcPr/>
          <w:p>
            <w:pPr>
              <w:pStyle w:val="Compact"/>
            </w:pPr>
            <w:r>
              <w:t xml:space="preserve">GOSE &gt; 4 at 6 months (good functional outcome)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Missingness / censoring definition</w:t>
            </w:r>
          </w:p>
        </w:tc>
        <w:tc>
          <w:tcPr/>
          <w:p>
            <w:pPr>
              <w:pStyle w:val="Compact"/>
            </w:pPr>
            <w:r>
              <w:t xml:space="preserve">Missing 6-month GOSE = missingness; primary complete-outcome with IPCW sensitivity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switching / discontinuation</w:t>
            </w:r>
          </w:p>
        </w:tc>
        <w:tc>
          <w:tcPr/>
          <w:p>
            <w:pPr>
              <w:pStyle w:val="Compact"/>
            </w:pPr>
            <w:r>
              <w:t xml:space="preserve">Not applicable (point exposure at scene)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end of follow-up</w:t>
            </w:r>
          </w:p>
        </w:tc>
        <w:tc>
          <w:tcPr/>
          <w:p>
            <w:pPr>
              <w:pStyle w:val="Compact"/>
            </w:pPr>
            <w:r>
              <w:t xml:space="preserve">Fixed at 6 months; no admin censoring before that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Excluded intercurrent events / transfer groups</w:t>
            </w:r>
          </w:p>
        </w:tc>
        <w:tc>
          <w:tcPr/>
          <w:p>
            <w:pPr>
              <w:pStyle w:val="Compact"/>
            </w:pPr>
            <w:r>
              <w:t xml:space="preserve">Inter-facility transfers excluded; recorded as</w:t>
            </w:r>
            <w:r>
              <w:t xml:space="preserve"> </w:t>
            </w:r>
            <w:r>
              <w:rPr>
                <w:rStyle w:val="VerbatimChar"/>
              </w:rPr>
              <w:t xml:space="preserve">is_transfer</w:t>
            </w:r>
            <w:r>
              <w:t xml:space="preserve"> </w:t>
            </w:r>
            <w:r>
              <w:t xml:space="preserve">for sensitivity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Checkpoint dashboard.</w:t>
      </w:r>
      <w:r>
        <w:t xml:space="preserve"> </w:t>
      </w:r>
      <w:r>
        <w:t xml:space="preserve">The reviewer-facing dashboard summarises</w:t>
      </w:r>
      <w:r>
        <w:t xml:space="preserve"> </w:t>
      </w:r>
      <w:r>
        <w:t xml:space="preserve">the evidence available at each checkpoint and whether the decision</w:t>
      </w:r>
      <w:r>
        <w:t xml:space="preserve"> </w:t>
      </w:r>
      <w:r>
        <w:t xml:space="preserve">is software-enforced (driven by a prespecified threshold the</w:t>
      </w:r>
      <w:r>
        <w:t xml:space="preserve"> </w:t>
      </w:r>
      <w:r>
        <w:t xml:space="preserve">package evaluates automatically) or rests on reviewer judgment.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Evidence used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Reviewer interpretation</w:t>
            </w:r>
          </w:p>
        </w:tc>
        <w:tc>
          <w:tcPr/>
          <w:p>
            <w:pPr>
              <w:pStyle w:val="Compact"/>
            </w:pPr>
            <w:r>
              <w:t xml:space="preserve">Software-enforced vs reviewer-judgment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0 protocol/setup</w:t>
            </w:r>
          </w:p>
        </w:tc>
        <w:tc>
          <w:tcPr/>
          <w:p>
            <w:pPr>
              <w:pStyle w:val="Compact"/>
            </w:pPr>
            <w:r>
              <w:t xml:space="preserve">Target-trial timing table, SAP, lock fingerprint</w:t>
            </w:r>
          </w:p>
        </w:tc>
        <w:tc>
          <w:tcPr/>
          <w:p>
            <w:pPr>
              <w:pStyle w:val="Compact"/>
            </w:pPr>
            <w:r>
              <w:t xml:space="preserve">All design elements specified before data access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Cohort and estimand definitions complete</w:t>
            </w:r>
          </w:p>
        </w:tc>
        <w:tc>
          <w:tcPr/>
          <w:p>
            <w:pPr>
              <w:pStyle w:val="Compact"/>
            </w:pPr>
            <w:r>
              <w:t xml:space="preserve">Reviewer-judgment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1b cohort adequacy and event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checkpoint_cohort_adequacy()</w:t>
            </w:r>
            <w:r>
              <w:t xml:space="preserve"> </w:t>
            </w:r>
            <w:r>
              <w:t xml:space="preserve">output, attrition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min_n_per_arm</w:t>
            </w:r>
            <w:r>
              <w:t xml:space="preserve"> </w:t>
            </w:r>
            <w:r>
              <w:t xml:space="preserve">= 200,</w:t>
            </w:r>
            <w:r>
              <w:t xml:space="preserve"> </w:t>
            </w:r>
            <w:r>
              <w:rPr>
                <w:rStyle w:val="VerbatimChar"/>
              </w:rPr>
              <w:t xml:space="preserve">min_events</w:t>
            </w:r>
            <w:r>
              <w:t xml:space="preserve"> </w:t>
            </w:r>
            <w:r>
              <w:t xml:space="preserve">= 50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Adequate cohort for the prespecified estimand</w:t>
            </w:r>
          </w:p>
        </w:tc>
        <w:tc>
          <w:tcPr/>
          <w:p>
            <w:pPr>
              <w:pStyle w:val="Compact"/>
            </w:pPr>
            <w:r>
              <w:t xml:space="preserve">Software-enforced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2a overlap, balance, ESS, weight stability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compute_ps_diagnostics()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love_plot_threeway()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clean_weight_diagnostics()</w:t>
            </w:r>
          </w:p>
        </w:tc>
        <w:tc>
          <w:tcPr/>
          <w:p>
            <w:pPr>
              <w:pStyle w:val="Compact"/>
            </w:pPr>
            <w:r>
              <w:t xml:space="preserve">PS in [0.01, 0.99]; max-SMD &lt;= 0.10 after weighting; max weight &lt;= 10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Positivity and balance acceptable for full-cohort target</w:t>
            </w:r>
          </w:p>
        </w:tc>
        <w:tc>
          <w:tcPr/>
          <w:p>
            <w:pPr>
              <w:pStyle w:val="Compact"/>
            </w:pPr>
            <w:r>
              <w:t xml:space="preserve">Software-enforced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2b baseline plasmode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run_plasmode_feasibility()</w:t>
            </w:r>
            <w:r>
              <w:t xml:space="preserve"> </w:t>
            </w:r>
            <w:r>
              <w:t xml:space="preserve">bias 0.001, coverage 0.94</w:t>
            </w:r>
          </w:p>
        </w:tc>
        <w:tc>
          <w:tcPr/>
          <w:p>
            <w:pPr>
              <w:pStyle w:val="Compact"/>
            </w:pPr>
            <w:r>
              <w:t xml:space="preserve">bias &lt;= 0.01, coverage &gt;= 0.90, SE/SD in (0.8, 1.2)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Candidate operates within prespecified envelope</w:t>
            </w:r>
          </w:p>
        </w:tc>
        <w:tc>
          <w:tcPr/>
          <w:p>
            <w:pPr>
              <w:pStyle w:val="Compact"/>
            </w:pPr>
            <w:r>
              <w:t xml:space="preserve">Software-enforced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2c DQ stress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run_plasmode_dq_stress()</w:t>
            </w:r>
            <w:r>
              <w:t xml:space="preserve"> </w:t>
            </w:r>
            <w:r>
              <w:t xml:space="preserve">minimax rule</w:t>
            </w:r>
          </w:p>
        </w:tc>
        <w:tc>
          <w:tcPr/>
          <w:p>
            <w:pPr>
              <w:pStyle w:val="Compact"/>
            </w:pPr>
            <w:r>
              <w:t xml:space="preserve">Each scenario within thresholds across severities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(reported on the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reps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t xml:space="preserve"> </w:t>
            </w:r>
            <w:r>
              <w:t xml:space="preserve">run; the bundled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reps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configuration is a CI smoke test)</w:t>
            </w:r>
          </w:p>
        </w:tc>
        <w:tc>
          <w:tcPr/>
          <w:p>
            <w:pPr>
              <w:pStyle w:val="Compact"/>
            </w:pPr>
            <w:r>
              <w:t xml:space="preserve">Selected candidate is stable across the prespecified threats at 200 replicates</w:t>
            </w:r>
          </w:p>
        </w:tc>
        <w:tc>
          <w:tcPr/>
          <w:p>
            <w:pPr>
              <w:pStyle w:val="Compact"/>
            </w:pPr>
            <w:r>
              <w:t xml:space="preserve">Software-enforced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 negative controls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run_residual_confounding_stage()</w:t>
            </w:r>
            <w:r>
              <w:t xml:space="preserve"> </w:t>
            </w:r>
            <w:r>
              <w:t xml:space="preserve">(2 of 5 NCs survived NZV; both pass)</w:t>
            </w:r>
          </w:p>
        </w:tc>
        <w:tc>
          <w:tcPr/>
          <w:p>
            <w:pPr>
              <w:pStyle w:val="Compact"/>
            </w:pPr>
            <w:r>
              <w:t xml:space="preserve">All analysed NCs pass at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= 0.05</w:t>
            </w:r>
          </w:p>
        </w:tc>
        <w:tc>
          <w:tcPr/>
          <w:p>
            <w:pPr>
              <w:pStyle w:val="Compact"/>
            </w:pPr>
            <w:r>
              <w:t xml:space="preserve">GO with FLAG</w:t>
            </w:r>
          </w:p>
        </w:tc>
        <w:tc>
          <w:tcPr/>
          <w:p>
            <w:pPr>
              <w:pStyle w:val="Compact"/>
            </w:pPr>
            <w:r>
              <w:t xml:space="preserve">Narrower NC panel than SAP; residual-confounding probe partial</w:t>
            </w:r>
          </w:p>
        </w:tc>
        <w:tc>
          <w:tcPr/>
          <w:p>
            <w:pPr>
              <w:pStyle w:val="Compact"/>
            </w:pPr>
            <w:r>
              <w:t xml:space="preserve">Reviewer-judgment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authorisation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authorize_outcome_analysis()</w:t>
            </w:r>
            <w:r>
              <w:t xml:space="preserve"> </w:t>
            </w:r>
            <w:r>
              <w:t xml:space="preserve">returns GO</w:t>
            </w:r>
          </w:p>
        </w:tc>
        <w:tc>
          <w:tcPr/>
          <w:p>
            <w:pPr>
              <w:pStyle w:val="Compact"/>
            </w:pPr>
            <w:r>
              <w:t xml:space="preserve">All preceding checkpoints GO or documented FLAG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Proceed to locked primary analysis</w:t>
            </w:r>
          </w:p>
        </w:tc>
        <w:tc>
          <w:tcPr/>
          <w:p>
            <w:pPr>
              <w:pStyle w:val="Compact"/>
            </w:pPr>
            <w:r>
              <w:t xml:space="preserve">Software-enforced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Decision-log example (illustrative).</w:t>
      </w:r>
      <w:r>
        <w:t xml:space="preserve"> </w:t>
      </w:r>
      <w:r>
        <w:t xml:space="preserve">The following rows are</w:t>
      </w:r>
      <w:r>
        <w:t xml:space="preserve"> </w:t>
      </w:r>
      <w:r>
        <w:t xml:space="preserve">illustrative entries in the format produced by</w:t>
      </w:r>
      <w:r>
        <w:t xml:space="preserve"> </w:t>
      </w:r>
      <w:r>
        <w:rPr>
          <w:rStyle w:val="VerbatimChar"/>
        </w:rPr>
        <w:t xml:space="preserve">export_decision_log()</w:t>
      </w:r>
      <w:r>
        <w:t xml:space="preserve">. They are not the literal log; they show</w:t>
      </w:r>
      <w:r>
        <w:t xml:space="preserve"> </w:t>
      </w:r>
      <w:r>
        <w:t xml:space="preserve">the structure a reviewer would read for each prespecified or</w:t>
      </w:r>
      <w:r>
        <w:t xml:space="preserve"> </w:t>
      </w:r>
      <w:r>
        <w:t xml:space="preserve">deviation entry.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diagnostic or issue</w:t>
            </w:r>
          </w:p>
        </w:tc>
        <w:tc>
          <w:tcPr/>
          <w:p>
            <w:pPr>
              <w:pStyle w:val="Compact"/>
            </w:pPr>
            <w:r>
              <w:t xml:space="preserve">prespecified criterion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reviewer role</w:t>
            </w:r>
          </w:p>
        </w:tc>
        <w:tc>
          <w:tcPr/>
          <w:p>
            <w:pPr>
              <w:pStyle w:val="Compact"/>
            </w:pPr>
            <w:r>
              <w:t xml:space="preserve">effect estimate visible?</w:t>
            </w:r>
          </w:p>
        </w:tc>
        <w:tc>
          <w:tcPr/>
          <w:p>
            <w:pPr>
              <w:pStyle w:val="Compact"/>
            </w:pPr>
            <w:r>
              <w:t xml:space="preserve">action taken</w:t>
            </w:r>
          </w:p>
        </w:tc>
        <w:tc>
          <w:tcPr/>
          <w:p>
            <w:pPr>
              <w:pStyle w:val="Compact"/>
            </w:pPr>
            <w:r>
              <w:t xml:space="preserve">override?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2026-01-12 09:14</w:t>
            </w:r>
          </w:p>
        </w:tc>
        <w:tc>
          <w:tcPr/>
          <w:p>
            <w:pPr>
              <w:pStyle w:val="Compact"/>
            </w:pPr>
            <w:r>
              <w:t xml:space="preserve">Stage 2a</w:t>
            </w:r>
          </w:p>
        </w:tc>
        <w:tc>
          <w:tcPr/>
          <w:p>
            <w:pPr>
              <w:pStyle w:val="Compact"/>
            </w:pPr>
            <w:r>
              <w:t xml:space="preserve">Three NCs failed NZV filter</w:t>
            </w:r>
          </w:p>
        </w:tc>
        <w:tc>
          <w:tcPr/>
          <w:p>
            <w:pPr>
              <w:pStyle w:val="Compact"/>
            </w:pPr>
            <w:r>
              <w:t xml:space="preserve">NZV check at lock-fingerprint covariate set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Drop the three NCs; record narrower panel</w:t>
            </w:r>
          </w:p>
        </w:tc>
        <w:tc>
          <w:tcPr/>
          <w:p>
            <w:pPr>
              <w:pStyle w:val="Compact"/>
            </w:pPr>
            <w:r>
              <w:t xml:space="preserve">Lead analyst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Continue with 2 surviving NCs; note as limitation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2026-01-12 11:02</w:t>
            </w:r>
          </w:p>
        </w:tc>
        <w:tc>
          <w:tcPr/>
          <w:p>
            <w:pPr>
              <w:pStyle w:val="Compact"/>
            </w:pPr>
            <w:r>
              <w:t xml:space="preserve">Stage 2c</w:t>
            </w:r>
          </w:p>
        </w:tc>
        <w:tc>
          <w:tcPr/>
          <w:p>
            <w:pPr>
              <w:pStyle w:val="Compact"/>
            </w:pPr>
            <w:r>
              <w:t xml:space="preserve">DQ stress reported at</w:t>
            </w:r>
            <w:r>
              <w:t xml:space="preserve"> </w:t>
            </w:r>
            <w:r>
              <w:rPr>
                <w:rStyle w:val="VerbatimChar"/>
              </w:rPr>
              <w:t xml:space="preserve">n_sims =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n_sims</w:t>
            </w:r>
            <w:r>
              <w:t xml:space="preserve"> </w:t>
            </w:r>
            <w:r>
              <w:t xml:space="preserve">&gt;= 200 for inferential interpretation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Report the 200-replicate run; the bundled</w:t>
            </w:r>
            <w:r>
              <w:t xml:space="preserve"> </w:t>
            </w:r>
            <w:r>
              <w:rPr>
                <w:rStyle w:val="VerbatimChar"/>
              </w:rPr>
              <w:t xml:space="preserve">n_sims = 3</w:t>
            </w:r>
            <w:r>
              <w:t xml:space="preserve"> </w:t>
            </w:r>
            <w:r>
              <w:t xml:space="preserve">configuration is a CI smoke test only</w:t>
            </w:r>
          </w:p>
        </w:tc>
        <w:tc>
          <w:tcPr/>
          <w:p>
            <w:pPr>
              <w:pStyle w:val="Compact"/>
            </w:pPr>
            <w:r>
              <w:t xml:space="preserve">Lead analyst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  <w:r>
              <w:t xml:space="preserve"> </w:t>
            </w:r>
            <w:r>
              <w:rPr>
                <w:rStyle w:val="VerbatimChar"/>
              </w:rPr>
              <w:t xml:space="preserve">glm_t01</w:t>
            </w:r>
            <w:r>
              <w:t xml:space="preserve"> </w:t>
            </w:r>
            <w:r>
              <w:t xml:space="preserve">as minimax winner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2026-01-12 14:45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All checkpoints GO or documented FLAG</w:t>
            </w:r>
          </w:p>
        </w:tc>
        <w:tc>
          <w:tcPr/>
          <w:p>
            <w:pPr>
              <w:pStyle w:val="Compact"/>
            </w:pPr>
            <w:r>
              <w:t xml:space="preserve">All preceding stages recorded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Authorise Stage 4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Run locked primary analysis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12"/>
    <w:bookmarkEnd w:id="113"/>
    <w:bookmarkStart w:id="124" w:name="sec-casestudy-dq"/>
    <w:p>
      <w:pPr>
        <w:pStyle w:val="Heading2"/>
      </w:pPr>
      <w:r>
        <w:t xml:space="preserve">12.4 Pre-outcome decision and plasmode results</w:t>
      </w:r>
    </w:p>
    <w:p>
      <w:pPr>
        <w:pStyle w:val="FirstParagraph"/>
      </w:pPr>
      <w:r>
        <w:t xml:space="preserve">The Stage 2b feasibility plasmode metrics on the locked DGP are:</w:t>
      </w:r>
    </w:p>
    <w:p>
      <w:pPr>
        <w:pStyle w:val="TableCaption"/>
      </w:pPr>
      <w:r>
        <w:t xml:space="preserve">Stage 2b feasibility plasmode metrics (rescueCo lock, 50</w:t>
      </w:r>
      <w:r>
        <w:t xml:space="preserve"> </w:t>
      </w:r>
      <w:r>
        <w:t xml:space="preserve">replicates per candidate, additive risk-difference effect of 0.05).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ge 2b feasibility plasmode metrics (rescueCo lock, 50 replicates per candidate, additive risk-difference effect of 0.05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SE/SD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glm_t01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glm_t05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Both candidates pass the prespecified decision targets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max_abs_bias = 0.01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min_coverage = 0.90</w:t>
      </w:r>
      <w:r>
        <w:t xml:space="preserve">,</w:t>
      </w:r>
      <w:r>
        <w:t xml:space="preserve"> </w:t>
      </w:r>
      <w:r>
        <w:rPr>
          <w:rStyle w:val="VerbatimChar"/>
        </w:rPr>
        <w:t xml:space="preserve">se_sd_window = (0.8, 1.2)</w:t>
      </w:r>
      <w:r>
        <w:t xml:space="preserve">); the two truncation thresholds</w:t>
      </w:r>
      <w:r>
        <w:t xml:space="preserve"> </w:t>
      </w:r>
      <w:r>
        <w:t xml:space="preserve">produce indistinguishable performance because the propensity</w:t>
      </w:r>
      <w:r>
        <w:t xml:space="preserve"> </w:t>
      </w:r>
      <w:r>
        <w:t xml:space="preserve">scores stay well inside the [0.01, 0.99] bounds (range</w:t>
      </w:r>
      <w:r>
        <w:t xml:space="preserve"> </w:t>
      </w:r>
      <w:r>
        <w:t xml:space="preserve">0.21–0.81). This grid does not separate the candidates, as in the</w:t>
      </w:r>
      <w:r>
        <w:t xml:space="preserve"> </w:t>
      </w:r>
      <w:r>
        <w:t xml:space="preserve">main simulation.</w:t>
      </w:r>
      <w:r>
        <w:t xml:space="preserve"> </w:t>
      </w:r>
      <w:hyperlink w:anchor="sec-divergence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reports a constructed grid that</w:t>
      </w:r>
      <w:r>
        <w:t xml:space="preserve"> </w:t>
      </w:r>
      <w:r>
        <w:t xml:space="preserve">does separate them, where the two selection rules choose different</w:t>
      </w:r>
      <w:r>
        <w:t xml:space="preserve"> </w:t>
      </w:r>
      <w:r>
        <w:t xml:space="preserve">candidates.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Rescue.Co Stage 2a balance. Standardised mean differences across 21 retained baseline covariates before and after PS matching. PS propensity scores stay inside [0.01, 0.99] (range 0.21 to 0.81), and SMDs after matching are within the prespecified 0.10 envelope for the matched-cohort target population." title="" id="115" name="Picture"/>
            <a:graphic>
              <a:graphicData uri="http://schemas.openxmlformats.org/drawingml/2006/picture">
                <pic:pic>
                  <pic:nvPicPr>
                    <pic:cNvPr descr="../rescueCo/results/love_plot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Rescue.Co Stage 2a balance. Standardised mean differences across 21 retained baseline covariates before and after PS matching. PS propensity scores stay inside [0.01, 0.99] (range 0.21 to 0.81), and SMDs after matching are within the prespecified 0.10 envelope for the matched-cohort target population.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Rescue.Co Stage 2a three-way Love plot: standardised mean differences before any adjustment (unweighted), after PS matching, and after stabilised IPTW. The three-way view documents which covariates remain imbalanced under each weighting strategy and clarifies that the matched-cohort target population is not the same as the full-cohort target population recovered by IPTW or full-cohort TMLE." title="" id="118" name="Picture"/>
            <a:graphic>
              <a:graphicData uri="http://schemas.openxmlformats.org/drawingml/2006/picture">
                <pic:pic>
                  <pic:nvPicPr>
                    <pic:cNvPr descr="../rescueCo/results/weighted_love_plot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Rescue.Co Stage 2a three-way Love plot: standardised mean differences before any adjustment (unweighted), after PS matching, and after stabilised IPTW. The three-way view documents which covariates remain imbalanced under each weighting strategy and clarifies that the matched-cohort target population is not the same as the full-cohort target population recovered by IPTW or full-cohort TMLE.</w:t>
      </w:r>
    </w:p>
    <w:p>
      <w:pPr>
        <w:pStyle w:val="BodyText"/>
      </w:pPr>
      <w:r>
        <w:t xml:space="preserve">The treatment- and IPCW-weight distributions are reported as</w:t>
      </w:r>
      <w:r>
        <w:t xml:space="preserve"> </w:t>
      </w:r>
      <w:r>
        <w:t xml:space="preserve">diagnostic objects: mean, SD, 99th percentile, maximum, and Kish</w:t>
      </w:r>
      <w:r>
        <w:t xml:space="preserve"> </w:t>
      </w:r>
      <w:r>
        <w:t xml:space="preserve">ESS for each weight type, with the prespecified instability flags</w:t>
      </w:r>
      <w:r>
        <w:t xml:space="preserve"> </w:t>
      </w:r>
      <w:r>
        <w:t xml:space="preserve">in the weight-diagnostics table above. The stabilised treatment</w:t>
      </w:r>
      <w:r>
        <w:t xml:space="preserve"> </w:t>
      </w:r>
      <w:r>
        <w:t xml:space="preserve">weights do not exceed the prespecified maximum (10) and combined</w:t>
      </w:r>
      <w:r>
        <w:t xml:space="preserve"> </w:t>
      </w:r>
      <w:r>
        <w:t xml:space="preserve">treatment-times-IPCW weights remain within the (15, 30 % ESS)</w:t>
      </w:r>
      <w:r>
        <w:t xml:space="preserve"> </w:t>
      </w:r>
      <w:r>
        <w:t xml:space="preserve">envelope for the IPCW row. The Stage 2c DQ stress test sweeps the four threats</w:t>
      </w:r>
      <w:r>
        <w:t xml:space="preserve"> </w:t>
      </w:r>
      <w:r>
        <w:t xml:space="preserve">over the candidate grid, and the minimax rule locks</w:t>
      </w:r>
      <w:r>
        <w:t xml:space="preserve"> </w:t>
      </w:r>
      <w:r>
        <w:rPr>
          <w:rStyle w:val="VerbatimChar"/>
        </w:rPr>
        <w:t xml:space="preserve">glm_t01</w:t>
      </w:r>
      <w:r>
        <w:t xml:space="preserve"> </w:t>
      </w:r>
      <w:r>
        <w:t xml:space="preserve">as the</w:t>
      </w:r>
      <w:r>
        <w:t xml:space="preserve"> </w:t>
      </w:r>
      <w:r>
        <w:t xml:space="preserve">primary specification. The reported result uses the 200-replicate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inst/extdata/rescueco_dq_full.R</w:t>
      </w:r>
      <w:r>
        <w:t xml:space="preserve">, see</w:t>
      </w:r>
      <w:r>
        <w:t xml:space="preserve"> </w:t>
      </w:r>
      <w:hyperlink w:anchor="sec-reproducibility">
        <w:r>
          <w:rPr>
            <w:rStyle w:val="Hyperlink"/>
          </w:rPr>
          <w:t xml:space="preserve">Section 15</w:t>
        </w:r>
      </w:hyperlink>
      <w:r>
        <w:t xml:space="preserve">). The</w:t>
      </w:r>
      <w:r>
        <w:t xml:space="preserve"> </w:t>
      </w:r>
      <w:r>
        <w:t xml:space="preserve">3-replicate configuration bundled with the package is a</w:t>
      </w:r>
      <w:r>
        <w:t xml:space="preserve"> </w:t>
      </w:r>
      <w:r>
        <w:t xml:space="preserve">continuous-integration smoke test and is not used for inference.</w:t>
      </w:r>
      <w:r>
        <w:t xml:space="preserve"> </w:t>
      </w:r>
      <w:r>
        <w:t xml:space="preserve">Negative controls run at Stage 3 on the locked PS:</w:t>
      </w:r>
    </w:p>
    <w:p>
      <w:pPr>
        <w:pStyle w:val="TableCaption"/>
      </w:pPr>
      <w:r>
        <w:t xml:space="preserve">Stage 3 negative-control TMLE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ge 3 negative-control TMLE result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Negative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hypertension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nc-attrition"/>
          <w:p>
            <w:pPr>
              <w:pStyle w:val="Compact"/>
              <w:jc w:val="center"/>
            </w:pPr>
            <w:r>
              <w:drawing>
                <wp:inline>
                  <wp:extent cx="4267200" cy="40005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figures/fig-nc-attrition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Negative-control attrition. Five negative-control endpoints were prespecified in the SAP. Three were dropped at the data-sanitisation step because they failed near-zero-variance (NZV) filtering on the locked cohort. The two surviving NCs (chronic_hypertension, household_urban) carried enough variation to fit a stable PS-adjusted model and both passed. The residual-confounding probe therefore rests on a narrower NC panel than originally specified; the audit log records the drops.</w:t>
            </w:r>
          </w:p>
          <w:bookmarkEnd w:id="123"/>
        </w:tc>
      </w:tr>
    </w:tbl>
    <w:p>
      <w:pPr>
        <w:pStyle w:val="BodyText"/>
      </w:pPr>
      <w:r>
        <w:t xml:space="preserve">Demonstrated in this case study: cohort flow, event counts,</w:t>
      </w:r>
      <w:r>
        <w:t xml:space="preserve"> </w:t>
      </w:r>
      <w:r>
        <w:t xml:space="preserve">missingness summary, PS overlap, three-way Love plot, weight</w:t>
      </w:r>
      <w:r>
        <w:t xml:space="preserve"> </w:t>
      </w:r>
      <w:r>
        <w:t xml:space="preserve">diagnostics, ESS, negative-control attrition, baseline plasmode</w:t>
      </w:r>
      <w:r>
        <w:t xml:space="preserve"> </w:t>
      </w:r>
      <w:r>
        <w:t xml:space="preserve">results, DQ stress-test results, authorisation gate. Not yet</w:t>
      </w:r>
      <w:r>
        <w:t xml:space="preserve"> </w:t>
      </w:r>
      <w:r>
        <w:t xml:space="preserve">implemented in this release: native competing-risk</w:t>
      </w:r>
      <w:r>
        <w:t xml:space="preserve"> </w:t>
      </w:r>
      <w:r>
        <w:t xml:space="preserve">cumulative-incidence estimands, time-varying treatment, MAR/MNAR</w:t>
      </w:r>
      <w:r>
        <w:t xml:space="preserve"> </w:t>
      </w:r>
      <w:r>
        <w:t xml:space="preserve">missingness models, full-cohort Delta-path IPCW-TMLE (the</w:t>
      </w:r>
      <w:r>
        <w:t xml:space="preserve"> </w:t>
      </w:r>
      <w:r>
        <w:t xml:space="preserve">function falls back to weighted complete-case), and the</w:t>
      </w:r>
      <w:r>
        <w:t xml:space="preserve"> </w:t>
      </w:r>
      <w:r>
        <w:t xml:space="preserve">matched-vs-full plasmode diagnostic that would disambiguate</w:t>
      </w:r>
      <w:r>
        <w:t xml:space="preserve"> </w:t>
      </w:r>
      <w:r>
        <w:t xml:space="preserve">whether the 0.5-to-1 percentage-point gap between the matched</w:t>
      </w:r>
      <w:r>
        <w:t xml:space="preserve"> </w:t>
      </w:r>
      <w:r>
        <w:t xml:space="preserve">(RD = 0.026) and full-cohort (RD = 0.031) TMLE estimates is</w:t>
      </w:r>
      <w:r>
        <w:t xml:space="preserve"> </w:t>
      </w:r>
      <w:r>
        <w:t xml:space="preserve">sampling noise plus the efficiency cost of matching, an effect-</w:t>
      </w:r>
      <w:r>
        <w:t xml:space="preserve"> </w:t>
      </w:r>
      <w:r>
        <w:t xml:space="preserve">modification signal, or a positivity-strain signal. That</w:t>
      </w:r>
      <w:r>
        <w:t xml:space="preserve"> </w:t>
      </w:r>
      <w:r>
        <w:t xml:space="preserve">diagnostic is on the cleanTMLE 0.2 roadmap.</w:t>
      </w:r>
    </w:p>
    <w:p>
      <w:pPr>
        <w:pStyle w:val="BodyText"/>
      </w:pPr>
      <w:r>
        <w:t xml:space="preserve">At the pre-outcome decision point (</w:t>
      </w:r>
      <w:r>
        <w:rPr>
          <w:rStyle w:val="VerbatimChar"/>
        </w:rPr>
        <w:t xml:space="preserve">authorize_outcome_analysis()</w:t>
      </w:r>
      <w:r>
        <w:t xml:space="preserve">),</w:t>
      </w:r>
      <w:r>
        <w:t xml:space="preserve"> </w:t>
      </w:r>
      <w:r>
        <w:t xml:space="preserve">the two passing negative controls and the plasmode metrics support</w:t>
      </w:r>
      <w:r>
        <w:t xml:space="preserve"> </w:t>
      </w:r>
      <w:r>
        <w:t xml:space="preserve">a GO classification. Three of the five prespecified</w:t>
      </w:r>
      <w:r>
        <w:t xml:space="preserve"> </w:t>
      </w:r>
      <w:r>
        <w:t xml:space="preserve">negative-control endpoints (</w:t>
      </w:r>
      <w:r>
        <w:rPr>
          <w:rStyle w:val="VerbatimChar"/>
        </w:rPr>
        <w:t xml:space="preserve">chronic_diabetes_insulin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chronic_hiv_art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fuel_wood</w:t>
      </w:r>
      <w:r>
        <w:t xml:space="preserve">) were dropped from the NC</w:t>
      </w:r>
      <w:r>
        <w:t xml:space="preserve"> </w:t>
      </w:r>
      <w:r>
        <w:t xml:space="preserve">analysis at the data-sanitisation step because they failed</w:t>
      </w:r>
      <w:r>
        <w:t xml:space="preserve"> </w:t>
      </w:r>
      <w:r>
        <w:t xml:space="preserve">near-zero-variance filtering on the locked cohort; only</w:t>
      </w:r>
      <w:r>
        <w:t xml:space="preserve"> </w:t>
      </w:r>
      <w:r>
        <w:rPr>
          <w:rStyle w:val="VerbatimChar"/>
        </w:rPr>
        <w:t xml:space="preserve">chronic_hypertension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household_urban</w:t>
      </w:r>
      <w:r>
        <w:t xml:space="preserve"> </w:t>
      </w:r>
      <w:r>
        <w:t xml:space="preserve">carried enough</w:t>
      </w:r>
      <w:r>
        <w:t xml:space="preserve"> </w:t>
      </w:r>
      <w:r>
        <w:t xml:space="preserve">variation to fit a stable PS-adjusted model. The audit log records the three drops alongside</w:t>
      </w:r>
      <w:r>
        <w:t xml:space="preserve"> </w:t>
      </w:r>
      <w:r>
        <w:t xml:space="preserve">the two passing checkpoints, and the residual-confounding argument</w:t>
      </w:r>
      <w:r>
        <w:t xml:space="preserve"> </w:t>
      </w:r>
      <w:r>
        <w:t xml:space="preserve">in this study therefore rests on a narrower NC panel than the</w:t>
      </w:r>
      <w:r>
        <w:t xml:space="preserve"> </w:t>
      </w:r>
      <w:r>
        <w:t xml:space="preserve">SAP originally specified. The analysis is then unmasked and the</w:t>
      </w:r>
      <w:r>
        <w:t xml:space="preserve"> </w:t>
      </w:r>
      <w:r>
        <w:t xml:space="preserve">outcome-analysis functions run.</w:t>
      </w:r>
    </w:p>
    <w:bookmarkEnd w:id="124"/>
    <w:bookmarkStart w:id="125" w:name="effect-estimates"/>
    <w:p>
      <w:pPr>
        <w:pStyle w:val="Heading2"/>
      </w:pPr>
      <w:r>
        <w:t xml:space="preserve">12.5 Effect estimates</w:t>
      </w:r>
    </w:p>
    <w:p>
      <w:pPr>
        <w:pStyle w:val="TableCaption"/>
      </w:pPr>
      <w:r>
        <w:t xml:space="preserve">Risk-difference estimates from six methods applied to the rescueCo binary outcome (good functional outcome at 6 months, GOSE &gt; 4), produced under cleanTMLE 0.1.1. The IPCW-TMLE row uses a weighted complete-case implementation; see the text for details.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isk-difference estimates from six methods applied to the rescueCo binary outcome (good functional outcome at 6 months, GOSE &gt; 4), produced under cleanTMLE 0.1.1. The IPCW-TMLE row uses a weighted complete-case implementation; see the text for details."/>
      </w:tblPr>
      <w:tblGrid>
        <w:gridCol w:w="2262"/>
        <w:gridCol w:w="4129"/>
        <w:gridCol w:w="282"/>
        <w:gridCol w:w="396"/>
        <w:gridCol w:w="452"/>
        <w:gridCol w:w="3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population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 (unadjusted)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Complete-outcome 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subset (overlap)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IPTW (stabilised)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eligible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Full-cohort TMLE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eligible cohort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Matched-cohort TMLE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subset (overlap)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Complete-outcome TMLE with IPCW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Complete-outcome rows, weighted toward the full-cohort marginal 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0.0656</w:t>
            </w:r>
          </w:p>
        </w:tc>
      </w:tr>
    </w:tbl>
    <w:p>
      <w:pPr>
        <w:pStyle w:val="BodyText"/>
      </w:pPr>
      <w:r>
        <w:t xml:space="preserve">The six estimators agree on direction. The crude unadjusted</w:t>
      </w:r>
      <w:r>
        <w:t xml:space="preserve"> </w:t>
      </w:r>
      <w:r>
        <w:t xml:space="preserve">contrast (RD = 0.037) and the stabilised IPTW (RD = 0.037) sit at</w:t>
      </w:r>
      <w:r>
        <w:t xml:space="preserve"> </w:t>
      </w:r>
      <w:r>
        <w:t xml:space="preserve">the upper end of the range, with 95 % confidence intervals that</w:t>
      </w:r>
      <w:r>
        <w:t xml:space="preserve"> </w:t>
      </w:r>
      <w:r>
        <w:t xml:space="preserve">exclude zero. The simulation-locked full-cohort TMLE (the</w:t>
      </w:r>
      <w:r>
        <w:t xml:space="preserve"> </w:t>
      </w:r>
      <w:r>
        <w:t xml:space="preserve">prespecified primary estimator) returns RD = 0.031 with a 95 % CI</w:t>
      </w:r>
      <w:r>
        <w:t xml:space="preserve"> </w:t>
      </w:r>
      <w:r>
        <w:t xml:space="preserve">that just crosses zero (−0.001, 0.062). The complete-outcome TMLE</w:t>
      </w:r>
      <w:r>
        <w:t xml:space="preserve"> </w:t>
      </w:r>
      <w:r>
        <w:t xml:space="preserve">with IPCW weights, which uses inverse-probability-of-censoring</w:t>
      </w:r>
      <w:r>
        <w:t xml:space="preserve"> </w:t>
      </w:r>
      <w:r>
        <w:t xml:space="preserve">weights to recover the full-cohort marginal contrast under the</w:t>
      </w:r>
      <w:r>
        <w:t xml:space="preserve"> </w:t>
      </w:r>
      <w:r>
        <w:t xml:space="preserve">missingness model, returns RD = 0.033 with a CI that just crosses</w:t>
      </w:r>
      <w:r>
        <w:t xml:space="preserve"> </w:t>
      </w:r>
      <w:r>
        <w:t xml:space="preserve">zero (−0.0004, 0.066). The two matching-based estimators</w:t>
      </w:r>
      <w:r>
        <w:t xml:space="preserve"> </w:t>
      </w:r>
      <w:r>
        <w:t xml:space="preserve">give the smallest point estimates (RD = 0.027 for matched RD</w:t>
      </w:r>
      <w:r>
        <w:t xml:space="preserve"> </w:t>
      </w:r>
      <w:r>
        <w:t xml:space="preserve">without further adjustment; RD = 0.026 for matched-cohort TMLE) and</w:t>
      </w:r>
      <w:r>
        <w:t xml:space="preserve"> </w:t>
      </w:r>
      <w:r>
        <w:t xml:space="preserve">the widest CIs, reflecting the smaller matched-pair samples</w:t>
      </w:r>
      <w:r>
        <w:t xml:space="preserve"> </w:t>
      </w:r>
      <w:r>
        <w:t xml:space="preserve">(n = 615 and n = 1230). The full-cohort TMLE remains the</w:t>
      </w:r>
      <w:r>
        <w:t xml:space="preserve"> </w:t>
      </w:r>
      <w:r>
        <w:t xml:space="preserve">prespecified primary because it is doubly robust and uses the</w:t>
      </w:r>
      <w:r>
        <w:t xml:space="preserve"> </w:t>
      </w:r>
      <w:r>
        <w:t xml:space="preserve">locked propensity-score truncation chosen at Stage 2b on the full</w:t>
      </w:r>
      <w:r>
        <w:t xml:space="preserve"> </w:t>
      </w:r>
      <w:r>
        <w:t xml:space="preserve">cohort; the IPCW-TMLE is the prespecified missing-outcome</w:t>
      </w:r>
      <w:r>
        <w:t xml:space="preserve"> </w:t>
      </w:r>
      <w:r>
        <w:t xml:space="preserve">sensitivity row.</w:t>
      </w:r>
    </w:p>
    <w:p>
      <w:pPr>
        <w:pStyle w:val="BodyText"/>
      </w:pPr>
      <w:r>
        <w:t xml:space="preserve">Following</w:t>
      </w:r>
      <w:r>
        <w:t xml:space="preserve"> </w:t>
      </w:r>
      <w:r>
        <w:t xml:space="preserve">Gruber, Lee, et al. (2024)</w:t>
      </w:r>
      <w:r>
        <w:t xml:space="preserve"> </w:t>
      </w:r>
      <w:r>
        <w:t xml:space="preserve">(Step 5) and</w:t>
      </w:r>
      <w:r>
        <w:t xml:space="preserve"> </w:t>
      </w:r>
      <w:r>
        <w:t xml:space="preserve">Dı́az and Laan (2013)</w:t>
      </w:r>
      <w:r>
        <w:t xml:space="preserve">, we</w:t>
      </w:r>
      <w:r>
        <w:t xml:space="preserve"> </w:t>
      </w:r>
      <w:r>
        <w:t xml:space="preserve">report a tipping-point bound on the simulation-locked full-cohort</w:t>
      </w:r>
      <w:r>
        <w:t xml:space="preserve"> </w:t>
      </w:r>
      <w:r>
        <w:t xml:space="preserve">TMLE estimate via</w:t>
      </w:r>
      <w:r>
        <w:t xml:space="preserve"> </w:t>
      </w:r>
      <w:r>
        <w:rPr>
          <w:rStyle w:val="VerbatimChar"/>
        </w:rPr>
        <w:t xml:space="preserve">tipping_point_sensitivity()</w:t>
      </w:r>
      <w:r>
        <w:t xml:space="preserve">. The lower CI bound</w:t>
      </w:r>
      <w:r>
        <w:t xml:space="preserve"> </w:t>
      </w:r>
      <w:r>
        <w:t xml:space="preserve">sits 0.0012 below zero, so the qualitative conclusion is already</w:t>
      </w:r>
      <w:r>
        <w:t xml:space="preserve"> </w:t>
      </w:r>
      <w:r>
        <w:t xml:space="preserve">that the data are consistent with no effect; the function returns</w:t>
      </w:r>
      <w:r>
        <w:t xml:space="preserve"> </w:t>
      </w:r>
      <w:r>
        <w:t xml:space="preserve">0.0012 as the distance from zero. The IPTW estimate, whose lower</w:t>
      </w:r>
      <w:r>
        <w:t xml:space="preserve"> </w:t>
      </w:r>
      <w:r>
        <w:t xml:space="preserve">bound is 0.0017 above zero, would be flipped through zero by a</w:t>
      </w:r>
      <w:r>
        <w:t xml:space="preserve"> </w:t>
      </w:r>
      <w:r>
        <w:t xml:space="preserve">residual bias of 0.0017 (4.6 % of the IPTW point estimate). The</w:t>
      </w:r>
      <w:r>
        <w:t xml:space="preserve"> </w:t>
      </w:r>
      <w:r>
        <w:t xml:space="preserve">E-value</w:t>
      </w:r>
      <w:r>
        <w:t xml:space="preserve"> </w:t>
      </w:r>
      <w:r>
        <w:t xml:space="preserve">(VanderWeele and Ding 2017)</w:t>
      </w:r>
      <w:r>
        <w:t xml:space="preserve"> </w:t>
      </w:r>
      <w:r>
        <w:t xml:space="preserve">for the full-cohort TMLE is 1.22</w:t>
      </w:r>
      <w:r>
        <w:t xml:space="preserve"> </w:t>
      </w:r>
      <w:r>
        <w:t xml:space="preserve">(CI bound 1.00), small in either case. The qualitative reading is</w:t>
      </w:r>
      <w:r>
        <w:t xml:space="preserve"> </w:t>
      </w:r>
      <w:r>
        <w:t xml:space="preserve">“Rescue.Co transport is consistent with a small favourable shift</w:t>
      </w:r>
      <w:r>
        <w:t xml:space="preserve"> </w:t>
      </w:r>
      <w:r>
        <w:t xml:space="preserve">in functional outcome; the prespecified primary estimator does</w:t>
      </w:r>
      <w:r>
        <w:t xml:space="preserve"> </w:t>
      </w:r>
      <w:r>
        <w:t xml:space="preserve">not confirm the signal under the prespecified workflow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and the analysis proceeded under prespecified</w:t>
      </w:r>
      <w:r>
        <w:t xml:space="preserve"> </w:t>
      </w:r>
      <w:r>
        <w:t xml:space="preserve">diagnostics.”</w:t>
      </w:r>
      <w:r>
        <w:t xml:space="preserve"> </w:t>
      </w:r>
      <w:r>
        <w:t xml:space="preserve">An unmeasured</w:t>
      </w:r>
      <w:r>
        <w:t xml:space="preserve"> </w:t>
      </w:r>
      <w:r>
        <w:t xml:space="preserve">confounder of the strength suggested by the healthcare-worker</w:t>
      </w:r>
      <w:r>
        <w:t xml:space="preserve"> </w:t>
      </w:r>
      <w:r>
        <w:t xml:space="preserve">strike, or by the inter-facility transfer imbalance (40.7 % of</w:t>
      </w:r>
      <w:r>
        <w:t xml:space="preserve"> </w:t>
      </w:r>
      <w:r>
        <w:t xml:space="preserve">non-Rescue.Co versus 2.5 % of Rescue.Co ambulance arrivals were</w:t>
      </w:r>
      <w:r>
        <w:t xml:space="preserve"> </w:t>
      </w:r>
      <w:r>
        <w:t xml:space="preserve">transfers, all excluded from the analytic cohort), would push any</w:t>
      </w:r>
      <w:r>
        <w:t xml:space="preserve"> </w:t>
      </w:r>
      <w:r>
        <w:t xml:space="preserve">of the six estimates further toward null.</w:t>
      </w:r>
    </w:p>
    <w:bookmarkEnd w:id="125"/>
    <w:bookmarkStart w:id="129" w:name="Xc7557c3308f3f2c598231e06131cd13238ac1eb"/>
    <w:p>
      <w:pPr>
        <w:pStyle w:val="Heading2"/>
      </w:pPr>
      <w:r>
        <w:t xml:space="preserve">12.6 What the case study tells us about the workflow</w:t>
      </w:r>
    </w:p>
    <w:bookmarkStart w:id="126" w:name="X4a7de7fd9cca2a3eb7ce1d9546acd05cc50d75c"/>
    <w:p>
      <w:pPr>
        <w:pStyle w:val="Heading3"/>
      </w:pPr>
      <w:r>
        <w:t xml:space="preserve">12.6.1 Prespecification, audit, and the pre-outcome decision</w:t>
      </w:r>
    </w:p>
    <w:p>
      <w:pPr>
        <w:pStyle w:val="FirstParagraph"/>
      </w:pPr>
      <w:r>
        <w:t xml:space="preserve">The decision log captured every prespecified analytic choice</w:t>
      </w:r>
      <w:r>
        <w:t xml:space="preserve"> </w:t>
      </w:r>
      <w:r>
        <w:t xml:space="preserve">(transfer exclusion, GOSE construction, truncation thresholds)</w:t>
      </w:r>
      <w:r>
        <w:t xml:space="preserve"> </w:t>
      </w:r>
      <w:r>
        <w:t xml:space="preserve">with timestamps. Outcome-analysis functions did not run until the</w:t>
      </w:r>
      <w:r>
        <w:t xml:space="preserve"> </w:t>
      </w:r>
      <w:r>
        <w:t xml:space="preserve">prespecified workflow had been completed, and the analysis-lock</w:t>
      </w:r>
      <w:r>
        <w:t xml:space="preserve"> </w:t>
      </w:r>
      <w:r>
        <w:t xml:space="preserve">fingerprint reconciled on every reload. One real gap surfaced: the</w:t>
      </w:r>
      <w:r>
        <w:t xml:space="preserve"> </w:t>
      </w:r>
      <w:r>
        <w:t xml:space="preserve">audit trail did not capture covariates dropped for near-zero</w:t>
      </w:r>
      <w:r>
        <w:t xml:space="preserve"> </w:t>
      </w:r>
      <w:r>
        <w:t xml:space="preserve">variance during data sanitisation, because those drops occurred</w:t>
      </w:r>
      <w:r>
        <w:t xml:space="preserve"> </w:t>
      </w:r>
      <w:r>
        <w:t xml:space="preserve">upstream of the negative-control fits rather than at fit time.</w:t>
      </w:r>
      <w:r>
        <w:t xml:space="preserve"> </w:t>
      </w:r>
      <w:r>
        <w:t xml:space="preserve">The cleanTMLE 0.1.1 fix only partially closes that gap. With that</w:t>
      </w:r>
      <w:r>
        <w:t xml:space="preserve"> </w:t>
      </w:r>
      <w:r>
        <w:t xml:space="preserve">caveat, the prespecification and audit functions performed as</w:t>
      </w:r>
      <w:r>
        <w:t xml:space="preserve"> </w:t>
      </w:r>
      <w:r>
        <w:t xml:space="preserve">described in</w:t>
      </w:r>
      <w:r>
        <w:t xml:space="preserve"> </w:t>
      </w:r>
      <w:hyperlink w:anchor="sec-framework">
        <w:r>
          <w:rPr>
            <w:rStyle w:val="Hyperlink"/>
          </w:rPr>
          <w:t xml:space="preserve">Section 5</w:t>
        </w:r>
      </w:hyperlink>
      <w:r>
        <w:t xml:space="preserve">.</w:t>
      </w:r>
    </w:p>
    <w:bookmarkEnd w:id="126"/>
    <w:bookmarkStart w:id="127" w:name="outcome-blind-plasmode"/>
    <w:p>
      <w:pPr>
        <w:pStyle w:val="Heading3"/>
      </w:pPr>
      <w:r>
        <w:t xml:space="preserve">12.6.2 Outcome-blind plasmode</w:t>
      </w:r>
    </w:p>
    <w:p>
      <w:pPr>
        <w:pStyle w:val="FirstParagraph"/>
      </w:pPr>
      <w:r>
        <w:t xml:space="preserve">Stage 2b feasibility coverage of 0.94 with bias below 0.001 across</w:t>
      </w:r>
      <w:r>
        <w:t xml:space="preserve"> </w:t>
      </w:r>
      <w:r>
        <w:t xml:space="preserve">50 replicates is the kind of design validation a reviewer would</w:t>
      </w:r>
      <w:r>
        <w:t xml:space="preserve"> </w:t>
      </w:r>
      <w:r>
        <w:t xml:space="preserve">want. Stage 2c then runs the full DQ stress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run_plasmode_dq_stress()</w:t>
      </w:r>
      <w:r>
        <w:t xml:space="preserve">) over the four threats and produces a</w:t>
      </w:r>
      <w:r>
        <w:t xml:space="preserve"> </w:t>
      </w:r>
      <w:r>
        <w:t xml:space="preserve">structural pass on each scenario at 200 replicates per threat-severity</w:t>
      </w:r>
      <w:r>
        <w:t xml:space="preserve"> </w:t>
      </w:r>
      <w:r>
        <w:t xml:space="preserve">cell (see</w:t>
      </w:r>
      <w:r>
        <w:t xml:space="preserve"> </w:t>
      </w:r>
      <w:hyperlink w:anchor="sec-reproducibility">
        <w:r>
          <w:rPr>
            <w:rStyle w:val="Hyperlink"/>
          </w:rPr>
          <w:t xml:space="preserve">Section 15</w:t>
        </w:r>
      </w:hyperlink>
      <w:r>
        <w:t xml:space="preserve"> </w:t>
      </w:r>
      <w:r>
        <w:t xml:space="preserve">for the entry point). The four</w:t>
      </w:r>
      <w:r>
        <w:t xml:space="preserve"> </w:t>
      </w:r>
      <w:r>
        <w:t xml:space="preserve">threats encoded by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(covariate MCAR,</w:t>
      </w:r>
      <w:r>
        <w:t xml:space="preserve"> </w:t>
      </w:r>
      <w:r>
        <w:t xml:space="preserve">exposure misclassification, outcome misclassification, latent</w:t>
      </w:r>
      <w:r>
        <w:t xml:space="preserve"> </w:t>
      </w:r>
      <m:oMath>
        <m:r>
          <m:t>U</m:t>
        </m:r>
      </m:oMath>
      <w:r>
        <w:t xml:space="preserve">)</w:t>
      </w:r>
      <w:r>
        <w:t xml:space="preserve"> </w:t>
      </w:r>
      <w:r>
        <w:t xml:space="preserve">do not cover two design challenges that mattered in the rescueCo</w:t>
      </w:r>
      <w:r>
        <w:t xml:space="preserve"> </w:t>
      </w:r>
      <w:r>
        <w:t xml:space="preserve">study, the strike-window confounder and the inter-facility transfer</w:t>
      </w:r>
      <w:r>
        <w:t xml:space="preserve"> </w:t>
      </w:r>
      <w:r>
        <w:t xml:space="preserve">imbalance, which motivates the time-window and MAR / MNAR</w:t>
      </w:r>
      <w:r>
        <w:t xml:space="preserve"> </w:t>
      </w:r>
      <w:r>
        <w:t xml:space="preserve">extensions planned for cleanTMLE 0.2.</w:t>
      </w:r>
    </w:p>
    <w:bookmarkEnd w:id="127"/>
    <w:bookmarkStart w:id="128" w:name="X11b03251d4243965818c23e078e2e7dfe52b4c9"/>
    <w:p>
      <w:pPr>
        <w:pStyle w:val="Heading3"/>
      </w:pPr>
      <w:r>
        <w:t xml:space="preserve">12.6.3 Estimator functions and real-data robustness</w:t>
      </w:r>
    </w:p>
    <w:p>
      <w:pPr>
        <w:pStyle w:val="FirstParagraph"/>
      </w:pPr>
      <w:r>
        <w:t xml:space="preserve">Applying cleanTMLE 0.1.0 to the rescueCo lock surfaced more than a</w:t>
      </w:r>
      <w:r>
        <w:t xml:space="preserve"> </w:t>
      </w:r>
      <w:r>
        <w:t xml:space="preserve">dozen distinct issues, six of them blocking, which the companion</w:t>
      </w:r>
      <w:r>
        <w:t xml:space="preserve"> </w:t>
      </w:r>
      <w:r>
        <w:t xml:space="preserve">0.1.1 release addresses. The marquee problem was that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failed with</w:t>
      </w:r>
      <w:r>
        <w:t xml:space="preserve"> </w:t>
      </w:r>
      <w:r>
        <w:rPr>
          <w:rStyle w:val="VerbatimChar"/>
        </w:rPr>
        <w:t xml:space="preserve">"mu must be a nonempty numeric vector"</w:t>
      </w:r>
      <w:r>
        <w:t xml:space="preserve"> </w:t>
      </w:r>
      <w:r>
        <w:t xml:space="preserve">on a lock with NA in the</w:t>
      </w:r>
      <w:r>
        <w:t xml:space="preserve"> </w:t>
      </w:r>
      <w:r>
        <w:t xml:space="preserve">outcome (now guarded). The step-by-step TMLE functions also refused</w:t>
      </w:r>
      <w:r>
        <w:t xml:space="preserve"> </w:t>
      </w:r>
      <w:r>
        <w:t xml:space="preserve">to fit on NA outcomes (now subset to complete cases with an MCAR</w:t>
      </w:r>
      <w:r>
        <w:t xml:space="preserve"> </w:t>
      </w:r>
      <w:r>
        <w:t xml:space="preserve">warning);</w:t>
      </w:r>
      <w:r>
        <w:t xml:space="preserve"> </w:t>
      </w:r>
      <w:r>
        <w:rPr>
          <w:rStyle w:val="VerbatimChar"/>
        </w:rPr>
        <w:t xml:space="preserve">fit_ps_superlearner()</w:t>
      </w:r>
      <w:r>
        <w:t xml:space="preserve"> </w:t>
      </w:r>
      <w:r>
        <w:t xml:space="preserve">crashed on stale parallel</w:t>
      </w:r>
      <w:r>
        <w:t xml:space="preserve"> </w:t>
      </w:r>
      <w:r>
        <w:t xml:space="preserve">backends (now defaults to plain sequential evaluation);</w:t>
      </w:r>
      <w:r>
        <w:t xml:space="preserve"> </w:t>
      </w:r>
      <w:r>
        <w:rPr>
          <w:rStyle w:val="VerbatimChar"/>
        </w:rPr>
        <w:t xml:space="preserve">make_table1()</w:t>
      </w:r>
      <w:r>
        <w:t xml:space="preserve"> </w:t>
      </w:r>
      <w:r>
        <w:t xml:space="preserve">rejected a lock object (now accepts it); and</w:t>
      </w:r>
      <w:r>
        <w:t xml:space="preserve"> </w:t>
      </w:r>
      <w:r>
        <w:rPr>
          <w:rStyle w:val="VerbatimChar"/>
        </w:rPr>
        <w:t xml:space="preserve">run_residual_confounding_stage()</w:t>
      </w:r>
      <w:r>
        <w:t xml:space="preserve"> </w:t>
      </w:r>
      <w:r>
        <w:t xml:space="preserve">silently dropped failed NC fits</w:t>
      </w:r>
      <w:r>
        <w:t xml:space="preserve"> </w:t>
      </w:r>
      <w:r>
        <w:t xml:space="preserve">(now records each failure in the audit log). We document these</w:t>
      </w:r>
      <w:r>
        <w:t xml:space="preserve"> </w:t>
      </w:r>
      <w:r>
        <w:t xml:space="preserve">candidly because the working theory of the framework is that the</w:t>
      </w:r>
      <w:r>
        <w:t xml:space="preserve"> </w:t>
      </w:r>
      <w:r>
        <w:t xml:space="preserve">prespecification and audit functions should make problems visible,</w:t>
      </w:r>
      <w:r>
        <w:t xml:space="preserve"> </w:t>
      </w:r>
      <w:r>
        <w:t xml:space="preserve">including problems with the package itself, rather than absorb</w:t>
      </w:r>
      <w:r>
        <w:t xml:space="preserve"> </w:t>
      </w:r>
      <w:r>
        <w:t xml:space="preserve">them into a hand-edited final table.</w:t>
      </w:r>
    </w:p>
    <w:p>
      <w:pPr>
        <w:pStyle w:val="BodyText"/>
      </w:pPr>
      <w:r>
        <w:t xml:space="preserve">The full release notes are in</w:t>
      </w:r>
      <w:r>
        <w:t xml:space="preserve"> </w:t>
      </w:r>
      <w:r>
        <w:rPr>
          <w:rStyle w:val="VerbatimChar"/>
        </w:rPr>
        <w:t xml:space="preserve">cleanTMLE/NEWS.md</w:t>
      </w:r>
      <w:r>
        <w:t xml:space="preserve">, and the</w:t>
      </w:r>
      <w:r>
        <w:t xml:space="preserve"> </w:t>
      </w:r>
      <w:r>
        <w:t xml:space="preserve">rescueCo companion repository’s</w:t>
      </w:r>
      <w:r>
        <w:t xml:space="preserve"> </w:t>
      </w:r>
      <w:r>
        <w:rPr>
          <w:rStyle w:val="VerbatimChar"/>
        </w:rPr>
        <w:t xml:space="preserve">clean_room/results/manuscript_artifacts/</w:t>
      </w:r>
      <w:r>
        <w:t xml:space="preserve"> </w:t>
      </w:r>
      <w:r>
        <w:t xml:space="preserve">directory contains the data behind the tables above.</w:t>
      </w:r>
    </w:p>
    <w:bookmarkEnd w:id="128"/>
    <w:bookmarkEnd w:id="129"/>
    <w:bookmarkEnd w:id="130"/>
    <w:bookmarkStart w:id="145" w:name="sec-discussion"/>
    <w:p>
      <w:pPr>
        <w:pStyle w:val="Heading1"/>
      </w:pPr>
      <w:r>
        <w:t xml:space="preserve">13. Discussion</w:t>
      </w:r>
    </w:p>
    <w:bookmarkStart w:id="131" w:name="what-cleantmle-contributes-operationally"/>
    <w:p>
      <w:pPr>
        <w:pStyle w:val="Heading2"/>
      </w:pPr>
      <w:r>
        <w:t xml:space="preserve">13.1 What cleanTMLE contributes operationally</w:t>
      </w:r>
    </w:p>
    <w:p>
      <w:pPr>
        <w:pStyle w:val="FirstParagraph"/>
      </w:pPr>
      <w:r>
        <w:t xml:space="preserve">The package’s contribution is to make staged prespecification and the</w:t>
      </w:r>
      <w:r>
        <w:t xml:space="preserve"> </w:t>
      </w:r>
      <w:r>
        <w:t xml:space="preserve">pre-outcome decision rule explicit in code and reproducible by an external</w:t>
      </w:r>
      <w:r>
        <w:t xml:space="preserve"> </w:t>
      </w:r>
      <w:r>
        <w:t xml:space="preserve">reviewer. A precise test of scope is to ask what evidence the package can and</w:t>
      </w:r>
      <w:r>
        <w:t xml:space="preserve"> </w:t>
      </w:r>
      <w:r>
        <w:t xml:space="preserve">cannot produce. cleanTMLE can document that the analyst</w:t>
      </w:r>
      <w:r>
        <w:t xml:space="preserve"> </w:t>
      </w:r>
      <w:r>
        <w:t xml:space="preserve">prespecified the estimand, the candidate estimators, the decision thresholds,</w:t>
      </w:r>
      <w:r>
        <w:t xml:space="preserve"> </w:t>
      </w:r>
      <w:r>
        <w:t xml:space="preserve">and the severity ranges; that the pre-outcome decision was made before</w:t>
      </w:r>
      <w:r>
        <w:t xml:space="preserve"> </w:t>
      </w:r>
      <w:r>
        <w:t xml:space="preserve">unblinding; that the locked candidate was the one that ran on the real</w:t>
      </w:r>
      <w:r>
        <w:t xml:space="preserve"> </w:t>
      </w:r>
      <w:r>
        <w:t xml:space="preserve">outcome; and that a fingerprinted audit trail records the sequence. cleanTMLE</w:t>
      </w:r>
      <w:r>
        <w:t xml:space="preserve"> </w:t>
      </w:r>
      <w:r>
        <w:t xml:space="preserve">cannot demonstrate that the data source is fit for the regulatory question,</w:t>
      </w:r>
      <w:r>
        <w:t xml:space="preserve"> </w:t>
      </w:r>
      <w:r>
        <w:t xml:space="preserve">that the exposure or outcome phenotypes have been validated, that the target</w:t>
      </w:r>
      <w:r>
        <w:t xml:space="preserve"> </w:t>
      </w:r>
      <w:r>
        <w:t xml:space="preserve">population is the regulatory decision population, or that the</w:t>
      </w:r>
      <w:r>
        <w:t xml:space="preserve"> </w:t>
      </w:r>
      <w:r>
        <w:t xml:space="preserve">unmeasured-confounder bound is defensible. Those remain study-level</w:t>
      </w:r>
      <w:r>
        <w:t xml:space="preserve"> </w:t>
      </w:r>
      <w:r>
        <w:t xml:space="preserve">activities, anchored in target-trial protocols</w:t>
      </w:r>
      <w:r>
        <w:t xml:space="preserve"> </w:t>
      </w:r>
      <w:r>
        <w:t xml:space="preserve">(M. A. Hernán and Robins 2016; Cashin et al. 2024)</w:t>
      </w:r>
      <w:r>
        <w:t xml:space="preserve">, source-specific guidance</w:t>
      </w:r>
      <w:r>
        <w:t xml:space="preserve"> </w:t>
      </w:r>
      <w:r>
        <w:t xml:space="preserve">(U.S. Food and Drug Administration 2024a, 2024b, 2021; European Medicines Agency 2024, 2026)</w:t>
      </w:r>
      <w:r>
        <w:t xml:space="preserve">, and</w:t>
      </w:r>
      <w:r>
        <w:t xml:space="preserve"> </w:t>
      </w:r>
      <w:r>
        <w:t xml:space="preserve">post-outcome sensitivity analyses</w:t>
      </w:r>
      <w:r>
        <w:t xml:space="preserve"> </w:t>
      </w:r>
      <w:r>
        <w:t xml:space="preserve">(VanderWeele and Ding 2017; Lash et al. 2014; Dı́az and Laan 2013)</w:t>
      </w:r>
      <w:r>
        <w:t xml:space="preserve">.</w:t>
      </w:r>
    </w:p>
    <w:bookmarkEnd w:id="131"/>
    <w:bookmarkStart w:id="132" w:name="regulatory-positioning"/>
    <w:p>
      <w:pPr>
        <w:pStyle w:val="Heading2"/>
      </w:pPr>
      <w:r>
        <w:t xml:space="preserve">13.2 Regulatory positioning</w:t>
      </w:r>
    </w:p>
    <w:p>
      <w:pPr>
        <w:pStyle w:val="FirstParagraph"/>
      </w:pPr>
      <w:r>
        <w:t xml:space="preserve">The lock, audit, and decision-log records track the prespecification and</w:t>
      </w:r>
      <w:r>
        <w:t xml:space="preserve"> </w:t>
      </w:r>
      <w:r>
        <w:t xml:space="preserve">traceability that current real-world-evidence guidance expects, as mapped in</w:t>
      </w:r>
      <w:r>
        <w:t xml:space="preserve"> </w:t>
      </w:r>
      <w:hyperlink w:anchor="tbl-reg-align">
        <w:r>
          <w:rPr>
            <w:rStyle w:val="Hyperlink"/>
          </w:rPr>
          <w:t xml:space="preserve">Table 9</w:t>
        </w:r>
      </w:hyperlink>
      <w:r>
        <w:t xml:space="preserve">. The software layer sits inside the personnel-based governance</w:t>
      </w:r>
      <w:r>
        <w:t xml:space="preserve"> </w:t>
      </w:r>
      <w:r>
        <w:t xml:space="preserve">this guidance requires, and does not substitute for it.</w:t>
      </w:r>
    </w:p>
    <w:bookmarkEnd w:id="132"/>
    <w:bookmarkStart w:id="134" w:name="comparison-with-adjacent-tools"/>
    <w:p>
      <w:pPr>
        <w:pStyle w:val="Heading2"/>
      </w:pPr>
      <w:r>
        <w:t xml:space="preserve">13.3 Comparison with adjacent tools</w:t>
      </w:r>
    </w:p>
    <w:p>
      <w:pPr>
        <w:pStyle w:val="FirstParagraph"/>
      </w:pPr>
      <w:hyperlink w:anchor="tbl-baselines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places cleanTMLE against the nearest alternatives, to make</w:t>
      </w:r>
      <w:r>
        <w:t xml:space="preserve"> </w:t>
      </w:r>
      <w:r>
        <w:t xml:space="preserve">explicit which capabilities are shared and which are specific to the</w:t>
      </w:r>
      <w:r>
        <w:t xml:space="preserve"> </w:t>
      </w:r>
      <w:r>
        <w:t xml:space="preserve">package. The combination that distinguishes cleanTMLE is the</w:t>
      </w:r>
      <w:r>
        <w:t xml:space="preserve"> </w:t>
      </w:r>
      <w:r>
        <w:t xml:space="preserve">outcome-blind plasmode candidate selection, the DQ stress test on the same</w:t>
      </w:r>
      <w:r>
        <w:t xml:space="preserve"> </w:t>
      </w:r>
      <w:r>
        <w:t xml:space="preserve">decision scale, and the prespecification record (lock, audit trail, gate),</w:t>
      </w:r>
      <w:r>
        <w:t xml:space="preserve"> </w:t>
      </w:r>
      <w:r>
        <w:t xml:space="preserve">bound to a doubly robust estimator layer that reproduces a mature</w:t>
      </w:r>
      <w:r>
        <w:t xml:space="preserve"> </w:t>
      </w:r>
      <w:r>
        <w:t xml:space="preserve">cumulative-risk package (</w:t>
      </w:r>
      <w:hyperlink w:anchor="sec-casestudy">
        <w:r>
          <w:rPr>
            <w:rStyle w:val="Hyperlink"/>
          </w:rPr>
          <w:t xml:space="preserve">Section 12</w:t>
        </w:r>
      </w:hyperlink>
      <w:r>
        <w:t xml:space="preserve">, and the side-by-side ACTG 320</w:t>
      </w:r>
      <w:r>
        <w:t xml:space="preserve"> </w:t>
      </w:r>
      <w:r>
        <w:t xml:space="preserve">reproduction in the companion repository).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baselin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7: cleanTMLE against adjacent tools. The estimator layer overlaps with established packages; the outcome-blind selection, the DQ stress test, and the machine-checkable prespecification record are the distinguishing combination.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01"/>
              <w:gridCol w:w="2014"/>
              <w:gridCol w:w="503"/>
              <w:gridCol w:w="1052"/>
              <w:gridCol w:w="16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Capability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cleanTMLE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causalRisk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 / survtmle / lmtp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STaRT-RWE / HARPER + git/renv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Doubly robust TMLE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AIPW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Cumulative-risk / competing risks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 (binary point now; survival on roadmap)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survtmle / lmtp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Time-varying treatment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(compose with lmtp)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lmtp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Outcome-blind plasmode candidate selection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Data-quality stress test (shared decision scale)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Prespecification lock + audit trail + staged decision 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Paper template; not machine-checked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Fit-for-purpose to estimator-selection bridge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</w:tr>
          </w:tbl>
          <w:bookmarkEnd w:id="133"/>
          <w:p/>
        </w:tc>
      </w:tr>
    </w:tbl>
    <w:p>
      <w:pPr>
        <w:pStyle w:val="BodyText"/>
      </w:pPr>
      <w:r>
        <w:t xml:space="preserve">The contrast with the E-value is treated once in</w:t>
      </w:r>
      <w:r>
        <w:t xml:space="preserve"> </w:t>
      </w:r>
      <w:hyperlink w:anchor="sec-evalue">
        <w:r>
          <w:rPr>
            <w:rStyle w:val="Hyperlink"/>
          </w:rPr>
          <w:t xml:space="preserve">Section 10.1</w:t>
        </w:r>
      </w:hyperlink>
      <w:r>
        <w:t xml:space="preserve">, where the</w:t>
      </w:r>
      <w:r>
        <w:t xml:space="preserve"> </w:t>
      </w:r>
      <w:r>
        <w:t xml:space="preserve">post-hoc E-value and the pre-hoc, candidate-specific DQ stress test are shown</w:t>
      </w:r>
      <w:r>
        <w:t xml:space="preserve"> </w:t>
      </w:r>
      <w:r>
        <w:t xml:space="preserve">to answer different questions and to be worth reporting together.</w:t>
      </w:r>
    </w:p>
    <w:p>
      <w:pPr>
        <w:pStyle w:val="BodyText"/>
      </w:pPr>
      <w:r>
        <w:t xml:space="preserve">Quantitative bias analysis</w:t>
      </w:r>
      <w:r>
        <w:t xml:space="preserve"> </w:t>
      </w:r>
      <w:r>
        <w:t xml:space="preserve">(Lash et al. 2014)</w:t>
      </w:r>
      <w:r>
        <w:t xml:space="preserve"> </w:t>
      </w:r>
      <w:r>
        <w:t xml:space="preserve">adjusts the final</w:t>
      </w:r>
      <w:r>
        <w:t xml:space="preserve"> </w:t>
      </w:r>
      <w:r>
        <w:t xml:space="preserve">estimate for postulated biases. Like the E-value, QBA is an</w:t>
      </w:r>
      <w:r>
        <w:t xml:space="preserve"> </w:t>
      </w:r>
      <w:r>
        <w:t xml:space="preserve">unblinding-stage tool. The DQ stress test does not adjust the</w:t>
      </w:r>
      <w:r>
        <w:t xml:space="preserve"> </w:t>
      </w:r>
      <w:r>
        <w:t xml:space="preserve">estimate; it asks whether the estimator continues to meet the</w:t>
      </w:r>
      <w:r>
        <w:t xml:space="preserve"> </w:t>
      </w:r>
      <w:r>
        <w:t xml:space="preserve">prespecified performance criteria when the biases are present. We</w:t>
      </w:r>
      <w:r>
        <w:t xml:space="preserve"> </w:t>
      </w:r>
      <w:r>
        <w:t xml:space="preserve">therefore recommend QBA at the analysis stage and the DQ stress</w:t>
      </w:r>
      <w:r>
        <w:t xml:space="preserve"> </w:t>
      </w:r>
      <w:r>
        <w:t xml:space="preserve">test at the prespecification stage.</w:t>
      </w:r>
    </w:p>
    <w:p>
      <w:pPr>
        <w:pStyle w:val="BodyText"/>
      </w:pPr>
      <w:r>
        <w:t xml:space="preserve">The targeted-learning causal-gap sensitivity analysis</w:t>
      </w:r>
      <w:r>
        <w:t xml:space="preserve"> </w:t>
      </w:r>
      <w:r>
        <w:t xml:space="preserve">(Dı́az and Laan 2013)</w:t>
      </w:r>
      <w:r>
        <w:t xml:space="preserve"> </w:t>
      </w:r>
      <w:r>
        <w:t xml:space="preserve">characterises the change in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unmeasured-confounder bound varies. Causal-gap is unblinding-stage</w:t>
      </w:r>
      <w:r>
        <w:t xml:space="preserve"> </w:t>
      </w:r>
      <w:r>
        <w:t xml:space="preserve">and characterises one threat (unmeasured confounding) in a TL-</w:t>
      </w:r>
      <w:r>
        <w:t xml:space="preserve"> </w:t>
      </w:r>
      <w:r>
        <w:t xml:space="preserve">specific way. The DQ stress test is broader (it covers four</w:t>
      </w:r>
      <w:r>
        <w:t xml:space="preserve"> </w:t>
      </w:r>
      <w:r>
        <w:t xml:space="preserve">threats) but cruder (it does not adjust the estimate). The two</w:t>
      </w:r>
      <w:r>
        <w:t xml:space="preserve"> </w:t>
      </w:r>
      <w:r>
        <w:t xml:space="preserve">tools address different questions and both should be reported.</w:t>
      </w:r>
    </w:p>
    <w:p>
      <w:pPr>
        <w:pStyle w:val="BodyText"/>
      </w:pPr>
      <w:r>
        <w:t xml:space="preserve">Negative-control outcomes</w:t>
      </w:r>
      <w:r>
        <w:t xml:space="preserve"> </w:t>
      </w:r>
      <w:r>
        <w:t xml:space="preserve">(Lipsitch, Tchetgen Tchetgen, and Cohen 2010)</w:t>
      </w:r>
      <w:r>
        <w:t xml:space="preserve"> </w:t>
      </w:r>
      <w:r>
        <w:t xml:space="preserve">test for</w:t>
      </w:r>
      <w:r>
        <w:t xml:space="preserve"> </w:t>
      </w:r>
      <w:r>
        <w:t xml:space="preserve">residual confounding in the realised data. Because they use real</w:t>
      </w:r>
      <w:r>
        <w:t xml:space="preserve"> </w:t>
      </w:r>
      <w:r>
        <w:t xml:space="preserve">data, they are at-outcome rather than pre-outcome. The DQ stress</w:t>
      </w:r>
      <w:r>
        <w:t xml:space="preserve"> </w:t>
      </w:r>
      <w:r>
        <w:t xml:space="preserve">test cannot detect residual confounding; the NCO check cannot</w:t>
      </w:r>
      <w:r>
        <w:t xml:space="preserve"> </w:t>
      </w:r>
      <w:r>
        <w:t xml:space="preserve">detect covariate missingness or exposure misclassification. They</w:t>
      </w:r>
      <w:r>
        <w:t xml:space="preserve"> </w:t>
      </w:r>
      <w:r>
        <w:t xml:space="preserve">target different threats.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recommend selecting</w:t>
      </w:r>
      <w:r>
        <w:t xml:space="preserve"> </w:t>
      </w:r>
      <w:r>
        <w:t xml:space="preserve">NCOs across four domains (confounding by indication, functional</w:t>
      </w:r>
      <w:r>
        <w:t xml:space="preserve"> </w:t>
      </w:r>
      <w:r>
        <w:t xml:space="preserve">status, health-seeking behaviour, and access to healthcare) and</w:t>
      </w:r>
      <w:r>
        <w:t xml:space="preserve"> </w:t>
      </w:r>
      <w:r>
        <w:t xml:space="preserve">Levintow et al. (2023)</w:t>
      </w:r>
      <w:r>
        <w:t xml:space="preserve"> </w:t>
      </w:r>
      <w:r>
        <w:t xml:space="preserve">give pragmatic guidance for choosing them; the</w:t>
      </w:r>
      <w:r>
        <w:t xml:space="preserve"> </w:t>
      </w:r>
      <w:r>
        <w:t xml:space="preserve">cleanTMLE workflow records each declared NCO in the lock so the</w:t>
      </w:r>
      <w:r>
        <w:t xml:space="preserve"> </w:t>
      </w:r>
      <w:r>
        <w:t xml:space="preserve">chosen domains are part of the audit trail.</w:t>
      </w:r>
    </w:p>
    <w:p>
      <w:pPr>
        <w:pStyle w:val="BodyText"/>
      </w:pPr>
      <w:r>
        <w:t xml:space="preserve">Kent (2026)</w:t>
      </w:r>
      <w:r>
        <w:t xml:space="preserve"> </w:t>
      </w:r>
      <w:r>
        <w:t xml:space="preserve">reports a worked applied use of the staging</w:t>
      </w:r>
      <w:r>
        <w:t xml:space="preserve"> </w:t>
      </w:r>
      <w:r>
        <w:t xml:space="preserve">framework for a comparative-effectiveness study of evolocumab</w:t>
      </w:r>
      <w:r>
        <w:t xml:space="preserve"> </w:t>
      </w:r>
      <w:r>
        <w:t xml:space="preserve">versus non-treatment for major adverse cardiovascular events in</w:t>
      </w:r>
      <w:r>
        <w:t xml:space="preserve"> </w:t>
      </w:r>
      <w:r>
        <w:t xml:space="preserve">the Komodo Healthcare Map: negative-control outcomes flagged</w:t>
      </w:r>
      <w:r>
        <w:t xml:space="preserve"> </w:t>
      </w:r>
      <w:r>
        <w:t xml:space="preserve">residual bias in the health-seeking-behaviour domain, the review</w:t>
      </w:r>
      <w:r>
        <w:t xml:space="preserve"> </w:t>
      </w:r>
      <w:r>
        <w:t xml:space="preserve">team allowed the study to proceed conditional on a pre-specified</w:t>
      </w:r>
      <w:r>
        <w:t xml:space="preserve"> </w:t>
      </w:r>
      <w:r>
        <w:t xml:space="preserve">E-value quantitative-bias-analysis plan, and the final risk</w:t>
      </w:r>
      <w:r>
        <w:t xml:space="preserve"> </w:t>
      </w:r>
      <w:r>
        <w:t xml:space="preserve">difference at four years was reported as roughly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%</m:t>
        </m:r>
      </m:oMath>
      <w:r>
        <w:t xml:space="preserve">. The</w:t>
      </w:r>
      <w:r>
        <w:t xml:space="preserve"> </w:t>
      </w:r>
      <w:r>
        <w:t xml:space="preserve">example illustrates both the staged decision rule and the role of</w:t>
      </w:r>
      <w:r>
        <w:t xml:space="preserve"> </w:t>
      </w:r>
      <w:r>
        <w:t xml:space="preserve">negative-control domains in practice.</w:t>
      </w:r>
    </w:p>
    <w:bookmarkEnd w:id="134"/>
    <w:bookmarkStart w:id="135" w:name="sec-limitations"/>
    <w:p>
      <w:pPr>
        <w:pStyle w:val="Heading2"/>
      </w:pPr>
      <w:r>
        <w:t xml:space="preserve">13.4 Limitations of plasmode data-quality stress testing</w:t>
      </w:r>
    </w:p>
    <w:p>
      <w:pPr>
        <w:pStyle w:val="FirstParagraph"/>
      </w:pPr>
      <w:r>
        <w:t xml:space="preserve">A plasmode data-quality stress test is only as informative as the</w:t>
      </w:r>
      <w:r>
        <w:t xml:space="preserve"> </w:t>
      </w:r>
      <w:r>
        <w:t xml:space="preserve">synthetic outcome model and degradation mechanisms used to</w:t>
      </w:r>
      <w:r>
        <w:t xml:space="preserve"> </w:t>
      </w:r>
      <w:r>
        <w:t xml:space="preserve">generate it. Passing the pre-outcome decision rule does not</w:t>
      </w:r>
      <w:r>
        <w:t xml:space="preserve"> </w:t>
      </w:r>
      <w:r>
        <w:t xml:space="preserve">establish identification, remove unmeasured confounding, validate</w:t>
      </w:r>
      <w:r>
        <w:t xml:space="preserve"> </w:t>
      </w:r>
      <w:r>
        <w:t xml:space="preserve">the data source, or demonstrate that the target population matches</w:t>
      </w:r>
      <w:r>
        <w:t xml:space="preserve"> </w:t>
      </w:r>
      <w:r>
        <w:t xml:space="preserve">the regulatory decision population. It shows only that, under the</w:t>
      </w:r>
      <w:r>
        <w:t xml:space="preserve"> </w:t>
      </w:r>
      <w:r>
        <w:t xml:space="preserve">prespecified outcome-generating mechanism and degradation ranges,</w:t>
      </w:r>
      <w:r>
        <w:t xml:space="preserve"> </w:t>
      </w:r>
      <w:r>
        <w:t xml:space="preserve">a candidate estimator maintained acceptable finite-sample</w:t>
      </w:r>
      <w:r>
        <w:t xml:space="preserve"> </w:t>
      </w:r>
      <w:r>
        <w:t xml:space="preserve">performance according to the chosen criteria. Severity ranges</w:t>
      </w:r>
      <w:r>
        <w:t xml:space="preserve"> </w:t>
      </w:r>
      <w:r>
        <w:t xml:space="preserve">should therefore be justified from external validation studies,</w:t>
      </w:r>
      <w:r>
        <w:t xml:space="preserve"> </w:t>
      </w:r>
      <w:r>
        <w:t xml:space="preserve">data profiling, subject-matter knowledge, expert elicitation, or</w:t>
      </w:r>
      <w:r>
        <w:t xml:space="preserve"> </w:t>
      </w:r>
      <w:r>
        <w:t xml:space="preserve">formal sensitivity-analysis bounds. When such evidence is weak,</w:t>
      </w:r>
      <w:r>
        <w:t xml:space="preserve"> </w:t>
      </w:r>
      <w:r>
        <w:t xml:space="preserve">the stress test should be interpreted as exploratory rather than</w:t>
      </w:r>
      <w:r>
        <w:t xml:space="preserve"> </w:t>
      </w:r>
      <w:r>
        <w:t xml:space="preserve">confirmatory.</w:t>
      </w:r>
    </w:p>
    <w:p>
      <w:pPr>
        <w:pStyle w:val="BodyText"/>
      </w:pPr>
      <w:r>
        <w:t xml:space="preserve">The DQ stress test also depends on the same parametric</w:t>
      </w:r>
      <w:r>
        <w:t xml:space="preserve"> </w:t>
      </w:r>
      <w:r>
        <w:t xml:space="preserve">synthetic-outcome model used by the baseline plasmode. If that</w:t>
      </w:r>
      <w:r>
        <w:t xml:space="preserve"> </w:t>
      </w:r>
      <w:r>
        <w:t xml:space="preserve">model misrepresents the joint covariate–treatment–outcome</w:t>
      </w:r>
      <w:r>
        <w:t xml:space="preserve"> </w:t>
      </w:r>
      <w:r>
        <w:t xml:space="preserve">distribution (for example by omitting effect modification or</w:t>
      </w:r>
      <w:r>
        <w:t xml:space="preserve"> </w:t>
      </w:r>
      <w:r>
        <w:t xml:space="preserve">mis-specifying functional form), the simulated bias and coverage</w:t>
      </w:r>
      <w:r>
        <w:t xml:space="preserve"> </w:t>
      </w:r>
      <w:r>
        <w:t xml:space="preserve">under stressed scenarios may be optimistic or pessimistic in ways</w:t>
      </w:r>
      <w:r>
        <w:t xml:space="preserve"> </w:t>
      </w:r>
      <w:r>
        <w:t xml:space="preserve">that no amount of replication can correct.</w:t>
      </w:r>
    </w:p>
    <w:bookmarkEnd w:id="135"/>
    <w:bookmarkStart w:id="141" w:name="other-limitations"/>
    <w:p>
      <w:pPr>
        <w:pStyle w:val="Heading2"/>
      </w:pPr>
      <w:r>
        <w:t xml:space="preserve">13.5 Other limitations</w:t>
      </w:r>
    </w:p>
    <w:p>
      <w:pPr>
        <w:pStyle w:val="FirstParagraph"/>
      </w:pPr>
      <w:r>
        <w:t xml:space="preserve">The current implementation has additional limitations the</w:t>
      </w:r>
      <w:r>
        <w:t xml:space="preserve"> </w:t>
      </w:r>
      <w:r>
        <w:t xml:space="preserve">analyst should keep in mind, grouped into the candidate-selection</w:t>
      </w:r>
      <w:r>
        <w:t xml:space="preserve"> </w:t>
      </w:r>
      <w:r>
        <w:t xml:space="preserve">rule, model assumptions, computational cost, and estimand scope.</w:t>
      </w:r>
    </w:p>
    <w:bookmarkStart w:id="136" w:name="candidate-selection-rule-fiord-alignment"/>
    <w:p>
      <w:pPr>
        <w:pStyle w:val="Heading3"/>
      </w:pPr>
      <w:r>
        <w:t xml:space="preserve">13.5.1 Candidate-selection rule (FIORD alignment)</w:t>
      </w:r>
    </w:p>
    <w:p>
      <w:pPr>
        <w:pStyle w:val="FirstParagraph"/>
      </w:pPr>
      <w:r>
        <w:t xml:space="preserve">The FIORD outcome-blind simulation guidance</w:t>
      </w:r>
      <w:r>
        <w:t xml:space="preserve"> </w:t>
      </w:r>
      <w:r>
        <w:t xml:space="preserve">(Nance et al. 2026)</w:t>
      </w:r>
      <w:r>
        <w:t xml:space="preserve"> </w:t>
      </w:r>
      <w:r>
        <w:t xml:space="preserve">separates</w:t>
      </w:r>
      <w:r>
        <w:t xml:space="preserve"> </w:t>
      </w:r>
      <w:r>
        <w:t xml:space="preserve">candidate selection into two tasks: first screen point estimators by</w:t>
      </w:r>
      <w:r>
        <w:t xml:space="preserve"> </w:t>
      </w:r>
      <w:r>
        <w:t xml:space="preserve">oracle coverage (a CI built from the Monte Carlo empirical SE) and pick</w:t>
      </w:r>
      <w:r>
        <w:t xml:space="preserve"> </w:t>
      </w:r>
      <w:r>
        <w:t xml:space="preserve">the lowest-variance survivor, then select the variance method on the</w:t>
      </w:r>
      <w:r>
        <w:t xml:space="preserve"> </w:t>
      </w:r>
      <w:r>
        <w:t xml:space="preserve">locked point estimator using nominal CI coverage. cleanTMLE implements</w:t>
      </w:r>
      <w:r>
        <w:t xml:space="preserve"> </w:t>
      </w:r>
      <w:r>
        <w:t xml:space="preserve">both stages. Stage one is</w:t>
      </w:r>
      <w:r>
        <w:t xml:space="preserve"> </w:t>
      </w:r>
      <w:r>
        <w:rPr>
          <w:rStyle w:val="VerbatimChar"/>
        </w:rPr>
        <w:t xml:space="preserve">select_tmle_candidate(rule = "fiord_two_stage")</w:t>
      </w:r>
      <w:r>
        <w:t xml:space="preserve">,</w:t>
      </w:r>
      <w:r>
        <w:t xml:space="preserve"> </w:t>
      </w:r>
      <w:r>
        <w:t xml:space="preserve">which screens candidates to those within</w:t>
      </w:r>
      <w:r>
        <w:t xml:space="preserve"> </w:t>
      </w:r>
      <w:r>
        <w:rPr>
          <w:rStyle w:val="VerbatimChar"/>
        </w:rPr>
        <w:t xml:space="preserve">fiord_coverage_tol</w:t>
      </w:r>
      <w:r>
        <w:t xml:space="preserve"> </w:t>
      </w:r>
      <w:r>
        <w:t xml:space="preserve">of nominal</w:t>
      </w:r>
      <w:r>
        <w:t xml:space="preserve"> </w:t>
      </w:r>
      <w:r>
        <w:t xml:space="preserve">oracle coverage and locks in the lowest-SE survivor (the default</w:t>
      </w:r>
      <w:r>
        <w:t xml:space="preserve"> </w:t>
      </w:r>
      <w:r>
        <w:rPr>
          <w:rStyle w:val="VerbatimChar"/>
        </w:rPr>
        <w:t xml:space="preserve">rule = "min_rmse"</w:t>
      </w:r>
      <w:r>
        <w:t xml:space="preserve">, optionally</w:t>
      </w:r>
      <w:r>
        <w:t xml:space="preserve"> </w:t>
      </w:r>
      <w:r>
        <w:rPr>
          <w:rStyle w:val="VerbatimChar"/>
        </w:rPr>
        <w:t xml:space="preserve">"min_max_rmse"</w:t>
      </w:r>
      <w:r>
        <w:t xml:space="preserve"> </w:t>
      </w:r>
      <w:r>
        <w:t xml:space="preserve">over the DQ stress</w:t>
      </w:r>
      <w:r>
        <w:t xml:space="preserve"> </w:t>
      </w:r>
      <w:r>
        <w:t xml:space="preserve">scenarios, remains available as a single-step alternative). Stage two is</w:t>
      </w:r>
      <w:r>
        <w:t xml:space="preserve"> </w:t>
      </w:r>
      <w:r>
        <w:rPr>
          <w:rStyle w:val="VerbatimChar"/>
        </w:rPr>
        <w:t xml:space="preserve">select_variance_method()</w:t>
      </w:r>
      <w:r>
        <w:t xml:space="preserve">, which, with the point estimator fixed,</w:t>
      </w:r>
      <w:r>
        <w:t xml:space="preserve"> </w:t>
      </w:r>
      <w:r>
        <w:t xml:space="preserve">compares variance methods by their oracle coverage on synthetic data and</w:t>
      </w:r>
      <w:r>
        <w:t xml:space="preserve"> </w:t>
      </w:r>
      <w:r>
        <w:t xml:space="preserve">returns the one closest to nominal;</w:t>
      </w:r>
      <w:r>
        <w:t xml:space="preserve"> </w:t>
      </w:r>
      <w:r>
        <w:rPr>
          <w:rStyle w:val="VerbatimChar"/>
        </w:rPr>
        <w:t xml:space="preserve">bootstrap_rd_variance()</w:t>
      </w:r>
      <w:r>
        <w:t xml:space="preserve"> </w:t>
      </w:r>
      <w:r>
        <w:t xml:space="preserve">supplies a</w:t>
      </w:r>
      <w:r>
        <w:t xml:space="preserve"> </w:t>
      </w:r>
      <w:r>
        <w:t xml:space="preserve">native nonparametric bootstrap standard error and percentile interval for</w:t>
      </w:r>
      <w:r>
        <w:t xml:space="preserve"> </w:t>
      </w:r>
      <w:r>
        <w:t xml:space="preserve">the marginal risk difference under TMLE or stabilised IPTW. The bootstrap</w:t>
      </w:r>
      <w:r>
        <w:t xml:space="preserve"> </w:t>
      </w:r>
      <w:r>
        <w:t xml:space="preserve">is one option when the influence-function variance is suspect. For</w:t>
      </w:r>
      <w:r>
        <w:t xml:space="preserve"> </w:t>
      </w:r>
      <w:r>
        <w:t xml:space="preserve">stabilised IPTW the influence-function variance treats the propensity score</w:t>
      </w:r>
      <w:r>
        <w:t xml:space="preserve"> </w:t>
      </w:r>
      <w:r>
        <w:t xml:space="preserve">as known (</w:t>
      </w:r>
      <w:r>
        <w:t xml:space="preserve">J. M. Robins and Rotnitzky (1992)</w:t>
      </w:r>
      <w:r>
        <w:t xml:space="preserve">), and resampling does not remove that</w:t>
      </w:r>
      <w:r>
        <w:t xml:space="preserve"> </w:t>
      </w:r>
      <w:r>
        <w:t xml:space="preserve">conservatism, so the bootstrap interval is reported alongside the</w:t>
      </w:r>
      <w:r>
        <w:t xml:space="preserve"> </w:t>
      </w:r>
      <w:r>
        <w:t xml:space="preserve">influence-function interval and the better-calibrated one is chosen on</w:t>
      </w:r>
      <w:r>
        <w:t xml:space="preserve"> </w:t>
      </w:r>
      <w:r>
        <w:t xml:space="preserve">oracle coverage. For a matched cohort the standard nonparametric bootstrap</w:t>
      </w:r>
      <w:r>
        <w:t xml:space="preserve"> </w:t>
      </w:r>
      <w:r>
        <w:t xml:space="preserve">is not consistent (</w:t>
      </w:r>
      <w:r>
        <w:t xml:space="preserve">Abadie and Imbens (2008)</w:t>
      </w:r>
      <w:r>
        <w:t xml:space="preserve">), and the full-pipeline re-matching</w:t>
      </w:r>
      <w:r>
        <w:t xml:space="preserve"> </w:t>
      </w:r>
      <w:r>
        <w:t xml:space="preserve">variant is reported as an empirical correction. The remaining limitation is</w:t>
      </w:r>
      <w:r>
        <w:t xml:space="preserve"> </w:t>
      </w:r>
      <w:r>
        <w:t xml:space="preserve">practical. The variance-method stage is exposed as a separate call and is</w:t>
      </w:r>
      <w:r>
        <w:t xml:space="preserve"> </w:t>
      </w:r>
      <w:r>
        <w:t xml:space="preserve">not folded into a single</w:t>
      </w:r>
      <w:r>
        <w:t xml:space="preserve"> </w:t>
      </w:r>
      <w:r>
        <w:rPr>
          <w:rStyle w:val="VerbatimChar"/>
        </w:rPr>
        <w:t xml:space="preserve">run_*</w:t>
      </w:r>
      <w:r>
        <w:t xml:space="preserve"> </w:t>
      </w:r>
      <w:r>
        <w:t xml:space="preserve">wrapper, and the bootstrap multiplies</w:t>
      </w:r>
      <w:r>
        <w:t xml:space="preserve"> </w:t>
      </w:r>
      <w:r>
        <w:t xml:space="preserve">computation, so analysts reserve it for the estimators where the IF variance</w:t>
      </w:r>
      <w:r>
        <w:t xml:space="preserve"> </w:t>
      </w:r>
      <w:r>
        <w:t xml:space="preserve">is known to misbehave.</w:t>
      </w:r>
    </w:p>
    <w:bookmarkEnd w:id="136"/>
    <w:bookmarkStart w:id="137" w:name="model-assumptions"/>
    <w:p>
      <w:pPr>
        <w:pStyle w:val="Heading3"/>
      </w:pPr>
      <w:r>
        <w:t xml:space="preserve">13.5.2 Model assumptions</w:t>
      </w:r>
    </w:p>
    <w:p>
      <w:pPr>
        <w:pStyle w:val="FirstParagraph"/>
      </w:pPr>
      <w:r>
        <w:t xml:space="preserve">The covariate-missingness scenario assumes MCAR. MAR and MNAR</w:t>
      </w:r>
      <w:r>
        <w:t xml:space="preserve"> </w:t>
      </w:r>
      <w:r>
        <w:t xml:space="preserve">mechanisms require an explicit missingness model and are not yet</w:t>
      </w:r>
      <w:r>
        <w:t xml:space="preserve"> </w:t>
      </w:r>
      <w:r>
        <w:t xml:space="preserve">supported. The principled alternative is inverse-probability-of-</w:t>
      </w:r>
      <w:r>
        <w:t xml:space="preserve"> </w:t>
      </w:r>
      <w:r>
        <w:t xml:space="preserve">missingness weighting, which weakens the assumption to stratified</w:t>
      </w:r>
      <w:r>
        <w:t xml:space="preserve"> </w:t>
      </w:r>
      <w:r>
        <w:t xml:space="preserve">MCAR; we plan to add a native cleanTMLE implementation in a future</w:t>
      </w:r>
      <w:r>
        <w:t xml:space="preserve"> </w:t>
      </w:r>
      <w:r>
        <w:t xml:space="preserve">release.</w:t>
      </w:r>
    </w:p>
    <w:p>
      <w:pPr>
        <w:pStyle w:val="BodyText"/>
      </w:pPr>
      <w:r>
        <w:t xml:space="preserve">The plasmode DGP itself is parametric. The outcome is generated</w:t>
      </w:r>
      <w:r>
        <w:t xml:space="preserve"> </w:t>
      </w:r>
      <w:r>
        <w:t xml:space="preserve">from a logistic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fitted to the lock data,</w:t>
      </w:r>
      <w:r>
        <w:t xml:space="preserve"> </w:t>
      </w:r>
      <w:r>
        <w:t xml:space="preserve">and the synthetic effect is constant on the risk-difference scale</w:t>
      </w:r>
      <w:r>
        <w:t xml:space="preserve"> </w:t>
      </w:r>
      <w:r>
        <w:t xml:space="preserve">(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nor/>
                <m:sty m:val="p"/>
              </m:rPr>
              <m:t>sim</m:t>
            </m:r>
          </m:sup>
        </m:sSubSup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0</m:t>
            </m:r>
          </m:sub>
          <m:sup>
            <m:r>
              <m:rPr>
                <m:nor/>
                <m:sty m:val="p"/>
              </m:rPr>
              <m:t>sim</m:t>
            </m:r>
          </m:sup>
        </m:sSubSup>
        <m:r>
          <m:rPr>
            <m:sty m:val="p"/>
          </m:rPr>
          <m:t>+</m:t>
        </m:r>
        <m:r>
          <m:t>Δ</m:t>
        </m:r>
      </m:oMath>
      <w:r>
        <w:t xml:space="preserve">). Effect</w:t>
      </w:r>
      <w:r>
        <w:t xml:space="preserve"> </w:t>
      </w:r>
      <w:r>
        <w:t xml:space="preserve">modification, time-varying treatment, and competing risks would</w:t>
      </w:r>
      <w:r>
        <w:t xml:space="preserve"> </w:t>
      </w:r>
      <w:r>
        <w:t xml:space="preserve">need a richer DGP. The package architecture permits these</w:t>
      </w:r>
      <w:r>
        <w:t xml:space="preserve"> </w:t>
      </w:r>
      <w:r>
        <w:t xml:space="preserve">extensions; the simulation reported here does not exercise them.</w:t>
      </w:r>
      <w:r>
        <w:t xml:space="preserve"> </w:t>
      </w:r>
      <w:r>
        <w:t xml:space="preserve">cleanTMLE 0.2.1 adds a</w:t>
      </w:r>
      <w:r>
        <w:t xml:space="preserve"> </w:t>
      </w:r>
      <w:r>
        <w:rPr>
          <w:rStyle w:val="VerbatimChar"/>
        </w:rPr>
        <w:t xml:space="preserve">q0_library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run_plasmode_feasibility()</w:t>
      </w:r>
      <w:r>
        <w:t xml:space="preserve"> </w:t>
      </w:r>
      <w:r>
        <w:t xml:space="preserve">so the analyst can fit Q0 with a</w:t>
      </w:r>
      <w:r>
        <w:t xml:space="preserve"> </w:t>
      </w:r>
      <w:r>
        <w:t xml:space="preserve">SuperLearner library rather than the default logistic GLM; this</w:t>
      </w:r>
      <w:r>
        <w:t xml:space="preserve"> </w:t>
      </w:r>
      <w:r>
        <w:t xml:space="preserve">relaxes the bias of candidate selection toward linear-in-logit</w:t>
      </w:r>
      <w:r>
        <w:t xml:space="preserve"> </w:t>
      </w:r>
      <w:r>
        <w:t xml:space="preserve">learners when the underlying outcome surface is nonlinear. A</w:t>
      </w:r>
      <w:r>
        <w:t xml:space="preserve"> </w:t>
      </w:r>
      <w:r>
        <w:t xml:space="preserve">companion pilot simulation (</w:t>
      </w:r>
      <w:r>
        <w:rPr>
          <w:rStyle w:val="VerbatimChar"/>
        </w:rPr>
        <w:t xml:space="preserve">plasmode_selection_paper/</w:t>
      </w:r>
      <w:r>
        <w:t xml:space="preserve">) provides</w:t>
      </w:r>
      <w:r>
        <w:t xml:space="preserve"> </w:t>
      </w:r>
      <w:r>
        <w:t xml:space="preserve">the empirical motivation: at n = 500, a logistic-GLM Q0 yields</w:t>
      </w:r>
      <w:r>
        <w:t xml:space="preserve"> </w:t>
      </w:r>
      <w:r>
        <w:t xml:space="preserve">no detectable separation between fixed-library and plasmode-</w:t>
      </w:r>
      <w:r>
        <w:t xml:space="preserve"> </w:t>
      </w:r>
      <w:r>
        <w:t xml:space="preserve">selected TMLE workflows because both inherit the same linearity</w:t>
      </w:r>
      <w:r>
        <w:t xml:space="preserve"> </w:t>
      </w:r>
      <w:r>
        <w:t xml:space="preserve">bias.</w:t>
      </w:r>
    </w:p>
    <w:p>
      <w:pPr>
        <w:pStyle w:val="BodyText"/>
      </w:pPr>
      <w:r>
        <w:t xml:space="preserve">The plausible degradation ranges have to come from external</w:t>
      </w:r>
      <w:r>
        <w:t xml:space="preserve"> </w:t>
      </w:r>
      <w:r>
        <w:t xml:space="preserve">evidence. The software cannot decide whether 5 % or 20 %</w:t>
      </w:r>
      <w:r>
        <w:t xml:space="preserve"> </w:t>
      </w:r>
      <w:r>
        <w:t xml:space="preserve">covariate missingness is realistic for a given data source; the</w:t>
      </w:r>
      <w:r>
        <w:t xml:space="preserve"> </w:t>
      </w:r>
      <w:r>
        <w:t xml:space="preserve">analyst has to cite a profiling or validation study. SPIFD2 makes</w:t>
      </w:r>
      <w:r>
        <w:t xml:space="preserve"> </w:t>
      </w:r>
      <w:r>
        <w:t xml:space="preserve">the same demand qualitatively, and the DQ stress test inherits it.</w:t>
      </w:r>
    </w:p>
    <w:bookmarkEnd w:id="137"/>
    <w:bookmarkStart w:id="138" w:name="ps-candidate-grid-and-learner-stability"/>
    <w:p>
      <w:pPr>
        <w:pStyle w:val="Heading3"/>
      </w:pPr>
      <w:r>
        <w:t xml:space="preserve">13.5.3 PS candidate grid and learner stability</w:t>
      </w:r>
    </w:p>
    <w:p>
      <w:pPr>
        <w:pStyle w:val="FirstParagraph"/>
      </w:pPr>
      <w:r>
        <w:t xml:space="preserve">The DQ stress test generates synthetic outcomes under degraded</w:t>
      </w:r>
      <w:r>
        <w:t xml:space="preserve"> </w:t>
      </w:r>
      <w:r>
        <w:t xml:space="preserve">covariate, treatment, and confounder distributions, and then re-fits</w:t>
      </w:r>
      <w:r>
        <w:t xml:space="preserve"> </w:t>
      </w:r>
      <w:r>
        <w:t xml:space="preserve">every candidate PS model on each synthetic dataset. The synthetic</w:t>
      </w:r>
      <w:r>
        <w:t xml:space="preserve"> </w:t>
      </w:r>
      <w:r>
        <w:t xml:space="preserve">designs for Scenario B (marginal overlap, PS range 0.037–0.990)</w:t>
      </w:r>
      <w:r>
        <w:t xml:space="preserve"> </w:t>
      </w:r>
      <w:r>
        <w:t xml:space="preserve">produced numerical instability in regularised learners: SL.glmnet</w:t>
      </w:r>
      <w:r>
        <w:t xml:space="preserve"> </w:t>
      </w:r>
      <w:r>
        <w:t xml:space="preserve">ran away on computation with no convergence signal, inflating wall</w:t>
      </w:r>
      <w:r>
        <w:t xml:space="preserve"> </w:t>
      </w:r>
      <w:r>
        <w:t xml:space="preserve">time by more than an order of magnitude relative to GLM. The</w:t>
      </w:r>
      <w:r>
        <w:t xml:space="preserve"> </w:t>
      </w:r>
      <w:r>
        <w:t xml:space="preserve">simulation in</w:t>
      </w:r>
      <w:r>
        <w:t xml:space="preserve"> </w:t>
      </w:r>
      <w:hyperlink w:anchor="sec-simulation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therefore uses a two-candidate GLM PS</w:t>
      </w:r>
      <w:r>
        <w:t xml:space="preserve"> </w:t>
      </w:r>
      <w:r>
        <w:t xml:space="preserve">grid (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0.01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}</m:t>
        </m:r>
      </m:oMath>
      <w:r>
        <w:t xml:space="preserve">) for the DQ stress test; SL.glmnet is</w:t>
      </w:r>
      <w:r>
        <w:t xml:space="preserve"> </w:t>
      </w:r>
      <w:r>
        <w:t xml:space="preserve">retained in the SuperLearner library for the cross-fitted TMLE</w:t>
      </w:r>
      <w:r>
        <w:t xml:space="preserve"> </w:t>
      </w:r>
      <w:r>
        <w:t xml:space="preserve">nuisance fits, where it operates on the full (undegraded)</w:t>
      </w:r>
      <w:r>
        <w:t xml:space="preserve"> </w:t>
      </w:r>
      <w:r>
        <w:t xml:space="preserve">observed-data sample. In practice, the GLM and regularised-learner</w:t>
      </w:r>
      <w:r>
        <w:t xml:space="preserve"> </w:t>
      </w:r>
      <w:r>
        <w:t xml:space="preserve">PS produce near-identical plasmode metrics on the simple logistic DGP</w:t>
      </w:r>
      <w:r>
        <w:t xml:space="preserve"> </w:t>
      </w:r>
      <w:r>
        <w:t xml:space="preserve">used here, so the omission does not change the candidate-selection</w:t>
      </w:r>
      <w:r>
        <w:t xml:space="preserve"> </w:t>
      </w:r>
      <w:r>
        <w:t xml:space="preserve">outcome. Analysts with more complex DGPs or learner libraries that</w:t>
      </w:r>
      <w:r>
        <w:t xml:space="preserve"> </w:t>
      </w:r>
      <w:r>
        <w:t xml:space="preserve">include tree-based or spline models should profile DQ-stress runtime</w:t>
      </w:r>
      <w:r>
        <w:t xml:space="preserve"> </w:t>
      </w:r>
      <w:r>
        <w:t xml:space="preserve">on a small representative run before committing to a full grid.</w:t>
      </w:r>
    </w:p>
    <w:bookmarkEnd w:id="138"/>
    <w:bookmarkStart w:id="139" w:name="computational-cost"/>
    <w:p>
      <w:pPr>
        <w:pStyle w:val="Heading3"/>
      </w:pPr>
      <w:r>
        <w:t xml:space="preserve">13.5.4 Computational cost</w:t>
      </w:r>
    </w:p>
    <w:p>
      <w:pPr>
        <w:pStyle w:val="FirstParagraph"/>
      </w:pPr>
      <w:r>
        <w:t xml:space="preserve">Each scenario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severity adds a full set of plasmode</w:t>
      </w:r>
      <w:r>
        <w:t xml:space="preserve"> </w:t>
      </w:r>
      <w:r>
        <w:t xml:space="preserve">replicates. With the configuration of</w:t>
      </w:r>
      <w:r>
        <w:t xml:space="preserve"> </w:t>
      </w:r>
      <w:hyperlink w:anchor="sec-simulation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(30</w:t>
      </w:r>
      <w:r>
        <w:t xml:space="preserve"> </w:t>
      </w:r>
      <w:r>
        <w:t xml:space="preserve">replicates per cell, nine degraded severity cells plus one</w:t>
      </w:r>
      <w:r>
        <w:t xml:space="preserve"> </w:t>
      </w:r>
      <w:r>
        <w:t xml:space="preserve">undegraded baseline, and two PS candidates) the test fits 600</w:t>
      </w:r>
      <w:r>
        <w:t xml:space="preserve"> </w:t>
      </w:r>
      <w:r>
        <w:t xml:space="preserve">TMLE models per Monte Carlo scenario. For the three simulation</w:t>
      </w:r>
      <w:r>
        <w:t xml:space="preserve"> </w:t>
      </w:r>
      <w:r>
        <w:t xml:space="preserve">scenarios combined, this totals 1,800 models, which completes</w:t>
      </w:r>
      <w:r>
        <w:t xml:space="preserve"> </w:t>
      </w:r>
      <w:r>
        <w:t xml:space="preserve">in roughly three hours on a modern laptop. Larger candidate grids</w:t>
      </w:r>
      <w:r>
        <w:t xml:space="preserve"> </w:t>
      </w:r>
      <w:r>
        <w:t xml:space="preserve">or higher replicate counts scale linearly; parallelising over</w:t>
      </w:r>
      <w:r>
        <w:t xml:space="preserve"> </w:t>
      </w:r>
      <w:r>
        <w:t xml:space="preserve">severity cells is the most direct route for interactive use.</w:t>
      </w:r>
    </w:p>
    <w:bookmarkEnd w:id="139"/>
    <w:bookmarkStart w:id="140" w:name="estimand-scope"/>
    <w:p>
      <w:pPr>
        <w:pStyle w:val="Heading3"/>
      </w:pPr>
      <w:r>
        <w:t xml:space="preserve">13.5.5 Estimand scope</w:t>
      </w:r>
    </w:p>
    <w:p>
      <w:pPr>
        <w:pStyle w:val="FirstParagraph"/>
      </w:pPr>
      <w:r>
        <w:t xml:space="preserve">The running estimand in this paper is the marginal risk difference</w:t>
      </w:r>
      <w:r>
        <w:t xml:space="preserve"> </w:t>
      </w:r>
      <w:r>
        <w:t xml:space="preserve">for a binary point exposure. Counterfactual hazard ratios are</w:t>
      </w:r>
      <w:r>
        <w:t xml:space="preserve"> </w:t>
      </w:r>
      <w:r>
        <w:t xml:space="preserve">available in</w:t>
      </w:r>
      <w:r>
        <w:t xml:space="preserve"> </w:t>
      </w:r>
      <w:r>
        <w:rPr>
          <w:rStyle w:val="VerbatimChar"/>
        </w:rPr>
        <w:t xml:space="preserve">survtmle</w:t>
      </w:r>
      <w:r>
        <w:t xml:space="preserve"> </w:t>
      </w:r>
      <w:r>
        <w:t xml:space="preserve">(Benkeser and Hejazi 2018)</w:t>
      </w:r>
      <w:r>
        <w:t xml:space="preserve"> </w:t>
      </w:r>
      <w:r>
        <w:t xml:space="preserve">but are not yet</w:t>
      </w:r>
      <w:r>
        <w:t xml:space="preserve"> </w:t>
      </w:r>
      <w:r>
        <w:t xml:space="preserve">wrapped into the cleanTMLE staged workflow. Sites that need</w:t>
      </w:r>
      <w:r>
        <w:t xml:space="preserve"> </w:t>
      </w:r>
      <w:r>
        <w:t xml:space="preserve">hazard-ratio estimation can call that package directly and feed</w:t>
      </w:r>
      <w:r>
        <w:t xml:space="preserve"> </w:t>
      </w:r>
      <w:r>
        <w:t xml:space="preserve">the output through the same lock and audit trail.</w:t>
      </w:r>
    </w:p>
    <w:p>
      <w:pPr>
        <w:pStyle w:val="BodyText"/>
      </w:pPr>
      <w:r>
        <w:t xml:space="preserve">Several other estimand families sit outside cleanTMLE’s current</w:t>
      </w:r>
      <w:r>
        <w:t xml:space="preserve"> </w:t>
      </w:r>
      <w:r>
        <w:t xml:space="preserve">scope: counterfactual cumulative-incidence curves with competing</w:t>
      </w:r>
      <w:r>
        <w:t xml:space="preserve"> </w:t>
      </w:r>
      <w:r>
        <w:t xml:space="preserve">risks, cumulative-count IPW, multinomial treatments, and the</w:t>
      </w:r>
      <w:r>
        <w:t xml:space="preserve"> </w:t>
      </w:r>
      <w:r>
        <w:t xml:space="preserve">SMR / overlap / normalised / stabilised weight families. cleanTMLE</w:t>
      </w:r>
      <w:r>
        <w:t xml:space="preserve"> </w:t>
      </w:r>
      <w:r>
        <w:t xml:space="preserve">in this release narrows to binary-treatment risk-difference TMLE;</w:t>
      </w:r>
      <w:r>
        <w:t xml:space="preserve"> </w:t>
      </w:r>
      <w:r>
        <w:t xml:space="preserve">analysts who need the broader estimand surface have access to</w:t>
      </w:r>
      <w:r>
        <w:t xml:space="preserve"> </w:t>
      </w:r>
      <w:r>
        <w:rPr>
          <w:rStyle w:val="VerbatimChar"/>
        </w:rPr>
        <w:t xml:space="preserve">survtmle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lmtp</w:t>
      </w:r>
      <w:r>
        <w:t xml:space="preserve"> </w:t>
      </w:r>
      <w:r>
        <w:t xml:space="preserve">(Williams and Dı́az 2021)</w:t>
      </w:r>
      <w:r>
        <w:t xml:space="preserve"> </w:t>
      </w:r>
      <w:r>
        <w:t xml:space="preserve">as alternative</w:t>
      </w:r>
      <w:r>
        <w:t xml:space="preserve"> </w:t>
      </w:r>
      <w:r>
        <w:t xml:space="preserve">implementations.</w:t>
      </w:r>
    </w:p>
    <w:bookmarkEnd w:id="140"/>
    <w:bookmarkEnd w:id="141"/>
    <w:bookmarkStart w:id="142" w:name="future-extensions"/>
    <w:p>
      <w:pPr>
        <w:pStyle w:val="Heading2"/>
      </w:pPr>
      <w:r>
        <w:t xml:space="preserve">13.6 Future extensions</w:t>
      </w:r>
    </w:p>
    <w:p>
      <w:pPr>
        <w:pStyle w:val="FirstParagraph"/>
      </w:pPr>
      <w:r>
        <w:t xml:space="preserve">The most consequential extensions, in priority order, are: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Single-call FIORD alignment.</w:t>
      </w:r>
      <w:r>
        <w:t xml:space="preserve"> </w:t>
      </w:r>
      <w:r>
        <w:t xml:space="preserve">Both FIORD stages are now</w:t>
      </w:r>
      <w:r>
        <w:t xml:space="preserve"> </w:t>
      </w:r>
      <w:r>
        <w:t xml:space="preserve">implemented (</w:t>
      </w:r>
      <w:r>
        <w:rPr>
          <w:rStyle w:val="VerbatimChar"/>
        </w:rPr>
        <w:t xml:space="preserve">select_tmle_candidate(rule = "fiord_two_stage")</w:t>
      </w:r>
      <w:r>
        <w:t xml:space="preserve"> </w:t>
      </w:r>
      <w:r>
        <w:t xml:space="preserve">for the</w:t>
      </w:r>
      <w:r>
        <w:t xml:space="preserve"> </w:t>
      </w:r>
      <w:r>
        <w:t xml:space="preserve">point estimator, and</w:t>
      </w:r>
      <w:r>
        <w:t xml:space="preserve"> </w:t>
      </w:r>
      <w:r>
        <w:rPr>
          <w:rStyle w:val="VerbatimChar"/>
        </w:rPr>
        <w:t xml:space="preserve">select_variance_method()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bootstrap_rd_variance()</w:t>
      </w:r>
      <w:r>
        <w:t xml:space="preserve"> </w:t>
      </w:r>
      <w:r>
        <w:t xml:space="preserve">for the variance method; see also</w:t>
      </w:r>
      <w:r>
        <w:t xml:space="preserve"> </w:t>
      </w:r>
      <w:r>
        <w:t xml:space="preserve">Mertens, Zhang, et al. (2024)</w:t>
      </w:r>
      <w:r>
        <w:t xml:space="preserve">). Folding the variance stage into a single</w:t>
      </w:r>
      <w:r>
        <w:t xml:space="preserve"> </w:t>
      </w:r>
      <w:r>
        <w:rPr>
          <w:rStyle w:val="VerbatimChar"/>
        </w:rPr>
        <w:t xml:space="preserve">run_*</w:t>
      </w:r>
      <w:r>
        <w:t xml:space="preserve"> </w:t>
      </w:r>
      <w:r>
        <w:t xml:space="preserve">wrapper and caching the bootstrap would make full FIORD alignment the</w:t>
      </w:r>
      <w:r>
        <w:t xml:space="preserve"> </w:t>
      </w:r>
      <w:r>
        <w:t xml:space="preserve">one-call default rather than two explicit steps.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Operating-characteristic validation of the variance selector</w:t>
      </w:r>
      <w:r>
        <w:t xml:space="preserve"> </w:t>
      </w:r>
      <w:r>
        <w:t xml:space="preserve">at</w:t>
      </w:r>
      <w:r>
        <w:t xml:space="preserve"> </w:t>
      </w:r>
      <w:r>
        <w:t xml:space="preserve">scale, paired with the gate validation in</w:t>
      </w:r>
      <w:r>
        <w:t xml:space="preserve"> </w:t>
      </w:r>
      <w:hyperlink w:anchor="sec-gate-oc">
        <w:r>
          <w:rPr>
            <w:rStyle w:val="Hyperlink"/>
          </w:rPr>
          <w:t xml:space="preserve">Section 11</w:t>
        </w:r>
      </w:hyperlink>
      <w:r>
        <w:t xml:space="preserve">, so the</w:t>
      </w:r>
      <w:r>
        <w:t xml:space="preserve"> </w:t>
      </w:r>
      <w:r>
        <w:t xml:space="preserve">variance-method choice is itself shown to recover nominal coverage</w:t>
      </w:r>
      <w:r>
        <w:t xml:space="preserve"> </w:t>
      </w:r>
      <w:r>
        <w:t xml:space="preserve">across a range of data-generating processes.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Unmeasured-confounding severity gradient:</w:t>
      </w:r>
      <w:r>
        <w:t xml:space="preserve"> </w:t>
      </w:r>
      <w:r>
        <w:t xml:space="preserve">vary the strength</w:t>
      </w:r>
      <w:r>
        <w:t xml:space="preserve"> </w:t>
      </w:r>
      <w:r>
        <w:t xml:space="preserve">of the latent-U scenario across a prespecified grid rather than</w:t>
      </w:r>
      <w:r>
        <w:t xml:space="preserve"> </w:t>
      </w:r>
      <w:r>
        <w:t xml:space="preserve">running a single strong-U setting, so the DQ stress test</w:t>
      </w:r>
      <w:r>
        <w:t xml:space="preserve"> </w:t>
      </w:r>
      <w:r>
        <w:t xml:space="preserve">produces an E-value-style sensitivity curve as a by-product.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Pre-protocol stress-test mode:</w:t>
      </w:r>
      <w:r>
        <w:t xml:space="preserve"> </w:t>
      </w:r>
      <w:r>
        <w:t xml:space="preserve">allow the plasmode and DQ</w:t>
      </w:r>
      <w:r>
        <w:t xml:space="preserve"> </w:t>
      </w:r>
      <w:r>
        <w:t xml:space="preserve">stress test to run on user-specified covariate distributions</w:t>
      </w:r>
      <w:r>
        <w:t xml:space="preserve"> </w:t>
      </w:r>
      <w:r>
        <w:t xml:space="preserve">and treatment-mechanism strength (no real data required) so</w:t>
      </w:r>
      <w:r>
        <w:t xml:space="preserve"> </w:t>
      </w:r>
      <w:r>
        <w:t xml:space="preserve">that investigators can decide which dataset to use before any</w:t>
      </w:r>
      <w:r>
        <w:t xml:space="preserve"> </w:t>
      </w:r>
      <w:r>
        <w:t xml:space="preserve">data-use agreement is signed.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DGP-spectrum argument</w:t>
      </w:r>
      <w:r>
        <w:t xml:space="preserve"> </w:t>
      </w:r>
      <w:r>
        <w:t xml:space="preserve">for the plasmode generator: structural-</w:t>
      </w:r>
      <w:r>
        <w:t xml:space="preserve"> </w:t>
      </w:r>
      <w:r>
        <w:t xml:space="preserve">equation (</w:t>
      </w:r>
      <w:r>
        <w:rPr>
          <w:rStyle w:val="VerbatimChar"/>
        </w:rPr>
        <w:t xml:space="preserve">simcausal</w:t>
      </w:r>
      <w:r>
        <w:t xml:space="preserve">-style), hybrid (current default), and</w:t>
      </w:r>
      <w:r>
        <w:t xml:space="preserve"> </w:t>
      </w:r>
      <w:r>
        <w:t xml:space="preserve">parametric-bootstrap modes, with synthetic-data fidelity metrics</w:t>
      </w:r>
      <w:r>
        <w:t xml:space="preserve"> </w:t>
      </w:r>
      <w:r>
        <w:t xml:space="preserve">(Hellinger / Wasserstein, or covariate SMDs between real and</w:t>
      </w:r>
      <w:r>
        <w:t xml:space="preserve"> </w:t>
      </w:r>
      <w:r>
        <w:t xml:space="preserve">synthetic samples) so the analyst can judge whether the DGP is</w:t>
      </w:r>
      <w:r>
        <w:t xml:space="preserve"> </w:t>
      </w:r>
      <w:r>
        <w:t xml:space="preserve">faithful enough to base candidate selection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Matched-cohort vs full-cohort plasmode diagnostic:</w:t>
      </w:r>
      <w:r>
        <w:t xml:space="preserve"> </w:t>
      </w:r>
      <w:r>
        <w:t xml:space="preserve">under a</w:t>
      </w:r>
      <w:r>
        <w:t xml:space="preserve"> </w:t>
      </w:r>
      <w:r>
        <w:t xml:space="preserve">known synthetic truth, compare the two estimators side by side</w:t>
      </w:r>
      <w:r>
        <w:t xml:space="preserve"> </w:t>
      </w:r>
      <w:r>
        <w:t xml:space="preserve">to diagnose whether observed real-data gaps are sampling noise</w:t>
      </w:r>
      <w:r>
        <w:t xml:space="preserve"> </w:t>
      </w:r>
      <w:r>
        <w:t xml:space="preserve">or positivity-driven.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Richer synthetic-outcome models:</w:t>
      </w:r>
      <w:r>
        <w:t xml:space="preserve"> </w:t>
      </w:r>
      <w:r>
        <w:t xml:space="preserve">effect modification, time-</w:t>
      </w:r>
      <w:r>
        <w:t xml:space="preserve"> </w:t>
      </w:r>
      <w:r>
        <w:t xml:space="preserve">varying treatment, and competing risks (the current DGP is a</w:t>
      </w:r>
      <w:r>
        <w:t xml:space="preserve"> </w:t>
      </w:r>
      <w:r>
        <w:t xml:space="preserve">logistic regression with a constant additive effect on the</w:t>
      </w:r>
      <w:r>
        <w:t xml:space="preserve"> </w:t>
      </w:r>
      <w:r>
        <w:t xml:space="preserve">risk-difference scale).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 / MNAR missingness:</w:t>
      </w:r>
      <w:r>
        <w:t xml:space="preserve"> </w:t>
      </w:r>
      <w:r>
        <w:t xml:space="preserve">a native inverse-probability-of-</w:t>
      </w:r>
      <w:r>
        <w:t xml:space="preserve"> </w:t>
      </w:r>
      <w:r>
        <w:t xml:space="preserve">missingness weighting path that does not require a structural</w:t>
      </w:r>
      <w:r>
        <w:t xml:space="preserve"> </w:t>
      </w:r>
      <w:r>
        <w:t xml:space="preserve">missingness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Survival and competing-risk estimands:</w:t>
      </w:r>
      <w:r>
        <w:t xml:space="preserve"> </w:t>
      </w:r>
      <w:r>
        <w:t xml:space="preserve">wrapping</w:t>
      </w:r>
      <w:r>
        <w:t xml:space="preserve"> </w:t>
      </w:r>
      <w:r>
        <w:rPr>
          <w:rStyle w:val="VerbatimChar"/>
        </w:rPr>
        <w:t xml:space="preserve">survtmle</w:t>
      </w:r>
      <w:r>
        <w:t xml:space="preserve"> </w:t>
      </w:r>
      <w:r>
        <w:t xml:space="preserve">(Benkeser and Hejazi 2018)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lmtp</w:t>
      </w:r>
      <w:r>
        <w:t xml:space="preserve"> </w:t>
      </w:r>
      <w:r>
        <w:t xml:space="preserve">(Williams and Dı́az 2021)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ltmle</w:t>
      </w:r>
      <w:r>
        <w:t xml:space="preserve"> </w:t>
      </w:r>
      <w:r>
        <w:t xml:space="preserve">for the longitudinal FIORD setting) inside the lock</w:t>
      </w:r>
      <w:r>
        <w:t xml:space="preserve"> </w:t>
      </w:r>
      <w:r>
        <w:t xml:space="preserve">and audit machinery so that hazard-ratio and cumulative-</w:t>
      </w:r>
      <w:r>
        <w:t xml:space="preserve"> </w:t>
      </w:r>
      <w:r>
        <w:t xml:space="preserve">incidence estimands inherit the same governance.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Transportability and decision-population shift:</w:t>
      </w:r>
      <w:r>
        <w:t xml:space="preserve"> </w:t>
      </w:r>
      <w:r>
        <w:t xml:space="preserve">the</w:t>
      </w:r>
      <w:r>
        <w:t xml:space="preserve"> </w:t>
      </w:r>
      <w:r>
        <w:t xml:space="preserve">plasmode framework can in principle simulate covariate-</w:t>
      </w:r>
      <w:r>
        <w:t xml:space="preserve"> </w:t>
      </w:r>
      <w:r>
        <w:t xml:space="preserve">distribution shift between the analytic cohort and the target</w:t>
      </w:r>
      <w:r>
        <w:t xml:space="preserve"> </w:t>
      </w:r>
      <w:r>
        <w:t xml:space="preserve">population, but the package does not yet expose this scenario.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Calibration helpers for severity ranges:</w:t>
      </w:r>
      <w:r>
        <w:t xml:space="preserve"> </w:t>
      </w:r>
      <w:r>
        <w:t xml:space="preserve">small helpers that</w:t>
      </w:r>
      <w:r>
        <w:t xml:space="preserve"> </w:t>
      </w:r>
      <w:r>
        <w:t xml:space="preserve">read validation-literature parameters (PPV, sensitivity, claims-</w:t>
      </w:r>
      <w:r>
        <w:t xml:space="preserve"> </w:t>
      </w:r>
      <w:r>
        <w:t xml:space="preserve">accuracy ranges) from a YAML file and translate them into</w:t>
      </w:r>
      <w:r>
        <w:t xml:space="preserve"> </w:t>
      </w:r>
      <w:r>
        <w:rPr>
          <w:rStyle w:val="VerbatimChar"/>
        </w:rPr>
        <w:t xml:space="preserve">data_quality_scenarios</w:t>
      </w:r>
      <w:r>
        <w:t xml:space="preserve"> </w:t>
      </w:r>
      <w:r>
        <w:t xml:space="preserve">lists, with the citations attached to</w:t>
      </w:r>
      <w:r>
        <w:t xml:space="preserve"> </w:t>
      </w:r>
      <w:r>
        <w:t xml:space="preserve">the audit log.</w:t>
      </w:r>
    </w:p>
    <w:bookmarkEnd w:id="142"/>
    <w:bookmarkStart w:id="143" w:name="X3a4c45a4b83f6adca96de927f71cbd45f486421"/>
    <w:p>
      <w:pPr>
        <w:pStyle w:val="Heading2"/>
      </w:pPr>
      <w:r>
        <w:t xml:space="preserve">13.7 When to use cleanTMLE inside a broader governance arrangement</w:t>
      </w:r>
    </w:p>
    <w:p>
      <w:pPr>
        <w:pStyle w:val="FirstParagraph"/>
      </w:pPr>
      <w:r>
        <w:t xml:space="preserve">For exploratory or lower-stakes RWE studies, cleanTMLE used on</w:t>
      </w:r>
      <w:r>
        <w:t xml:space="preserve"> </w:t>
      </w:r>
      <w:r>
        <w:t xml:space="preserve">its own may be adequate to document and audit outcome-blind</w:t>
      </w:r>
      <w:r>
        <w:t xml:space="preserve"> </w:t>
      </w:r>
      <w:r>
        <w:t xml:space="preserve">estimator selection: the analyst prespecifies the analytic plan,</w:t>
      </w:r>
      <w:r>
        <w:t xml:space="preserve"> </w:t>
      </w:r>
      <w:r>
        <w:t xml:space="preserve">runs the workflow inside a single R session, and archives the</w:t>
      </w:r>
      <w:r>
        <w:t xml:space="preserve"> </w:t>
      </w:r>
      <w:r>
        <w:t xml:space="preserve">analysis lock together with the audit and decision logs. For</w:t>
      </w:r>
      <w:r>
        <w:t xml:space="preserve"> </w:t>
      </w:r>
      <w:r>
        <w:t xml:space="preserve">high-stakes regulatory or confirmatory studies (FDA, EMA, or HTA</w:t>
      </w:r>
      <w:r>
        <w:t xml:space="preserve"> </w:t>
      </w:r>
      <w:r>
        <w:t xml:space="preserve">submission contexts), cleanTMLE should be embedded within</w:t>
      </w:r>
      <w:r>
        <w:t xml:space="preserve"> </w:t>
      </w:r>
      <w:r>
        <w:t xml:space="preserve">personnel-based outcome-blinding and access-control arrangements.</w:t>
      </w:r>
      <w:r>
        <w:t xml:space="preserve"> </w:t>
      </w:r>
      <w:r>
        <w:t xml:space="preserve">That deployment places cleanTMLE inside a broader governed</w:t>
      </w:r>
      <w:r>
        <w:t xml:space="preserve"> </w:t>
      </w:r>
      <w:r>
        <w:t xml:space="preserve">process with separate study-level work items: source-data audit</w:t>
      </w:r>
      <w:r>
        <w:t xml:space="preserve"> </w:t>
      </w:r>
      <w:r>
        <w:t xml:space="preserve">and provenance, exposure and outcome phenotype validation,</w:t>
      </w:r>
      <w:r>
        <w:t xml:space="preserve"> </w:t>
      </w:r>
      <w:r>
        <w:t xml:space="preserve">role-separated analyst and reviewer access, and an independent</w:t>
      </w:r>
      <w:r>
        <w:t xml:space="preserve"> </w:t>
      </w:r>
      <w:r>
        <w:t xml:space="preserve">review of the pre-outcome decision by personnel who did not</w:t>
      </w:r>
      <w:r>
        <w:t xml:space="preserve"> </w:t>
      </w:r>
      <w:r>
        <w:t xml:space="preserve">author the analytic plan. The software-mediated workflow records</w:t>
      </w:r>
      <w:r>
        <w:t xml:space="preserve"> </w:t>
      </w:r>
      <w:r>
        <w:t xml:space="preserve">that the prespecified contract has been followed; the governed</w:t>
      </w:r>
      <w:r>
        <w:t xml:space="preserve"> </w:t>
      </w:r>
      <w:r>
        <w:t xml:space="preserve">process establishes that the contract is the right one</w:t>
      </w:r>
      <w:r>
        <w:t xml:space="preserve"> </w:t>
      </w:r>
      <w:r>
        <w:t xml:space="preserve">(Muntner et al. 2024; U.S. Food and Drug Administration 2018; European Medicines Agency 2024)</w:t>
      </w:r>
      <w:r>
        <w:t xml:space="preserve">.</w:t>
      </w:r>
    </w:p>
    <w:bookmarkEnd w:id="143"/>
    <w:bookmarkStart w:id="144" w:name="recommendations-for-practice"/>
    <w:p>
      <w:pPr>
        <w:pStyle w:val="Heading2"/>
      </w:pPr>
      <w:r>
        <w:t xml:space="preserve">13.8 Recommendations for practice</w:t>
      </w:r>
    </w:p>
    <w:p>
      <w:pPr>
        <w:pStyle w:val="FirstParagraph"/>
      </w:pPr>
      <w:r>
        <w:t xml:space="preserve">A fillable SAP template aligned with the prespecification checklist</w:t>
      </w:r>
      <w:r>
        <w:t xml:space="preserve"> </w:t>
      </w:r>
      <w:r>
        <w:t xml:space="preserve">of</w:t>
      </w:r>
      <w:r>
        <w:t xml:space="preserve"> </w:t>
      </w:r>
      <w:r>
        <w:t xml:space="preserve">Gruber, Lee, et al. (2024)</w:t>
      </w:r>
      <w:r>
        <w:t xml:space="preserve"> </w:t>
      </w:r>
      <w:r>
        <w:t xml:space="preserve">and the staging construct of</w:t>
      </w:r>
      <w:r>
        <w:t xml:space="preserve"> </w:t>
      </w:r>
      <w:r>
        <w:t xml:space="preserve">Muntner et al. (2024)</w:t>
      </w:r>
      <w:r>
        <w:t xml:space="preserve"> </w:t>
      </w:r>
      <w:r>
        <w:t xml:space="preserve">is shipped with the package as</w:t>
      </w:r>
      <w:r>
        <w:t xml:space="preserve"> </w:t>
      </w:r>
      <w:r>
        <w:rPr>
          <w:rStyle w:val="VerbatimChar"/>
        </w:rPr>
        <w:t xml:space="preserve">system.file("templates", "sap_template.qmd", package = "cleanTMLE")</w:t>
      </w:r>
      <w:r>
        <w:t xml:space="preserve">.</w:t>
      </w:r>
      <w:r>
        <w:t xml:space="preserve"> </w:t>
      </w:r>
      <w:r>
        <w:t xml:space="preserve">The template walks the analyst through the eight-section structure</w:t>
      </w:r>
      <w:r>
        <w:t xml:space="preserve"> </w:t>
      </w:r>
      <w:r>
        <w:t xml:space="preserve">(estimand under ICH E9(R1), identifiability assumptions and DQ</w:t>
      </w:r>
      <w:r>
        <w:t xml:space="preserve"> </w:t>
      </w:r>
      <w:r>
        <w:t xml:space="preserve">mappings, candidate grid, decision thresholds, NC domain coverage,</w:t>
      </w:r>
      <w:r>
        <w:t xml:space="preserve"> </w:t>
      </w:r>
      <w:r>
        <w:t xml:space="preserve">sensitivity plan, decision log, reporting checklist) so that the</w:t>
      </w:r>
      <w:r>
        <w:t xml:space="preserve"> </w:t>
      </w:r>
      <w:r>
        <w:t xml:space="preserve">prespecification is filed in the same form that the audit log will</w:t>
      </w:r>
      <w:r>
        <w:t xml:space="preserve"> </w:t>
      </w:r>
      <w:r>
        <w:t xml:space="preserve">later reference.</w:t>
      </w:r>
    </w:p>
    <w:p>
      <w:pPr>
        <w:pStyle w:val="BodyText"/>
      </w:pPr>
      <w:r>
        <w:t xml:space="preserve">We recommend a four-step pre-outcome workflow when the analyst is</w:t>
      </w:r>
      <w:r>
        <w:t xml:space="preserve"> </w:t>
      </w:r>
      <w:r>
        <w:t xml:space="preserve">preparing a TL-RWE study.</w:t>
      </w:r>
    </w:p>
    <w:p>
      <w:pPr>
        <w:pStyle w:val="Compact"/>
        <w:numPr>
          <w:ilvl w:val="0"/>
          <w:numId w:val="1006"/>
        </w:numPr>
      </w:pPr>
      <w:r>
        <w:t xml:space="preserve">Document the SPIFD2 template, citing validation studies or data</w:t>
      </w:r>
      <w:r>
        <w:t xml:space="preserve"> </w:t>
      </w:r>
      <w:r>
        <w:t xml:space="preserve">profiling for each plausible range.</w:t>
      </w:r>
    </w:p>
    <w:p>
      <w:pPr>
        <w:pStyle w:val="Compact"/>
        <w:numPr>
          <w:ilvl w:val="0"/>
          <w:numId w:val="1006"/>
        </w:numPr>
      </w:pPr>
      <w:r>
        <w:t xml:space="preserve">Lock the candidate grid and the decision thresholds before any</w:t>
      </w:r>
      <w:r>
        <w:t xml:space="preserve"> </w:t>
      </w:r>
      <w:r>
        <w:t xml:space="preserve">simulation runs.</w:t>
      </w:r>
    </w:p>
    <w:p>
      <w:pPr>
        <w:pStyle w:val="Compact"/>
        <w:numPr>
          <w:ilvl w:val="0"/>
          <w:numId w:val="100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run_plasmode_feasibility()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run_plasmode_dq_stress()</w:t>
      </w:r>
      <w:r>
        <w:t xml:space="preserve"> </w:t>
      </w:r>
      <w:r>
        <w:t xml:space="preserve">in the same prespecified Stage 2b. Use the SPIFD2-derived ranges</w:t>
      </w:r>
      <w:r>
        <w:t xml:space="preserve"> </w:t>
      </w:r>
      <w:r>
        <w:t xml:space="preserve">as the inputs to</w:t>
      </w:r>
      <w:r>
        <w:t xml:space="preserve"> </w:t>
      </w:r>
      <w:r>
        <w:rPr>
          <w:rStyle w:val="VerbatimChar"/>
        </w:rPr>
        <w:t xml:space="preserve">data_quality_scenarios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Score the pre-outcome decision. If a candidate is robust to the SPIFD2</w:t>
      </w:r>
      <w:r>
        <w:t xml:space="preserve"> </w:t>
      </w:r>
      <w:r>
        <w:t xml:space="preserve">plausible ranges, lock it. If no candidate is robust, the</w:t>
      </w:r>
      <w:r>
        <w:t xml:space="preserve"> </w:t>
      </w:r>
      <w:r>
        <w:t xml:space="preserve">correct decision is STOP, and the analyst should reconsider</w:t>
      </w:r>
      <w:r>
        <w:t xml:space="preserve"> </w:t>
      </w:r>
      <w:r>
        <w:t xml:space="preserve">either the data source, the estimand, or the decision thresholds</w:t>
      </w:r>
      <w:r>
        <w:t xml:space="preserve"> </w:t>
      </w:r>
      <w:r>
        <w:t xml:space="preserve">before unblinding.</w:t>
      </w:r>
    </w:p>
    <w:p>
      <w:pPr>
        <w:pStyle w:val="FirstParagraph"/>
      </w:pPr>
      <w:r>
        <w:t xml:space="preserve">The audit log preserves all of the above. The final paper or</w:t>
      </w:r>
      <w:r>
        <w:t xml:space="preserve"> </w:t>
      </w:r>
      <w:r>
        <w:t xml:space="preserve">regulatory submission can be reconstructed from the lock and the</w:t>
      </w:r>
      <w:r>
        <w:t xml:space="preserve"> </w:t>
      </w:r>
      <w:r>
        <w:t xml:space="preserve">audit, including the SPIFD2 ranges, the plasmode and DQ stress</w:t>
      </w:r>
      <w:r>
        <w:t xml:space="preserve"> </w:t>
      </w:r>
      <w:r>
        <w:t xml:space="preserve">metrics, the pre-outcome decision, and the post-outcome estimate.</w:t>
      </w:r>
    </w:p>
    <w:bookmarkEnd w:id="144"/>
    <w:bookmarkEnd w:id="145"/>
    <w:bookmarkStart w:id="148" w:name="sec-summary"/>
    <w:p>
      <w:pPr>
        <w:pStyle w:val="Heading1"/>
      </w:pPr>
      <w:r>
        <w:t xml:space="preserve">14. Summary</w:t>
      </w:r>
    </w:p>
    <w:p>
      <w:pPr>
        <w:pStyle w:val="FirstParagraph"/>
      </w:pPr>
      <w:r>
        <w:t xml:space="preserve">cleanTMLE is an R package for staged, outcome-blind targeted</w:t>
      </w:r>
      <w:r>
        <w:t xml:space="preserve"> </w:t>
      </w:r>
      <w:r>
        <w:t xml:space="preserve">learning that produces reproducible prespecification records. It</w:t>
      </w:r>
      <w:r>
        <w:t xml:space="preserve"> </w:t>
      </w:r>
      <w:r>
        <w:t xml:space="preserve">extends the outcome-blind plasmode loop of</w:t>
      </w:r>
      <w:r>
        <w:t xml:space="preserve"> </w:t>
      </w:r>
      <w:r>
        <w:t xml:space="preserve">Dang et al. (2023)</w:t>
      </w:r>
      <w:r>
        <w:t xml:space="preserve"> </w:t>
      </w:r>
      <w:r>
        <w:t xml:space="preserve">and</w:t>
      </w:r>
      <w:r>
        <w:t xml:space="preserve"> </w:t>
      </w:r>
      <w:r>
        <w:t xml:space="preserve">Gruber, Lee, et al. (2024)</w:t>
      </w:r>
      <w:r>
        <w:t xml:space="preserve"> </w:t>
      </w:r>
      <w:r>
        <w:t xml:space="preserve">with four data-quality degradation mechanisms,</w:t>
      </w:r>
      <w:r>
        <w:t xml:space="preserve"> </w:t>
      </w:r>
      <w:r>
        <w:t xml:space="preserve">producing per-candidate degradation gradients on the same bias /</w:t>
      </w:r>
      <w:r>
        <w:t xml:space="preserve"> </w:t>
      </w:r>
      <w:r>
        <w:t xml:space="preserve">RMSE / coverage scale as the baseline plasmode so the prespecified</w:t>
      </w:r>
      <w:r>
        <w:t xml:space="preserve"> </w:t>
      </w:r>
      <w:r>
        <w:t xml:space="preserve">decision rule can be applied uniformly to both. A constructed</w:t>
      </w:r>
      <w:r>
        <w:t xml:space="preserve"> </w:t>
      </w:r>
      <w:r>
        <w:t xml:space="preserve">demonstration (</w:t>
      </w:r>
      <w:hyperlink w:anchor="sec-divergence">
        <w:r>
          <w:rPr>
            <w:rStyle w:val="Hyperlink"/>
          </w:rPr>
          <w:t xml:space="preserve">Section 10</w:t>
        </w:r>
      </w:hyperlink>
      <w:r>
        <w:t xml:space="preserve">) shows that the worst-case selection</w:t>
      </w:r>
      <w:r>
        <w:t xml:space="preserve"> </w:t>
      </w:r>
      <w:r>
        <w:t xml:space="preserve">rule can select a different candidate from the baseline rule, so</w:t>
      </w:r>
      <w:r>
        <w:t xml:space="preserve"> </w:t>
      </w:r>
      <w:r>
        <w:t xml:space="preserve">screening candidates against data-quality threats can change which</w:t>
      </w:r>
      <w:r>
        <w:t xml:space="preserve"> </w:t>
      </w:r>
      <w:r>
        <w:t xml:space="preserve">estimator is locked. This is a</w:t>
      </w:r>
      <w:r>
        <w:t xml:space="preserve"> </w:t>
      </w:r>
      <w:r>
        <w:t xml:space="preserve">quantitative bridge from qualitative data-fitness concerns to</w:t>
      </w:r>
      <w:r>
        <w:t xml:space="preserve"> </w:t>
      </w:r>
      <w:r>
        <w:t xml:space="preserve">prespecified outcome-blind plasmode stress-test scenarios; the</w:t>
      </w:r>
      <w:r>
        <w:t xml:space="preserve"> </w:t>
      </w:r>
      <w:r>
        <w:t xml:space="preserve">package does not itself determine whether a data source is fit</w:t>
      </w:r>
      <w:r>
        <w:t xml:space="preserve"> </w:t>
      </w:r>
      <w:r>
        <w:t xml:space="preserve">for purpose, and the severity ranges entered into the stress test</w:t>
      </w:r>
      <w:r>
        <w:t xml:space="preserve"> </w:t>
      </w:r>
      <w:r>
        <w:t xml:space="preserve">must come from prior validation studies, data profiling, or</w:t>
      </w:r>
      <w:r>
        <w:t xml:space="preserve"> </w:t>
      </w:r>
      <w:r>
        <w:t xml:space="preserve">expert elicitation. The analysis-lock object, audit</w:t>
      </w:r>
      <w:r>
        <w:t xml:space="preserve"> </w:t>
      </w:r>
      <w:r>
        <w:t xml:space="preserve">log, and decision log persist the prespecification as reproducible</w:t>
      </w:r>
      <w:r>
        <w:t xml:space="preserve"> </w:t>
      </w:r>
      <w:r>
        <w:t xml:space="preserve">records that downstream estimation functions check before</w:t>
      </w:r>
      <w:r>
        <w:t xml:space="preserve"> </w:t>
      </w:r>
      <w:r>
        <w:t xml:space="preserve">running. The package is available at</w:t>
      </w:r>
      <w:r>
        <w:t xml:space="preserve"> </w:t>
      </w:r>
      <w:hyperlink r:id="rId146">
        <w:r>
          <w:rPr>
            <w:rStyle w:val="Hyperlink"/>
          </w:rPr>
          <w:t xml:space="preserve">https://github.com/amertens/cleanTMLE</w:t>
        </w:r>
      </w:hyperlink>
      <w:r>
        <w:t xml:space="preserve">;</w:t>
      </w:r>
      <w:r>
        <w:t xml:space="preserve"> </w:t>
      </w:r>
      <w:r>
        <w:t xml:space="preserve">the simulation code for the results in</w:t>
      </w:r>
      <w:r>
        <w:t xml:space="preserve"> </w:t>
      </w:r>
      <w:hyperlink w:anchor="sec-simulation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is in</w:t>
      </w:r>
      <w:r>
        <w:t xml:space="preserve"> </w:t>
      </w:r>
      <w:r>
        <w:t xml:space="preserve">the companion repository</w:t>
      </w:r>
      <w:r>
        <w:t xml:space="preserve"> </w:t>
      </w:r>
      <w:hyperlink r:id="rId147">
        <w:r>
          <w:rPr>
            <w:rStyle w:val="Hyperlink"/>
          </w:rPr>
          <w:t xml:space="preserve">https://github.com/amertens/clean-room-sim</w:t>
        </w:r>
      </w:hyperlink>
      <w:r>
        <w:t xml:space="preserve">.</w:t>
      </w:r>
    </w:p>
    <w:bookmarkEnd w:id="148"/>
    <w:bookmarkStart w:id="149" w:name="sec-reproducibility"/>
    <w:p>
      <w:pPr>
        <w:pStyle w:val="Heading1"/>
      </w:pPr>
      <w:r>
        <w:t xml:space="preserve">15. Reproducibility</w:t>
      </w:r>
    </w:p>
    <w:p>
      <w:pPr>
        <w:pStyle w:val="FirstParagraph"/>
      </w:pPr>
      <w:r>
        <w:t xml:space="preserve">The cleanTMLE package ships 17 testthat test files covering the core</w:t>
      </w:r>
      <w:r>
        <w:t xml:space="preserve"> </w:t>
      </w:r>
      <w:r>
        <w:t xml:space="preserve">workflow: analysis-lock creation and validation, staged checkpoints and</w:t>
      </w:r>
      <w:r>
        <w:t xml:space="preserve"> </w:t>
      </w:r>
      <w:r>
        <w:t xml:space="preserve">decision thresholds, DQ stress-test mechanics and degradation gradients,</w:t>
      </w:r>
      <w:r>
        <w:t xml:space="preserve"> </w:t>
      </w:r>
      <w:r>
        <w:t xml:space="preserve">bootstrap and influence-function variance estimators (including the</w:t>
      </w:r>
      <w:r>
        <w:t xml:space="preserve"> </w:t>
      </w:r>
      <w:r>
        <w:rPr>
          <w:rStyle w:val="VerbatimChar"/>
        </w:rPr>
        <w:t xml:space="preserve">"match_tmle"</w:t>
      </w:r>
      <w:r>
        <w:t xml:space="preserve"> </w:t>
      </w:r>
      <w:r>
        <w:t xml:space="preserve">estimator), event-process helpers, plasmode simulation,</w:t>
      </w:r>
      <w:r>
        <w:t xml:space="preserve"> </w:t>
      </w:r>
      <w:r>
        <w:t xml:space="preserve">stage-gate authorisation, estimator ground-truth comparisons against</w:t>
      </w:r>
      <w:r>
        <w:t xml:space="preserve"> </w:t>
      </w:r>
      <w:r>
        <w:rPr>
          <w:rStyle w:val="VerbatimChar"/>
        </w:rPr>
        <w:t xml:space="preserve">tmle::tmle()</w:t>
      </w:r>
      <w:r>
        <w:t xml:space="preserve">, and reporting tables. Tests are run on every push via</w:t>
      </w:r>
      <w:r>
        <w:t xml:space="preserve"> </w:t>
      </w:r>
      <w:r>
        <w:t xml:space="preserve">the repository’s continuous-integration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cleanTMLE/tests/testthat/</w:t>
      </w:r>
      <w:r>
        <w:t xml:space="preserve">). The experimental time-to-event estimators</w:t>
      </w:r>
      <w:r>
        <w:t xml:space="preserve"> </w:t>
      </w:r>
      <w:r>
        <w:t xml:space="preserve">have separate test files and are tagged accordingly.</w:t>
      </w:r>
    </w:p>
    <w:p>
      <w:pPr>
        <w:pStyle w:val="BodyText"/>
      </w:pPr>
      <w:r>
        <w:t xml:space="preserve">The simulation results reported in this paper are produced by three</w:t>
      </w:r>
      <w:r>
        <w:t xml:space="preserve"> </w:t>
      </w:r>
      <w:r>
        <w:t xml:space="preserve">scripts in the companion repository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https://github.com/amertens/clean-room-sim</w:t>
        </w:r>
      </w:hyperlink>
      <w:r>
        <w:t xml:space="preserve">). Each script writes its</w:t>
      </w:r>
      <w:r>
        <w:t xml:space="preserve"> </w:t>
      </w:r>
      <w:r>
        <w:t xml:space="preserve">output to the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directory, which is tracked in the repository</w:t>
      </w:r>
      <w:r>
        <w:t xml:space="preserve"> </w:t>
      </w:r>
      <w:r>
        <w:t xml:space="preserve">for the files listed below.</w:t>
      </w:r>
    </w:p>
    <w:p>
      <w:pPr>
        <w:pStyle w:val="TableCaption"/>
      </w:pPr>
      <w:r>
        <w:t xml:space="preserve">Script-to-output map. Running the scripts in order fully</w:t>
      </w:r>
      <w:r>
        <w:t xml:space="preserve"> </w:t>
      </w:r>
      <w:r>
        <w:t xml:space="preserve">regenerates the tracked simulation outputs; rendering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then</w:t>
      </w:r>
      <w:r>
        <w:t xml:space="preserve"> </w:t>
      </w:r>
      <w:r>
        <w:t xml:space="preserve">produces all figures and tables. The underscore-prefixed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dev/</w:t>
      </w:r>
      <w:r>
        <w:t xml:space="preserve">) are diagnostic utilities not required for manuscript</w:t>
      </w:r>
      <w:r>
        <w:t xml:space="preserve"> </w:t>
      </w:r>
      <w:r>
        <w:t xml:space="preserve">reproduction.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ript-to-output map. Running the scripts in order fully regenerates the tracked simulation outputs; rendering the .qmd then produces all figures and tables. The underscore-prefixed scripts (dev/) are diagnostic utilities not required for manuscript reproduc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Output file(s)</w:t>
            </w:r>
          </w:p>
        </w:tc>
        <w:tc>
          <w:tcPr/>
          <w:p>
            <w:pPr>
              <w:pStyle w:val="Compact"/>
            </w:pPr>
            <w:r>
              <w:t xml:space="preserve">Figures /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run_simulation.R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results/simulation_results.rds</w:t>
            </w:r>
          </w:p>
        </w:tc>
        <w:tc>
          <w:tcPr/>
          <w:p>
            <w:pPr>
              <w:pStyle w:val="Compact"/>
            </w:pPr>
            <w:hyperlink w:anchor="tbl-mc-metrics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,</w:t>
            </w:r>
            <w:r>
              <w:t xml:space="preserve"> </w:t>
            </w:r>
            <w:hyperlink w:anchor="fig-mc-boxplots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w:hyperlink w:anchor="fig-coverage-ba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,</w:t>
            </w:r>
            <w:r>
              <w:t xml:space="preserve"> </w:t>
            </w:r>
            <w:hyperlink w:anchor="fig-se-calibration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,</w:t>
            </w:r>
            <w:r>
              <w:t xml:space="preserve"> </w:t>
            </w:r>
            <w:hyperlink w:anchor="fig-mc-forest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w:hyperlink w:anchor="fig-dq-degradation">
              <w:r>
                <w:rPr>
                  <w:rStyle w:val="Hyperlink"/>
                </w:rPr>
                <w:t xml:space="preserve">Figure 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run_gate_operating_characteristics.R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results/gate_oc.rds</w:t>
            </w:r>
          </w:p>
        </w:tc>
        <w:tc>
          <w:tcPr/>
          <w:p>
            <w:pPr>
              <w:pStyle w:val="Compact"/>
            </w:pPr>
            <w:hyperlink w:anchor="sec-gate-oc">
              <w:r>
                <w:rPr>
                  <w:rStyle w:val="Hyperlink"/>
                </w:rPr>
                <w:t xml:space="preserve">Section 11</w:t>
              </w:r>
            </w:hyperlink>
            <w:r>
              <w:t xml:space="preserve"> </w:t>
            </w:r>
            <w:r>
              <w:t xml:space="preserve">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_bootstrap_variance.R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results/bootstrap_variance.rds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results/bootstrap_variance.csv</w:t>
            </w:r>
          </w:p>
        </w:tc>
        <w:tc>
          <w:tcPr/>
          <w:p>
            <w:pPr>
              <w:pStyle w:val="Compact"/>
            </w:pPr>
            <w:hyperlink w:anchor="tbl-boot-variance">
              <w:r>
                <w:rPr>
                  <w:rStyle w:val="Hyperlink"/>
                </w:rPr>
                <w:t xml:space="preserve">Table 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inst/extdata/rescueco_dq_full.R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results/rescueco_dq_full.rds</w:t>
            </w:r>
          </w:p>
        </w:tc>
        <w:tc>
          <w:tcPr/>
          <w:p>
            <w:pPr>
              <w:pStyle w:val="Compact"/>
            </w:pPr>
            <w:r>
              <w:t xml:space="preserve">Case-study DQ subsection (</w:t>
            </w:r>
            <w:hyperlink w:anchor="sec-casestudy-dq">
              <w:r>
                <w:rPr>
                  <w:rStyle w:val="Hyperlink"/>
                </w:rPr>
                <w:t xml:space="preserve">Section 12.4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sandbox/candidate_divergence/divergence_study.R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candidate_divergence_full.rds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degradation_gradient.png</w:t>
            </w:r>
          </w:p>
        </w:tc>
        <w:tc>
          <w:tcPr/>
          <w:p>
            <w:pPr>
              <w:pStyle w:val="Compact"/>
            </w:pPr>
            <w:hyperlink w:anchor="sec-divergence">
              <w:r>
                <w:rPr>
                  <w:rStyle w:val="Hyperlink"/>
                </w:rPr>
                <w:t xml:space="preserve">Section 10</w:t>
              </w:r>
            </w:hyperlink>
            <w:r>
              <w:t xml:space="preserve"> </w:t>
            </w:r>
            <w:r>
              <w:t xml:space="preserve">(</w:t>
            </w:r>
            <w:hyperlink w:anchor="fig-divergence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The case-study DQ results reported in</w:t>
      </w:r>
      <w:r>
        <w:t xml:space="preserve"> </w:t>
      </w:r>
      <w:hyperlink w:anchor="sec-casestudy-dq">
        <w:r>
          <w:rPr>
            <w:rStyle w:val="Hyperlink"/>
          </w:rPr>
          <w:t xml:space="preserve">Section 12.4</w:t>
        </w:r>
      </w:hyperlink>
      <w:r>
        <w:t xml:space="preserve"> </w:t>
      </w:r>
      <w:r>
        <w:t xml:space="preserve">use the</w:t>
      </w:r>
      <w:r>
        <w:t xml:space="preserve"> </w:t>
      </w:r>
      <w:r>
        <w:t xml:space="preserve">200-replicate run produced by</w:t>
      </w:r>
      <w:r>
        <w:t xml:space="preserve"> </w:t>
      </w:r>
      <w:r>
        <w:rPr>
          <w:rStyle w:val="VerbatimChar"/>
        </w:rPr>
        <w:t xml:space="preserve">inst/extdata/rescueco_dq_full.R</w:t>
      </w:r>
      <w:r>
        <w:t xml:space="preserve">. The</w:t>
      </w:r>
      <w:r>
        <w:t xml:space="preserve"> </w:t>
      </w:r>
      <w:r>
        <w:t xml:space="preserve">bundled configuration (</w:t>
      </w:r>
      <w:r>
        <w:rPr>
          <w:rStyle w:val="VerbatimChar"/>
        </w:rPr>
        <w:t xml:space="preserve">config/clean_room_config.yml</w:t>
      </w:r>
      <w:r>
        <w:t xml:space="preserve">) runs Stage 2c</w:t>
      </w:r>
      <w:r>
        <w:t xml:space="preserve"> </w:t>
      </w:r>
      <w:r>
        <w:t xml:space="preserve">at 3 replicates per threat-severity cell as a continuous-integration</w:t>
      </w:r>
      <w:r>
        <w:t xml:space="preserve"> </w:t>
      </w:r>
      <w:r>
        <w:t xml:space="preserve">smoke test, which is not used for any reported result.</w:t>
      </w:r>
    </w:p>
    <w:bookmarkEnd w:id="149"/>
    <w:bookmarkStart w:id="165" w:name="sec-appendix"/>
    <w:p>
      <w:pPr>
        <w:pStyle w:val="Heading1"/>
      </w:pPr>
      <w:r>
        <w:t xml:space="preserve">Appendix</w:t>
      </w:r>
    </w:p>
    <w:bookmarkStart w:id="151" w:name="conceptual-layers-of-the-workflow"/>
    <w:p>
      <w:pPr>
        <w:pStyle w:val="Heading2"/>
      </w:pPr>
      <w:r>
        <w:t xml:space="preserve">15.1 Conceptual layers of the workflow</w:t>
      </w:r>
    </w:p>
    <w:p>
      <w:pPr>
        <w:pStyle w:val="FirstParagraph"/>
      </w:pPr>
      <w:hyperlink w:anchor="tbl-layers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distinguishes the conceptual layers that the workflow keeps</w:t>
      </w:r>
      <w:r>
        <w:t xml:space="preserve"> </w:t>
      </w:r>
      <w:r>
        <w:t xml:space="preserve">separate, and serves as a reference for which decisions are addressed at</w:t>
      </w:r>
      <w:r>
        <w:t xml:space="preserve"> </w:t>
      </w:r>
      <w:r>
        <w:t xml:space="preserve">the design stage versus the estimation stage.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laye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8: Conceptual layers in the staged workflow. The same vocabulary is used throughout the manuscript to keep estimand, estimator, simulation, and decision rule distinct.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6"/>
              <w:gridCol w:w="679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Causal question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Clinical or policy question framed as a target trial or causal contrast.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Causal estimand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Counterfactual treatment effect of interest (e.g. marginal risk difference).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Identification assumptions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 under which the causal estimand can be expressed as an observed-data parameter (exchangeability, positivity, consistency, measurement validity, missingness assumptions).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 estimand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Observed-data parameter identified under the assumptions above.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Algorithm used to estimate the statistical estimand, for example TMLE, IPTW, or matching.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Pre-outcome diagnostic metric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Pre-outcome quantity used for design checks: simulated bias, RMSE, coverage, effective sample size, balance, negative-control performance.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Governance decision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Whether prespecified criteria support proceeding, require additional review, or require stopping the analysis before the outcome is examined.</w:t>
                  </w:r>
                </w:p>
              </w:tc>
            </w:tr>
          </w:tbl>
          <w:bookmarkEnd w:id="150"/>
          <w:p/>
        </w:tc>
      </w:tr>
    </w:tbl>
    <w:bookmarkEnd w:id="151"/>
    <w:bookmarkStart w:id="160" w:name="the-package-inside-the-causal-roadmap"/>
    <w:p>
      <w:pPr>
        <w:pStyle w:val="Heading2"/>
      </w:pPr>
      <w:r>
        <w:t xml:space="preserve">15.2 The package inside the causal roadmap</w:t>
      </w:r>
    </w:p>
    <w:p>
      <w:pPr>
        <w:pStyle w:val="FirstParagraph"/>
      </w:pPr>
      <w:hyperlink w:anchor="fig-roadmap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where the package sits in the roadmap, and</w:t>
      </w:r>
      <w:r>
        <w:t xml:space="preserve"> </w:t>
      </w:r>
      <w:hyperlink w:anchor="fig-governance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software arrangement as one layer of a broader</w:t>
      </w:r>
      <w:r>
        <w:t xml:space="preserve"> </w:t>
      </w:r>
      <w:r>
        <w:t xml:space="preserve">governance stack in which external validation, independent oversight,</w:t>
      </w:r>
      <w:r>
        <w:t xml:space="preserve"> </w:t>
      </w:r>
      <w:r>
        <w:t xml:space="preserve">and data standards remain necessary inputs to the pre-outcome decision.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roadmap"/>
          <w:p>
            <w:pPr>
              <w:pStyle w:val="Compact"/>
              <w:jc w:val="center"/>
            </w:pPr>
            <w:r>
              <w:drawing>
                <wp:inline>
                  <wp:extent cx="3733800" cy="597408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figures/fig-roadmap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74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cleanTMLE inside the causal roadmap. Boxes shaded grey indicate work that the package can operationalise; the remaining boxes are external study-level activities.</w:t>
            </w:r>
          </w:p>
          <w:bookmarkEnd w:id="1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governance"/>
          <w:p>
            <w:pPr>
              <w:pStyle w:val="Compact"/>
              <w:jc w:val="center"/>
            </w:pPr>
            <w:r>
              <w:drawing>
                <wp:inline>
                  <wp:extent cx="4800600" cy="4235823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figures/fig-governance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35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Governance layers. The software-level arrangement is necessary but not sufficient for regulatory or confirmatory RWE; external validation, independent review, and data standards feed the pre-outcome decision.</w:t>
            </w:r>
          </w:p>
          <w:bookmarkEnd w:id="159"/>
        </w:tc>
      </w:tr>
    </w:tbl>
    <w:bookmarkEnd w:id="160"/>
    <w:bookmarkStart w:id="162" w:name="regulatory-alignment"/>
    <w:p>
      <w:pPr>
        <w:pStyle w:val="Heading2"/>
      </w:pPr>
      <w:r>
        <w:t xml:space="preserve">15.3 Regulatory alignment</w:t>
      </w:r>
    </w:p>
    <w:p>
      <w:pPr>
        <w:pStyle w:val="FirstParagraph"/>
      </w:pPr>
      <w:hyperlink w:anchor="tbl-reg-align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maps each roadmap component to the corresponding</w:t>
      </w:r>
      <w:r>
        <w:t xml:space="preserve"> </w:t>
      </w:r>
      <w:r>
        <w:t xml:space="preserve">manuscript section, the relevant FDA, EMA, and ICH expectation, what</w:t>
      </w:r>
      <w:r>
        <w:t xml:space="preserve"> </w:t>
      </w:r>
      <w:r>
        <w:t xml:space="preserve">cleanTMLE can operationalise in software, and what still requires</w:t>
      </w:r>
      <w:r>
        <w:t xml:space="preserve"> </w:t>
      </w:r>
      <w:r>
        <w:t xml:space="preserve">external study-level justification. The final column is the one that</w:t>
      </w:r>
      <w:r>
        <w:t xml:space="preserve"> </w:t>
      </w:r>
      <w:r>
        <w:t xml:space="preserve">distinguishes the software-level workflow from the broader regulatory</w:t>
      </w:r>
      <w:r>
        <w:t xml:space="preserve"> </w:t>
      </w:r>
      <w:r>
        <w:t xml:space="preserve">governance arrangement.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tbl-reg-align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9: Mapping of causal-roadmap components to manuscript sections, regulatory anchors, what cleanTMLE operationalises, and what still requires external study-level justification.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67"/>
              <w:gridCol w:w="1000"/>
              <w:gridCol w:w="2167"/>
              <w:gridCol w:w="1834"/>
              <w:gridCol w:w="175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Roadmap component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Manuscript section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/ EMA / ICH anchor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What cleanTMLE operationalises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External study-level work still required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Causal question / target trial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estimand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Hernán target-trial framework; FDA RWE Framework; ICH M14 (March 2026)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(none)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target-trial protocol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data and source characterisation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estimand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w:anchor="sec-casestudy">
                    <w:r>
                      <w:rPr>
                        <w:rStyle w:val="Hyperlink"/>
                      </w:rPr>
                      <w:t xml:space="preserve">Section 12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EHR/claims, registries; EMA registry guideline; EMA RWD quality framework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Lock fingerprint of column names + data 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Phenotype validation, data lineage, source audit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Identification assumptions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id">
                    <w:r>
                      <w:rPr>
                        <w:rStyle w:val="Hyperlink"/>
                      </w:rPr>
                      <w:t xml:space="preserve">Section 4.4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ICH E9(R1)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Records assumptions in attach_estimand and audit log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Subject-matter justification of exchangeability and positivity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 estimand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estimand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ICH E9(R1); FDA Considerations for RWD/RWE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attach_estimand, lock fingerprint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Source-specific operationalisation of intercurrent events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Estimator selection and locking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framework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w:anchor="sec-implementation">
                    <w:r>
                      <w:rPr>
                        <w:rStyle w:val="Hyperlink"/>
                      </w:rPr>
                      <w:t xml:space="preserve">Section 8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non-interventional studies; ICH M14 (March 2026)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tmle_candidate, lock_primary_tmle_spec, save_lock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Justification of SuperLearner library and severity grids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Pre-outcome data-quality stress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dq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Source-specific reliability (FDA/EMA); validation evidence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run_plasmode_dq_stress, default_dq_scenarios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External validation evidence anchoring DQ severity ranges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Stage 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bridge">
                    <w:r>
                      <w:rPr>
                        <w:rStyle w:val="Hyperlink"/>
                      </w:rPr>
                      <w:t xml:space="preserve">Section 7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Internal protocol governance; FDA traceability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gate_check, gate_all, authorize_outcome_analysis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Independent review of the pre-outcome decision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 analysis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implementation">
                    <w:r>
                      <w:rPr>
                        <w:rStyle w:val="Hyperlink"/>
                      </w:rPr>
                      <w:t xml:space="preserve">Section 8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Considerations for RWD/RWE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fit_tmle_treatment/outcome_mechanism, run_ipcw_tmle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Role separation, oversight, deviation memos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At-outcome diagnostics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discussion">
                    <w:r>
                      <w:rPr>
                        <w:rStyle w:val="Hyperlink"/>
                      </w:rPr>
                      <w:t xml:space="preserve">Section 13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EMA RWE Guide; FDA non-interventional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run_negative_control(_tmle), checkpoint_residual_bias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Choice of negative-control outcomes and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Post-outcome sensitivity analyses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sec-discussion">
                    <w:r>
                      <w:rPr>
                        <w:rStyle w:val="Hyperlink"/>
                      </w:rPr>
                      <w:t xml:space="preserve">Section 13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FDA non-interventional studies; ICH E9(R1)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compute_evalue, tipping_point_sensitivity, sensitivity_truncation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Quantitative bias analysis tailored to study threats</w:t>
                  </w:r>
                </w:p>
              </w:tc>
            </w:tr>
          </w:tbl>
          <w:bookmarkEnd w:id="161"/>
          <w:p/>
        </w:tc>
      </w:tr>
    </w:tbl>
    <w:bookmarkEnd w:id="162"/>
    <w:bookmarkStart w:id="164" w:name="event-process-and-diagnostic-helpers"/>
    <w:p>
      <w:pPr>
        <w:pStyle w:val="Heading2"/>
      </w:pPr>
      <w:r>
        <w:t xml:space="preserve">15.4 Event-process and diagnostic helpers</w:t>
      </w:r>
    </w:p>
    <w:p>
      <w:pPr>
        <w:pStyle w:val="FirstParagraph"/>
      </w:pPr>
      <w:hyperlink w:anchor="tbl-event-diag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lists the additional event-process and diagnostic</w:t>
      </w:r>
      <w:r>
        <w:t xml:space="preserve"> </w:t>
      </w:r>
      <w:r>
        <w:t xml:space="preserve">structures the package makes explicit, paired with the helper that</w:t>
      </w:r>
      <w:r>
        <w:t xml:space="preserve"> </w:t>
      </w:r>
      <w:r>
        <w:t xml:space="preserve">produces each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event-dia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10: Supplementary mapping. Event-process and diagnostic structures that the package makes explicit, paired with the helper that produces each one.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84"/>
              <w:gridCol w:w="1211"/>
              <w:gridCol w:w="502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cleanTMLE 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Purpose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Event-process classification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clean_event_process_table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Map each post-baseline event to its role in the estimand and ICH E9(R1) intercurrent-event strategy.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Target population and reference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clean_target_population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Force explicit declaration of the population and reference group for every contrast.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Treatment, censoring, and missingness weight diagnostics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clean_weight_diagnostics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 percentiles, ESS, extreme-weight counts, and weighted SMDs for each weight vector used.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Competing-risk and composite-risk coherence 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clean_check_event_processes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Verify that event-of-interest plus competing-event cumulative incidences are coherent with the composite risk.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Cumulative-risk reporting 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clean_risk_report_table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Single structured table of cumulative risks, contrasts, event counts, and estimator name.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Hazard-ratio de-emphasis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(documented preference; HR as secondary)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risks, risk differences, and risk ratios are the primary summaries; hazard ratios are reported only as secondary when the estimand is explicitly hazard-based.</w:t>
                  </w:r>
                </w:p>
              </w:tc>
            </w:tr>
          </w:tbl>
          <w:bookmarkEnd w:id="163"/>
          <w:p/>
        </w:tc>
      </w:tr>
    </w:tbl>
    <w:bookmarkEnd w:id="164"/>
    <w:bookmarkEnd w:id="165"/>
    <w:bookmarkStart w:id="166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We thank the targeted-learning RWE roadmap authors (Dang, Gruber,</w:t>
      </w:r>
      <w:r>
        <w:t xml:space="preserve"> </w:t>
      </w:r>
      <w:r>
        <w:t xml:space="preserve">Phillips, Lee, Ho, van der Laan, Petersen, and colleagues), whose</w:t>
      </w:r>
      <w:r>
        <w:t xml:space="preserve"> </w:t>
      </w:r>
      <w:r>
        <w:t xml:space="preserve">published frameworks this software builds on, and the broader</w:t>
      </w:r>
      <w:r>
        <w:t xml:space="preserve"> </w:t>
      </w:r>
      <w:r>
        <w:t xml:space="preserve">cumulative-risk pharmacoepidemiology literature whose estimand</w:t>
      </w:r>
      <w:r>
        <w:t xml:space="preserve"> </w:t>
      </w:r>
      <w:r>
        <w:t xml:space="preserve">framing motivated several of our diagnostic helpers. Any errors</w:t>
      </w:r>
      <w:r>
        <w:t xml:space="preserve"> </w:t>
      </w:r>
      <w:r>
        <w:t xml:space="preserve">are ours.</w:t>
      </w:r>
    </w:p>
    <w:bookmarkEnd w:id="166"/>
    <w:bookmarkStart w:id="252" w:name="references"/>
    <w:p>
      <w:pPr>
        <w:pStyle w:val="Heading1"/>
      </w:pPr>
      <w:r>
        <w:t xml:space="preserve">References</w:t>
      </w:r>
    </w:p>
    <w:bookmarkStart w:id="251" w:name="refs"/>
    <w:bookmarkStart w:id="168" w:name="ref-abadie2008bootstrap"/>
    <w:p>
      <w:pPr>
        <w:pStyle w:val="Bibliography"/>
      </w:pPr>
      <w:r>
        <w:t xml:space="preserve">Abadie, Alberto, and Guido W. Imbens. 2008.</w:t>
      </w:r>
      <w:r>
        <w:t xml:space="preserve"> </w:t>
      </w:r>
      <w:r>
        <w:t xml:space="preserve">“On the Failure of the Bootstrap for Matching Estimators.”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76 (6): 1537–57.</w:t>
      </w:r>
      <w:r>
        <w:t xml:space="preserve"> </w:t>
      </w:r>
      <w:hyperlink r:id="rId167">
        <w:r>
          <w:rPr>
            <w:rStyle w:val="Hyperlink"/>
          </w:rPr>
          <w:t xml:space="preserve">https://doi.org/10.3982/ECTA5444</w:t>
        </w:r>
      </w:hyperlink>
      <w:r>
        <w:t xml:space="preserve">.</w:t>
      </w:r>
    </w:p>
    <w:bookmarkEnd w:id="168"/>
    <w:bookmarkStart w:id="170" w:name="ref-austin2009ps"/>
    <w:p>
      <w:pPr>
        <w:pStyle w:val="Bibliography"/>
      </w:pPr>
      <w:r>
        <w:t xml:space="preserve">Austin, Peter C. 2009.</w:t>
      </w:r>
      <w:r>
        <w:t xml:space="preserve"> </w:t>
      </w:r>
      <w:r>
        <w:t xml:space="preserve">“Balance Diagnostics for Comparing the Distribution of Baseline Covariates Between Treatment Groups in Propensity-Score Matched Samples.”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28 (25): 3083–3107.</w:t>
      </w:r>
      <w:r>
        <w:t xml:space="preserve"> </w:t>
      </w:r>
      <w:hyperlink r:id="rId169">
        <w:r>
          <w:rPr>
            <w:rStyle w:val="Hyperlink"/>
          </w:rPr>
          <w:t xml:space="preserve">https://doi.org/10.1002/sim.3697</w:t>
        </w:r>
      </w:hyperlink>
      <w:r>
        <w:t xml:space="preserve">.</w:t>
      </w:r>
    </w:p>
    <w:bookmarkEnd w:id="170"/>
    <w:bookmarkStart w:id="171" w:name="ref-survtmlepackage2018"/>
    <w:p>
      <w:pPr>
        <w:pStyle w:val="Bibliography"/>
      </w:pPr>
      <w:r>
        <w:t xml:space="preserve">Benkeser, David, and Nima S. Hejazi. 2018.</w:t>
      </w:r>
      <w:r>
        <w:t xml:space="preserve"> </w:t>
      </w:r>
      <w:r>
        <w:t xml:space="preserve">“Survtmle: Compute Targeted Minimum Loss-Based Estimates in Right-Censored Survival Settings.”</w:t>
      </w:r>
    </w:p>
    <w:bookmarkEnd w:id="171"/>
    <w:bookmarkStart w:id="173" w:name="ref-cashin2024target"/>
    <w:p>
      <w:pPr>
        <w:pStyle w:val="Bibliography"/>
      </w:pPr>
      <w:r>
        <w:t xml:space="preserve">Cashin, A. G., H. J. Hansford, T. R. Stanton, et al. 2024.</w:t>
      </w:r>
      <w:r>
        <w:t xml:space="preserve"> </w:t>
      </w:r>
      <w:r>
        <w:t xml:space="preserve">“</w:t>
      </w:r>
      <w:r>
        <w:t xml:space="preserve">TARGET</w:t>
      </w:r>
      <w:r>
        <w:t xml:space="preserve">: Target Trial Reporting Tool for Observational Studies.”</w:t>
      </w:r>
      <w:r>
        <w:t xml:space="preserve"> </w:t>
      </w:r>
      <w:r>
        <w:rPr>
          <w:i/>
          <w:iCs/>
        </w:rPr>
        <w:t xml:space="preserve">BMJ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https://doi.org/10.1136/bmj-2024-080483</w:t>
        </w:r>
      </w:hyperlink>
      <w:r>
        <w:t xml:space="preserve">.</w:t>
      </w:r>
    </w:p>
    <w:bookmarkEnd w:id="173"/>
    <w:bookmarkStart w:id="175" w:name="ref-chernozhukov2018dml"/>
    <w:p>
      <w:pPr>
        <w:pStyle w:val="Bibliography"/>
      </w:pPr>
      <w:r>
        <w:t xml:space="preserve">Chernozhukov, Victor, Denis Chetverikov, Mert Demirer, Esther Duflo, Christian Hansen, Whitney Newey, and James Robins. 2018.</w:t>
      </w:r>
      <w:r>
        <w:t xml:space="preserve"> </w:t>
      </w:r>
      <w:r>
        <w:t xml:space="preserve">“Double/Debiased Machine Learning for Treatment and Structural Parameters.”</w:t>
      </w:r>
      <w:r>
        <w:t xml:space="preserve"> </w:t>
      </w:r>
      <w:r>
        <w:rPr>
          <w:i/>
          <w:iCs/>
        </w:rPr>
        <w:t xml:space="preserve">The Econometrics Journal</w:t>
      </w:r>
      <w:r>
        <w:t xml:space="preserve"> </w:t>
      </w:r>
      <w:r>
        <w:t xml:space="preserve">21 (1): C1–68.</w:t>
      </w:r>
      <w:r>
        <w:t xml:space="preserve"> </w:t>
      </w:r>
      <w:hyperlink r:id="rId174">
        <w:r>
          <w:rPr>
            <w:rStyle w:val="Hyperlink"/>
          </w:rPr>
          <w:t xml:space="preserve">https://doi.org/10.1111/ectj.12097</w:t>
        </w:r>
      </w:hyperlink>
      <w:r>
        <w:t xml:space="preserve">.</w:t>
      </w:r>
    </w:p>
    <w:bookmarkEnd w:id="175"/>
    <w:bookmarkStart w:id="177" w:name="ref-dang2023roadmap"/>
    <w:p>
      <w:pPr>
        <w:pStyle w:val="Bibliography"/>
      </w:pPr>
      <w:r>
        <w:t xml:space="preserve">Dang, Lauren E., Susan Gruber, Hana Lee, Issa J. Dahabreh, Elizabeth A. Stuart, Brian D. Williamson, Richard Wyss, et al. 2023.</w:t>
      </w:r>
      <w:r>
        <w:t xml:space="preserve"> </w:t>
      </w:r>
      <w:r>
        <w:t xml:space="preserve">“A Causal Roadmap for Generating High-Quality Real-World Evidence.”</w:t>
      </w:r>
      <w:r>
        <w:t xml:space="preserve"> </w:t>
      </w:r>
      <w:r>
        <w:rPr>
          <w:i/>
          <w:iCs/>
        </w:rPr>
        <w:t xml:space="preserve">Journal of Clinical and Translational Science</w:t>
      </w:r>
      <w:r>
        <w:t xml:space="preserve"> </w:t>
      </w:r>
      <w:r>
        <w:t xml:space="preserve">7 (1): e212.</w:t>
      </w:r>
      <w:r>
        <w:t xml:space="preserve"> </w:t>
      </w:r>
      <w:hyperlink r:id="rId176">
        <w:r>
          <w:rPr>
            <w:rStyle w:val="Hyperlink"/>
          </w:rPr>
          <w:t xml:space="preserve">https://doi.org/10.1017/cts.2023.635</w:t>
        </w:r>
      </w:hyperlink>
      <w:r>
        <w:t xml:space="preserve">.</w:t>
      </w:r>
    </w:p>
    <w:bookmarkEnd w:id="177"/>
    <w:bookmarkStart w:id="179" w:name="ref-diaz2013sensitivity"/>
    <w:p>
      <w:pPr>
        <w:pStyle w:val="Bibliography"/>
      </w:pPr>
      <w:r>
        <w:t xml:space="preserve">Dı́az, Iván, and Mark J. van der Laan. 2013.</w:t>
      </w:r>
      <w:r>
        <w:t xml:space="preserve"> </w:t>
      </w:r>
      <w:r>
        <w:t xml:space="preserve">“Sensitivity Analysis for Causal Inference Under Unmeasured Confounding and Measurement Error Problems.”</w:t>
      </w:r>
      <w:r>
        <w:t xml:space="preserve"> </w:t>
      </w:r>
      <w:r>
        <w:rPr>
          <w:i/>
          <w:iCs/>
        </w:rPr>
        <w:t xml:space="preserve">The International Journal of Biostatistics</w:t>
      </w:r>
      <w:r>
        <w:t xml:space="preserve"> </w:t>
      </w:r>
      <w:r>
        <w:t xml:space="preserve">9 (2): 149–60.</w:t>
      </w:r>
      <w:r>
        <w:t xml:space="preserve"> </w:t>
      </w:r>
      <w:hyperlink r:id="rId178">
        <w:r>
          <w:rPr>
            <w:rStyle w:val="Hyperlink"/>
          </w:rPr>
          <w:t xml:space="preserve">https://doi.org/10.1515/ijb-2013-0004</w:t>
        </w:r>
      </w:hyperlink>
      <w:r>
        <w:t xml:space="preserve">.</w:t>
      </w:r>
    </w:p>
    <w:bookmarkEnd w:id="179"/>
    <w:bookmarkStart w:id="181" w:name="ref-ema2021registry"/>
    <w:p>
      <w:pPr>
        <w:pStyle w:val="Bibliography"/>
      </w:pPr>
      <w:r>
        <w:t xml:space="preserve">European Medicines Agency. 2021.</w:t>
      </w:r>
      <w:r>
        <w:t xml:space="preserve"> </w:t>
      </w:r>
      <w:r>
        <w:t xml:space="preserve">“Guideline on Registry-Based Studies.”</w:t>
      </w:r>
      <w:r>
        <w:t xml:space="preserve"> </w:t>
      </w:r>
      <w:hyperlink r:id="rId180">
        <w:r>
          <w:rPr>
            <w:rStyle w:val="Hyperlink"/>
          </w:rPr>
          <w:t xml:space="preserve">https://www.ema.europa.eu/en/guideline-registry-based-studies-scientific-guideline</w:t>
        </w:r>
      </w:hyperlink>
      <w:r>
        <w:t xml:space="preserve">.</w:t>
      </w:r>
    </w:p>
    <w:bookmarkEnd w:id="181"/>
    <w:bookmarkStart w:id="183" w:name="ref-ema2024guide"/>
    <w:p>
      <w:pPr>
        <w:pStyle w:val="Bibliography"/>
      </w:pPr>
      <w:r>
        <w:t xml:space="preserve">———. 2024.</w:t>
      </w:r>
      <w:r>
        <w:t xml:space="preserve"> </w:t>
      </w:r>
      <w:r>
        <w:t xml:space="preserve">“Guide on Real-World Evidence Provided by</w:t>
      </w:r>
      <w:r>
        <w:t xml:space="preserve"> </w:t>
      </w:r>
      <w:r>
        <w:t xml:space="preserve">EMA</w:t>
      </w:r>
      <w:r>
        <w:t xml:space="preserve"> </w:t>
      </w:r>
      <w:r>
        <w:t xml:space="preserve">to Support Regulatory Decision-Making.”</w:t>
      </w:r>
      <w:r>
        <w:t xml:space="preserve"> </w:t>
      </w:r>
      <w:hyperlink r:id="rId182">
        <w:r>
          <w:rPr>
            <w:rStyle w:val="Hyperlink"/>
          </w:rPr>
          <w:t xml:space="preserve">https://www.ema.europa.eu/en/about-us/how-we-work/big-data/real-world-evidence</w:t>
        </w:r>
      </w:hyperlink>
      <w:r>
        <w:t xml:space="preserve">.</w:t>
      </w:r>
    </w:p>
    <w:bookmarkEnd w:id="183"/>
    <w:bookmarkStart w:id="184" w:name="ref-ema2026rwd"/>
    <w:p>
      <w:pPr>
        <w:pStyle w:val="Bibliography"/>
      </w:pPr>
      <w:r>
        <w:t xml:space="preserve">———. 2026.</w:t>
      </w:r>
      <w:r>
        <w:t xml:space="preserve"> </w:t>
      </w:r>
      <w:r>
        <w:t xml:space="preserve">“Real-World Data Data-Quality Framework for</w:t>
      </w:r>
      <w:r>
        <w:t xml:space="preserve"> </w:t>
      </w:r>
      <w:r>
        <w:t xml:space="preserve">EU</w:t>
      </w:r>
      <w:r>
        <w:t xml:space="preserve"> </w:t>
      </w:r>
      <w:r>
        <w:t xml:space="preserve">Medicines Regulation.”</w:t>
      </w:r>
    </w:p>
    <w:bookmarkEnd w:id="184"/>
    <w:bookmarkStart w:id="186" w:name="ref-franklin2014plasmode"/>
    <w:p>
      <w:pPr>
        <w:pStyle w:val="Bibliography"/>
      </w:pPr>
      <w:r>
        <w:t xml:space="preserve">Franklin, Jessica M., Sebastian Schneeweiss, Jennifer M. Polinski, and Jeremy A. Rassen. 2014.</w:t>
      </w:r>
      <w:r>
        <w:t xml:space="preserve"> </w:t>
      </w:r>
      <w:r>
        <w:t xml:space="preserve">“Plasmode Simulation for the Evaluation of Pharmacoepidemiologic Methods in Complex Healthcare Databases.”</w:t>
      </w:r>
      <w:r>
        <w:t xml:space="preserve"> </w:t>
      </w:r>
      <w:r>
        <w:rPr>
          <w:i/>
          <w:iCs/>
        </w:rPr>
        <w:t xml:space="preserve">Computational Statistics &amp; Data Analysis</w:t>
      </w:r>
      <w:r>
        <w:t xml:space="preserve"> </w:t>
      </w:r>
      <w:r>
        <w:t xml:space="preserve">72: 219–26.</w:t>
      </w:r>
      <w:r>
        <w:t xml:space="preserve"> </w:t>
      </w:r>
      <w:hyperlink r:id="rId185">
        <w:r>
          <w:rPr>
            <w:rStyle w:val="Hyperlink"/>
          </w:rPr>
          <w:t xml:space="preserve">https://doi.org/10.1016/j.csda.2013.10.018</w:t>
        </w:r>
      </w:hyperlink>
      <w:r>
        <w:t xml:space="preserve">.</w:t>
      </w:r>
    </w:p>
    <w:bookmarkEnd w:id="186"/>
    <w:bookmarkStart w:id="188" w:name="ref-gatto2022spifd"/>
    <w:p>
      <w:pPr>
        <w:pStyle w:val="Bibliography"/>
      </w:pPr>
      <w:r>
        <w:t xml:space="preserve">Gatto, Nicolle M., Robert F. Reynolds, and Ulka B. Campbell. 2022.</w:t>
      </w:r>
      <w:r>
        <w:t xml:space="preserve"> </w:t>
      </w:r>
      <w:r>
        <w:t xml:space="preserve">“The Structured Process to Identify Fit-for-Purpose Data: A Data Feasibility Assessment Framework.”</w:t>
      </w:r>
      <w:r>
        <w:t xml:space="preserve"> </w:t>
      </w:r>
      <w:r>
        <w:rPr>
          <w:i/>
          <w:iCs/>
        </w:rPr>
        <w:t xml:space="preserve">Clinical Pharmacology &amp; Therapeutics</w:t>
      </w:r>
      <w:r>
        <w:t xml:space="preserve"> </w:t>
      </w:r>
      <w:r>
        <w:t xml:space="preserve">111 (1): 122–34.</w:t>
      </w:r>
      <w:r>
        <w:t xml:space="preserve"> </w:t>
      </w:r>
      <w:hyperlink r:id="rId187">
        <w:r>
          <w:rPr>
            <w:rStyle w:val="Hyperlink"/>
          </w:rPr>
          <w:t xml:space="preserve">https://doi.org/10.1002/cpt.2466</w:t>
        </w:r>
      </w:hyperlink>
      <w:r>
        <w:t xml:space="preserve">.</w:t>
      </w:r>
    </w:p>
    <w:bookmarkEnd w:id="188"/>
    <w:bookmarkStart w:id="190" w:name="ref-gatto2023spifd2"/>
    <w:p>
      <w:pPr>
        <w:pStyle w:val="Bibliography"/>
      </w:pPr>
      <w:r>
        <w:t xml:space="preserve">Gatto, Nicolle M., Sarah E. Vititoe, Emily Rubinstein, Robert F. Reynolds, and Ulka B. Campbell. 2023.</w:t>
      </w:r>
      <w:r>
        <w:t xml:space="preserve"> </w:t>
      </w:r>
      <w:r>
        <w:t xml:space="preserve">“A Structured Process to Identify Fit-for-Purpose Study Design and Data to Generate Valid and Transparent Real-World Evidence for Regulatory Uses.”</w:t>
      </w:r>
      <w:r>
        <w:t xml:space="preserve"> </w:t>
      </w:r>
      <w:r>
        <w:rPr>
          <w:i/>
          <w:iCs/>
        </w:rPr>
        <w:t xml:space="preserve">Clinical Pharmacology &amp; Therapeutics</w:t>
      </w:r>
      <w:r>
        <w:t xml:space="preserve"> </w:t>
      </w:r>
      <w:r>
        <w:t xml:space="preserve">113 (6): 1235–39.</w:t>
      </w:r>
      <w:r>
        <w:t xml:space="preserve"> </w:t>
      </w:r>
      <w:hyperlink r:id="rId189">
        <w:r>
          <w:rPr>
            <w:rStyle w:val="Hyperlink"/>
          </w:rPr>
          <w:t xml:space="preserve">https://doi.org/10.1002/cpt.2883</w:t>
        </w:r>
      </w:hyperlink>
      <w:r>
        <w:t xml:space="preserve">.</w:t>
      </w:r>
    </w:p>
    <w:bookmarkEnd w:id="190"/>
    <w:bookmarkStart w:id="192" w:name="ref-gruber2022sap"/>
    <w:p>
      <w:pPr>
        <w:pStyle w:val="Bibliography"/>
      </w:pPr>
      <w:r>
        <w:t xml:space="preserve">Gruber, Susan, Hana Lee, Rachael V. Phillips, Martin Ho, and Mark J. van der Laan. 2024.</w:t>
      </w:r>
      <w:r>
        <w:t xml:space="preserve"> </w:t>
      </w:r>
      <w:r>
        <w:t xml:space="preserve">“Developing a Targeted Learning-Based Statistical Analysis Plan.”</w:t>
      </w:r>
      <w:r>
        <w:t xml:space="preserve"> </w:t>
      </w:r>
      <w:r>
        <w:rPr>
          <w:i/>
          <w:iCs/>
        </w:rPr>
        <w:t xml:space="preserve">Statistics in Biopharmaceutical Research</w:t>
      </w:r>
      <w:r>
        <w:t xml:space="preserve"> </w:t>
      </w:r>
      <w:r>
        <w:t xml:space="preserve">16 (1): 1–15.</w:t>
      </w:r>
      <w:r>
        <w:t xml:space="preserve"> </w:t>
      </w:r>
      <w:hyperlink r:id="rId191">
        <w:r>
          <w:rPr>
            <w:rStyle w:val="Hyperlink"/>
          </w:rPr>
          <w:t xml:space="preserve">https://doi.org/10.1080/19466315.2022.2116104</w:t>
        </w:r>
      </w:hyperlink>
      <w:r>
        <w:t xml:space="preserve">.</w:t>
      </w:r>
    </w:p>
    <w:bookmarkEnd w:id="192"/>
    <w:bookmarkStart w:id="194" w:name="ref-gruber2024evaluating"/>
    <w:p>
      <w:pPr>
        <w:pStyle w:val="Bibliography"/>
      </w:pPr>
      <w:r>
        <w:t xml:space="preserve">Gruber, Susan, Rachael V. Phillips, Hana Lee, John Concato, and Mark J. van der Laan. 2024.</w:t>
      </w:r>
      <w:r>
        <w:t xml:space="preserve"> </w:t>
      </w:r>
      <w:r>
        <w:t xml:space="preserve">“Evaluating and Improving Real-World Evidence with Targeted Learning.”</w:t>
      </w:r>
      <w:r>
        <w:t xml:space="preserve"> </w:t>
      </w:r>
      <w:r>
        <w:rPr>
          <w:i/>
          <w:iCs/>
        </w:rPr>
        <w:t xml:space="preserve">BMC Medical Research Methodology</w:t>
      </w:r>
      <w:r>
        <w:t xml:space="preserve"> </w:t>
      </w:r>
      <w:r>
        <w:t xml:space="preserve">24 (1): 1–14.</w:t>
      </w:r>
      <w:r>
        <w:t xml:space="preserve"> </w:t>
      </w:r>
      <w:hyperlink r:id="rId193">
        <w:r>
          <w:rPr>
            <w:rStyle w:val="Hyperlink"/>
          </w:rPr>
          <w:t xml:space="preserve">https://doi.org/10.1186/s12874-024-02244-z</w:t>
        </w:r>
      </w:hyperlink>
      <w:r>
        <w:t xml:space="preserve">.</w:t>
      </w:r>
    </w:p>
    <w:bookmarkEnd w:id="194"/>
    <w:bookmarkStart w:id="196" w:name="ref-hernan2016targettrial"/>
    <w:p>
      <w:pPr>
        <w:pStyle w:val="Bibliography"/>
      </w:pPr>
      <w:r>
        <w:t xml:space="preserve">Hernán, M. A., and J. M.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195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196"/>
    <w:bookmarkStart w:id="197" w:name="ref-hernan2016target"/>
    <w:p>
      <w:pPr>
        <w:pStyle w:val="Bibliography"/>
      </w:pPr>
      <w:r>
        <w:t xml:space="preserve">Hernán, Miguel A., and James M.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195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197"/>
    <w:bookmarkStart w:id="198" w:name="ref-hernan2020causal"/>
    <w:p>
      <w:pPr>
        <w:pStyle w:val="Bibliography"/>
      </w:pPr>
      <w:r>
        <w:t xml:space="preserve">———.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</w:p>
    <w:bookmarkEnd w:id="198"/>
    <w:bookmarkStart w:id="199" w:name="ref-ich2019e9r1"/>
    <w:p>
      <w:pPr>
        <w:pStyle w:val="Bibliography"/>
      </w:pPr>
      <w:r>
        <w:t xml:space="preserve">International Council for Harmonisation. 2019.</w:t>
      </w:r>
      <w:r>
        <w:t xml:space="preserve"> </w:t>
      </w:r>
      <w:r>
        <w:t xml:space="preserve">“</w:t>
      </w:r>
      <w:r>
        <w:t xml:space="preserve">ICH E9(R1)</w:t>
      </w:r>
      <w:r>
        <w:t xml:space="preserve"> </w:t>
      </w:r>
      <w:r>
        <w:t xml:space="preserve">Addendum on Estimands and Sensitivity Analysis in Clinical Trials.”</w:t>
      </w:r>
    </w:p>
    <w:bookmarkEnd w:id="199"/>
    <w:bookmarkStart w:id="200" w:name="ref-ich2024m14"/>
    <w:p>
      <w:pPr>
        <w:pStyle w:val="Bibliography"/>
      </w:pPr>
      <w:r>
        <w:t xml:space="preserve">———. 2026.</w:t>
      </w:r>
      <w:r>
        <w:t xml:space="preserve"> </w:t>
      </w:r>
      <w:r>
        <w:t xml:space="preserve">“</w:t>
      </w:r>
      <w:r>
        <w:t xml:space="preserve">ICH M14</w:t>
      </w:r>
      <w:r>
        <w:t xml:space="preserve"> </w:t>
      </w:r>
      <w:r>
        <w:t xml:space="preserve">Guidance for Industry: General Principles on Planning, Designing, and Analyzing Non-Interventional Studies Using Real-World Data for Safety Assessment of Medicines.”</w:t>
      </w:r>
    </w:p>
    <w:bookmarkEnd w:id="200"/>
    <w:bookmarkStart w:id="202" w:name="ref-kahn2016data"/>
    <w:p>
      <w:pPr>
        <w:pStyle w:val="Bibliography"/>
      </w:pPr>
      <w:r>
        <w:t xml:space="preserve">Kahn, Michael G., Tiffany J. Callahan, Juliana Barnard, Alan E. Bauck, Jeffrey Brown, Bruce N. Davidson, Hossein Estiri, et al. 2016.</w:t>
      </w:r>
      <w:r>
        <w:t xml:space="preserve"> </w:t>
      </w:r>
      <w:r>
        <w:t xml:space="preserve">“A Harmonized Data Quality Assessment Terminology and Framework for the Secondary Use of Electronic Health Record Data.”</w:t>
      </w:r>
      <w:r>
        <w:t xml:space="preserve"> </w:t>
      </w:r>
      <w:r>
        <w:rPr>
          <w:i/>
          <w:iCs/>
        </w:rPr>
        <w:t xml:space="preserve">EGEMS (Washington, DC)</w:t>
      </w:r>
      <w:r>
        <w:t xml:space="preserve"> </w:t>
      </w:r>
      <w:r>
        <w:t xml:space="preserve">4 (1): 1244.</w:t>
      </w:r>
      <w:r>
        <w:t xml:space="preserve"> </w:t>
      </w:r>
      <w:hyperlink r:id="rId201">
        <w:r>
          <w:rPr>
            <w:rStyle w:val="Hyperlink"/>
          </w:rPr>
          <w:t xml:space="preserve">https://doi.org/10.13063/2327-9214.1244</w:t>
        </w:r>
      </w:hyperlink>
      <w:r>
        <w:t xml:space="preserve">.</w:t>
      </w:r>
    </w:p>
    <w:bookmarkEnd w:id="202"/>
    <w:bookmarkStart w:id="203" w:name="ref-kent2026fiord"/>
    <w:p>
      <w:pPr>
        <w:pStyle w:val="Bibliography"/>
      </w:pPr>
      <w:r>
        <w:t xml:space="preserve">Kent, Shia T. 2026.</w:t>
      </w:r>
      <w:r>
        <w:t xml:space="preserve"> </w:t>
      </w:r>
      <w:r>
        <w:t xml:space="preserve">“A Staging Framework to Facilitate Transparency and Reduce Bias in Comparative Analyses of Real-World Data.”</w:t>
      </w:r>
      <w:r>
        <w:t xml:space="preserve"> </w:t>
      </w:r>
      <w:r>
        <w:t xml:space="preserve">Conference presentation, 4th Annual Forum on the Integration of Observational and Randomized Data (FIORD), Day 1 Lunch session.</w:t>
      </w:r>
    </w:p>
    <w:bookmarkEnd w:id="203"/>
    <w:bookmarkStart w:id="205" w:name="ref-lash2014qba"/>
    <w:p>
      <w:pPr>
        <w:pStyle w:val="Bibliography"/>
      </w:pPr>
      <w:r>
        <w:t xml:space="preserve">Lash, Timothy L., Matthew P. Fox, Richard F. MacLehose, George Maldonado, Lawrence C. McCandless, and Sander Greenland. 2014.</w:t>
      </w:r>
      <w:r>
        <w:t xml:space="preserve"> </w:t>
      </w:r>
      <w:r>
        <w:t xml:space="preserve">“Good Practices for Quantitative Bias Analysis.”</w:t>
      </w:r>
      <w:r>
        <w:t xml:space="preserve"> </w:t>
      </w:r>
      <w:r>
        <w:rPr>
          <w:i/>
          <w:iCs/>
        </w:rPr>
        <w:t xml:space="preserve">International Journal of Epidemiology</w:t>
      </w:r>
      <w:r>
        <w:t xml:space="preserve"> </w:t>
      </w:r>
      <w:r>
        <w:t xml:space="preserve">43 (6): 1969–85.</w:t>
      </w:r>
      <w:r>
        <w:t xml:space="preserve"> </w:t>
      </w:r>
      <w:hyperlink r:id="rId204">
        <w:r>
          <w:rPr>
            <w:rStyle w:val="Hyperlink"/>
          </w:rPr>
          <w:t xml:space="preserve">https://doi.org/10.1093/ije/dyu149</w:t>
        </w:r>
      </w:hyperlink>
      <w:r>
        <w:t xml:space="preserve">.</w:t>
      </w:r>
    </w:p>
    <w:bookmarkEnd w:id="205"/>
    <w:bookmarkStart w:id="207" w:name="ref-levintow2023nco"/>
    <w:p>
      <w:pPr>
        <w:pStyle w:val="Bibliography"/>
      </w:pPr>
      <w:r>
        <w:t xml:space="preserve">Levintow, Sara N., Carrie M. Nielson, Rohini K. Hernandez, and M. Alan Brookhart. 2023.</w:t>
      </w:r>
      <w:r>
        <w:t xml:space="preserve"> </w:t>
      </w:r>
      <w:r>
        <w:t xml:space="preserve">“Pragmatic Considerations for Negative Control Outcome Studies to Guide Non-Randomized Comparative Analyses: A Narrative Review.”</w:t>
      </w:r>
      <w:r>
        <w:t xml:space="preserve"> </w:t>
      </w:r>
      <w:r>
        <w:rPr>
          <w:i/>
          <w:iCs/>
        </w:rPr>
        <w:t xml:space="preserve">Pharmacoepidemiology and Drug Safety</w:t>
      </w:r>
      <w:r>
        <w:t xml:space="preserve"> </w:t>
      </w:r>
      <w:r>
        <w:t xml:space="preserve">32 (6): 599–606.</w:t>
      </w:r>
      <w:r>
        <w:t xml:space="preserve"> </w:t>
      </w:r>
      <w:hyperlink r:id="rId206">
        <w:r>
          <w:rPr>
            <w:rStyle w:val="Hyperlink"/>
          </w:rPr>
          <w:t xml:space="preserve">https://doi.org/10.1002/pds.5623</w:t>
        </w:r>
      </w:hyperlink>
      <w:r>
        <w:t xml:space="preserve">.</w:t>
      </w:r>
    </w:p>
    <w:bookmarkEnd w:id="207"/>
    <w:bookmarkStart w:id="209" w:name="ref-lipsitch2010negative"/>
    <w:p>
      <w:pPr>
        <w:pStyle w:val="Bibliography"/>
      </w:pPr>
      <w:r>
        <w:t xml:space="preserve">Lipsitch, Marc, Eric Tchetgen Tchetgen, and Ted Cohen. 2010.</w:t>
      </w:r>
      <w:r>
        <w:t xml:space="preserve"> </w:t>
      </w:r>
      <w:r>
        <w:t xml:space="preserve">“Negative Controls: A Tool for Detecting Confounding and Bias in Observational Studies.”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 </w:t>
      </w:r>
      <w:r>
        <w:t xml:space="preserve">21 (3): 383–88.</w:t>
      </w:r>
      <w:r>
        <w:t xml:space="preserve"> </w:t>
      </w:r>
      <w:hyperlink r:id="rId208">
        <w:r>
          <w:rPr>
            <w:rStyle w:val="Hyperlink"/>
          </w:rPr>
          <w:t xml:space="preserve">https://doi.org/10.1097/EDE.0b013e3181d61eeb</w:t>
        </w:r>
      </w:hyperlink>
      <w:r>
        <w:t xml:space="preserve">.</w:t>
      </w:r>
    </w:p>
    <w:bookmarkEnd w:id="209"/>
    <w:bookmarkStart w:id="211" w:name="ref-mcgrath2021romiplostim"/>
    <w:p>
      <w:pPr>
        <w:pStyle w:val="Bibliography"/>
      </w:pPr>
      <w:r>
        <w:t xml:space="preserve">McGrath, Leah J., Carrie M. Nielson, Bradley Saul, J. Bradley Layton, Kathleen E. Hurwitz, Mary Wernecke, Michele Jonsson Funk, Brian D. Bradbury, and M. Alan Brookhart. 2021.</w:t>
      </w:r>
      <w:r>
        <w:t xml:space="preserve"> </w:t>
      </w:r>
      <w:r>
        <w:t xml:space="preserve">“Lessons Learned Using Real-World Data to Emulate Randomized Trials: An Application in Romiplostim Treatment for Immune Thrombocytopenia.”</w:t>
      </w:r>
      <w:r>
        <w:t xml:space="preserve"> </w:t>
      </w:r>
      <w:r>
        <w:rPr>
          <w:i/>
          <w:iCs/>
        </w:rPr>
        <w:t xml:space="preserve">Clinical Pharmacology &amp; Therapeutics</w:t>
      </w:r>
      <w:r>
        <w:t xml:space="preserve"> </w:t>
      </w:r>
      <w:r>
        <w:t xml:space="preserve">110 (6): 1570–78.</w:t>
      </w:r>
      <w:r>
        <w:t xml:space="preserve"> </w:t>
      </w:r>
      <w:hyperlink r:id="rId210">
        <w:r>
          <w:rPr>
            <w:rStyle w:val="Hyperlink"/>
          </w:rPr>
          <w:t xml:space="preserve">https://doi.org/10.1002/cpt.2399</w:t>
        </w:r>
      </w:hyperlink>
      <w:r>
        <w:t xml:space="preserve">.</w:t>
      </w:r>
    </w:p>
    <w:bookmarkEnd w:id="211"/>
    <w:bookmarkStart w:id="212" w:name="ref-mertens2024danish"/>
    <w:p>
      <w:pPr>
        <w:pStyle w:val="Bibliography"/>
      </w:pPr>
      <w:r>
        <w:t xml:space="preserve">Mertens, Andrew, Zhiwei Zhang, et al. 2024.</w:t>
      </w:r>
      <w:r>
        <w:t xml:space="preserve"> </w:t>
      </w:r>
      <w:r>
        <w:t xml:space="preserve">“Bootstrap Variance Estimation for TMLE Under Positivity Strain in a Danish Registry Comparative-Effectiveness Study.”</w:t>
      </w:r>
      <w:r>
        <w:t xml:space="preserve"> </w:t>
      </w:r>
      <w:r>
        <w:rPr>
          <w:i/>
          <w:iCs/>
        </w:rPr>
        <w:t xml:space="preserve">Working Paper</w:t>
      </w:r>
      <w:r>
        <w:t xml:space="preserve">.</w:t>
      </w:r>
    </w:p>
    <w:bookmarkEnd w:id="212"/>
    <w:bookmarkStart w:id="214" w:name="ref-muntner2024staging"/>
    <w:p>
      <w:pPr>
        <w:pStyle w:val="Bibliography"/>
      </w:pPr>
      <w:r>
        <w:t xml:space="preserve">Muntner, Paul, Rohini K. Hernandez, Shia T. Kent, James E. Browning, David T. Gilbertson, Kathleen E. Hurwitz, Susan S. Jick, et al. 2024.</w:t>
      </w:r>
      <w:r>
        <w:t xml:space="preserve"> </w:t>
      </w:r>
      <w:r>
        <w:t xml:space="preserve">“Staging and Clean Room: Constructs Designed to Facilitate Transparency and Reduce Bias in Comparative Analyses of Real-World Data.”</w:t>
      </w:r>
      <w:r>
        <w:t xml:space="preserve"> </w:t>
      </w:r>
      <w:r>
        <w:rPr>
          <w:i/>
          <w:iCs/>
        </w:rPr>
        <w:t xml:space="preserve">Pharmacoepidemiology and Drug Safety</w:t>
      </w:r>
      <w:r>
        <w:t xml:space="preserve"> </w:t>
      </w:r>
      <w:r>
        <w:t xml:space="preserve">33 (3): e5770.</w:t>
      </w:r>
      <w:r>
        <w:t xml:space="preserve"> </w:t>
      </w:r>
      <w:hyperlink r:id="rId213">
        <w:r>
          <w:rPr>
            <w:rStyle w:val="Hyperlink"/>
          </w:rPr>
          <w:t xml:space="preserve">https://doi.org/10.1002/pds.5770</w:t>
        </w:r>
      </w:hyperlink>
      <w:r>
        <w:t xml:space="preserve">.</w:t>
      </w:r>
    </w:p>
    <w:bookmarkEnd w:id="214"/>
    <w:bookmarkStart w:id="215" w:name="ref-nance2026fiord"/>
    <w:p>
      <w:pPr>
        <w:pStyle w:val="Bibliography"/>
      </w:pPr>
      <w:r>
        <w:t xml:space="preserve">Nance, Nerissa, Susan Gruber, Hashim Khan, Lina Han, Maya Petersen, Andrew Mertens, Mark J. van der Laan, and FIORD collaborators. 2026.</w:t>
      </w:r>
      <w:r>
        <w:t xml:space="preserve"> </w:t>
      </w:r>
      <w:r>
        <w:t xml:space="preserve">“Simulations to Specify Estimation Choices in Causal Analyses: A Longitudinal Case Study.”</w:t>
      </w:r>
      <w:r>
        <w:t xml:space="preserve"> </w:t>
      </w:r>
      <w:r>
        <w:rPr>
          <w:i/>
          <w:iCs/>
        </w:rPr>
        <w:t xml:space="preserve">Journal of Clinical and Translational Science</w:t>
      </w:r>
      <w:r>
        <w:t xml:space="preserve">.</w:t>
      </w:r>
    </w:p>
    <w:bookmarkEnd w:id="215"/>
    <w:bookmarkStart w:id="217" w:name="ref-petersen2014roadmap"/>
    <w:p>
      <w:pPr>
        <w:pStyle w:val="Bibliography"/>
      </w:pPr>
      <w:r>
        <w:t xml:space="preserve">Petersen, Maya L., and Mark J. van der Laan. 2014.</w:t>
      </w:r>
      <w:r>
        <w:t xml:space="preserve"> </w:t>
      </w:r>
      <w:r>
        <w:t xml:space="preserve">“Causal Models and Learning from Data: Integrating Causal Modeling and Statistical Estimation.”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 </w:t>
      </w:r>
      <w:r>
        <w:t xml:space="preserve">25 (3): 418–26.</w:t>
      </w:r>
      <w:r>
        <w:t xml:space="preserve"> </w:t>
      </w:r>
      <w:hyperlink r:id="rId216">
        <w:r>
          <w:rPr>
            <w:rStyle w:val="Hyperlink"/>
          </w:rPr>
          <w:t xml:space="preserve">https://doi.org/10.1097/EDE.0000000000000078</w:t>
        </w:r>
      </w:hyperlink>
      <w:r>
        <w:t xml:space="preserve">.</w:t>
      </w:r>
    </w:p>
    <w:bookmarkEnd w:id="217"/>
    <w:bookmarkStart w:id="219" w:name="ref-phillips2023sl"/>
    <w:p>
      <w:pPr>
        <w:pStyle w:val="Bibliography"/>
      </w:pPr>
      <w:r>
        <w:t xml:space="preserve">Phillips, Rachael V., Mark J. van der Laan, Hana Lee, and Susan Gruber. 2023.</w:t>
      </w:r>
      <w:r>
        <w:t xml:space="preserve"> </w:t>
      </w:r>
      <w:r>
        <w:t xml:space="preserve">“Practical Considerations for Specifying a Super Learner.”</w:t>
      </w:r>
      <w:r>
        <w:t xml:space="preserve"> </w:t>
      </w:r>
      <w:r>
        <w:rPr>
          <w:i/>
          <w:iCs/>
        </w:rPr>
        <w:t xml:space="preserve">International Journal of Epidemiology</w:t>
      </w:r>
      <w:r>
        <w:t xml:space="preserve"> </w:t>
      </w:r>
      <w:r>
        <w:t xml:space="preserve">52 (4): 1276–85.</w:t>
      </w:r>
      <w:r>
        <w:t xml:space="preserve"> </w:t>
      </w:r>
      <w:hyperlink r:id="rId218">
        <w:r>
          <w:rPr>
            <w:rStyle w:val="Hyperlink"/>
          </w:rPr>
          <w:t xml:space="preserve">https://doi.org/10.1093/ije/dyad023</w:t>
        </w:r>
      </w:hyperlink>
      <w:r>
        <w:t xml:space="preserve">.</w:t>
      </w:r>
    </w:p>
    <w:bookmarkEnd w:id="219"/>
    <w:bookmarkStart w:id="221" w:name="ref-rcoreteam2024"/>
    <w:p>
      <w:pPr>
        <w:pStyle w:val="Bibliography"/>
      </w:pPr>
      <w:r>
        <w:t xml:space="preserve">R Core Team. 2024.</w:t>
      </w:r>
      <w:r>
        <w:t xml:space="preserve"> </w:t>
      </w:r>
      <w:r>
        <w:t xml:space="preserve">“</w:t>
      </w:r>
      <w:r>
        <w:t xml:space="preserve">R</w:t>
      </w:r>
      <w:r>
        <w:t xml:space="preserve">: A Language and Environment for Statistical Computing.”</w:t>
      </w:r>
      <w:r>
        <w:t xml:space="preserve"> </w:t>
      </w:r>
      <w:r>
        <w:t xml:space="preserve">Vienna, Austria: R Foundation for Statistical Computing.</w:t>
      </w:r>
      <w:r>
        <w:t xml:space="preserve"> </w:t>
      </w:r>
      <w:hyperlink r:id="rId22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221"/>
    <w:bookmarkStart w:id="222" w:name="ref-robins1986newapproach"/>
    <w:p>
      <w:pPr>
        <w:pStyle w:val="Bibliography"/>
      </w:pPr>
      <w:r>
        <w:t xml:space="preserve">Robins, James. 1986.</w:t>
      </w:r>
      <w:r>
        <w:t xml:space="preserve"> </w:t>
      </w:r>
      <w:r>
        <w:t xml:space="preserve">“A New Approach to Causal Inference in Mortality Studies with a Sustained Exposure Period.”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 (9-12): 1393–1512.</w:t>
      </w:r>
    </w:p>
    <w:bookmarkEnd w:id="222"/>
    <w:bookmarkStart w:id="223" w:name="ref-robins1992rotnitzky"/>
    <w:p>
      <w:pPr>
        <w:pStyle w:val="Bibliography"/>
      </w:pPr>
      <w:r>
        <w:t xml:space="preserve">Robins, James M., and Andrea Rotnitzky. 1992.</w:t>
      </w:r>
      <w:r>
        <w:t xml:space="preserve"> </w:t>
      </w:r>
      <w:r>
        <w:t xml:space="preserve">“Recovery of Information and Adjustment for Dependent Censoring Using Surrogate Markers,”</w:t>
      </w:r>
      <w:r>
        <w:t xml:space="preserve"> </w:t>
      </w:r>
      <w:r>
        <w:t xml:space="preserve">297–331.</w:t>
      </w:r>
    </w:p>
    <w:bookmarkEnd w:id="223"/>
    <w:bookmarkStart w:id="224" w:name="ref-schreck2024plasmode"/>
    <w:p>
      <w:pPr>
        <w:pStyle w:val="Bibliography"/>
      </w:pPr>
      <w:r>
        <w:t xml:space="preserve">Schreck, N. et al. 2024.</w:t>
      </w:r>
      <w:r>
        <w:t xml:space="preserve"> </w:t>
      </w:r>
      <w:r>
        <w:t xml:space="preserve">“Plasmode Simulation in Pharmacoepidemiology: A Review of Strengths and Pitfalls.”</w:t>
      </w:r>
      <w:r>
        <w:t xml:space="preserve"> </w:t>
      </w:r>
      <w:r>
        <w:rPr>
          <w:i/>
          <w:iCs/>
        </w:rPr>
        <w:t xml:space="preserve">Pharmacoepidemiology and Drug Safety</w:t>
      </w:r>
      <w:r>
        <w:t xml:space="preserve">.</w:t>
      </w:r>
    </w:p>
    <w:bookmarkEnd w:id="224"/>
    <w:bookmarkStart w:id="226" w:name="ref-schuler2017tmle"/>
    <w:p>
      <w:pPr>
        <w:pStyle w:val="Bibliography"/>
      </w:pPr>
      <w:r>
        <w:t xml:space="preserve">Schuler, Megan S., and Sherri Rose. 2017.</w:t>
      </w:r>
      <w:r>
        <w:t xml:space="preserve"> </w:t>
      </w:r>
      <w:r>
        <w:t xml:space="preserve">“Targeted Maximum Likelihood Estimation for Causal Inference in Observational Studies.”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185 (1): 65–73.</w:t>
      </w:r>
      <w:r>
        <w:t xml:space="preserve"> </w:t>
      </w:r>
      <w:hyperlink r:id="rId225">
        <w:r>
          <w:rPr>
            <w:rStyle w:val="Hyperlink"/>
          </w:rPr>
          <w:t xml:space="preserve">https://doi.org/10.1093/aje/kww165</w:t>
        </w:r>
      </w:hyperlink>
      <w:r>
        <w:t xml:space="preserve">.</w:t>
      </w:r>
    </w:p>
    <w:bookmarkEnd w:id="226"/>
    <w:bookmarkStart w:id="228" w:name="ref-stefanski2002sandwich"/>
    <w:p>
      <w:pPr>
        <w:pStyle w:val="Bibliography"/>
      </w:pPr>
      <w:r>
        <w:t xml:space="preserve">Stefanski, Leonard A., and Dennis D. Boos. 2002.</w:t>
      </w:r>
      <w:r>
        <w:t xml:space="preserve"> </w:t>
      </w:r>
      <w:r>
        <w:t xml:space="preserve">“The Calculus of</w:t>
      </w:r>
      <w:r>
        <w:t xml:space="preserve"> </w:t>
      </w:r>
      <w:r>
        <w:t xml:space="preserve">M</w:t>
      </w:r>
      <w:r>
        <w:t xml:space="preserve">-Estimation.”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56 (1): 29–38.</w:t>
      </w:r>
      <w:r>
        <w:t xml:space="preserve"> </w:t>
      </w:r>
      <w:hyperlink r:id="rId227">
        <w:r>
          <w:rPr>
            <w:rStyle w:val="Hyperlink"/>
          </w:rPr>
          <w:t xml:space="preserve">https://doi.org/10.1198/000313002753631330</w:t>
        </w:r>
      </w:hyperlink>
      <w:r>
        <w:t xml:space="preserve">.</w:t>
      </w:r>
    </w:p>
    <w:bookmarkEnd w:id="228"/>
    <w:bookmarkStart w:id="230" w:name="ref-fda2018rwe"/>
    <w:p>
      <w:pPr>
        <w:pStyle w:val="Bibliography"/>
      </w:pPr>
      <w:r>
        <w:t xml:space="preserve">U.S. Food and Drug Administration. 2018.</w:t>
      </w:r>
      <w:r>
        <w:t xml:space="preserve"> </w:t>
      </w:r>
      <w:r>
        <w:t xml:space="preserve">“Framework for</w:t>
      </w:r>
      <w:r>
        <w:t xml:space="preserve"> </w:t>
      </w:r>
      <w:r>
        <w:t xml:space="preserve">FDA’s</w:t>
      </w:r>
      <w:r>
        <w:t xml:space="preserve"> </w:t>
      </w:r>
      <w:r>
        <w:t xml:space="preserve">Real-World Evidence Program.”</w:t>
      </w:r>
      <w:r>
        <w:t xml:space="preserve"> </w:t>
      </w:r>
      <w:hyperlink r:id="rId229">
        <w:r>
          <w:rPr>
            <w:rStyle w:val="Hyperlink"/>
          </w:rPr>
          <w:t xml:space="preserve">https://www.fda.gov/media/120060/download</w:t>
        </w:r>
      </w:hyperlink>
      <w:r>
        <w:t xml:space="preserve">.</w:t>
      </w:r>
    </w:p>
    <w:bookmarkEnd w:id="230"/>
    <w:bookmarkStart w:id="232" w:name="ref-fda2021registries"/>
    <w:p>
      <w:pPr>
        <w:pStyle w:val="Bibliography"/>
      </w:pPr>
      <w:r>
        <w:t xml:space="preserve">———. 2021.</w:t>
      </w:r>
      <w:r>
        <w:t xml:space="preserve"> </w:t>
      </w:r>
      <w:r>
        <w:t xml:space="preserve">“Real-World Data: Assessing Registries to Support Regulatory Decision-Making for Drug and Biological Products.”</w:t>
      </w:r>
      <w:r>
        <w:t xml:space="preserve"> </w:t>
      </w:r>
      <w:hyperlink r:id="rId231">
        <w:r>
          <w:rPr>
            <w:rStyle w:val="Hyperlink"/>
          </w:rPr>
          <w:t xml:space="preserve">https://www.fda.gov/regulatory-information/search-fda-guidance-documents/real-world-data-assessing-registries-support-regulatory-decision-making-drug-and-biological-products</w:t>
        </w:r>
      </w:hyperlink>
      <w:r>
        <w:t xml:space="preserve">.</w:t>
      </w:r>
    </w:p>
    <w:bookmarkEnd w:id="232"/>
    <w:bookmarkStart w:id="234" w:name="ref-fda2024considerations"/>
    <w:p>
      <w:pPr>
        <w:pStyle w:val="Bibliography"/>
      </w:pPr>
      <w:r>
        <w:t xml:space="preserve">———. 2024a.</w:t>
      </w:r>
      <w:r>
        <w:t xml:space="preserve"> </w:t>
      </w:r>
      <w:r>
        <w:t xml:space="preserve">“Considerations for the Use of Real-World Data and Real-World Evidence to Support Regulatory Decision-Making for Drug and Biological Products.”</w:t>
      </w:r>
      <w:r>
        <w:t xml:space="preserve"> </w:t>
      </w:r>
      <w:hyperlink r:id="rId233">
        <w:r>
          <w:rPr>
            <w:rStyle w:val="Hyperlink"/>
          </w:rPr>
          <w:t xml:space="preserve">https://www.fda.gov/regulatory-information/search-fda-guidance-documents/considerations-use-real-world-data-and-real-world-evidence-support-regulatory-decision-making-drug</w:t>
        </w:r>
      </w:hyperlink>
      <w:r>
        <w:t xml:space="preserve">.</w:t>
      </w:r>
    </w:p>
    <w:bookmarkEnd w:id="234"/>
    <w:bookmarkStart w:id="236" w:name="ref-fda2024ehrclaims"/>
    <w:p>
      <w:pPr>
        <w:pStyle w:val="Bibliography"/>
      </w:pPr>
      <w:r>
        <w:t xml:space="preserve">———. 2024b.</w:t>
      </w:r>
      <w:r>
        <w:t xml:space="preserve"> </w:t>
      </w:r>
      <w:r>
        <w:t xml:space="preserve">“Real-World Data: Assessing Electronic Health Records and Medical Claims Data to Support Regulatory Decision-Making for Drug and Biological Products.”</w:t>
      </w:r>
      <w:r>
        <w:t xml:space="preserve"> </w:t>
      </w:r>
      <w:hyperlink r:id="rId235">
        <w:r>
          <w:rPr>
            <w:rStyle w:val="Hyperlink"/>
          </w:rPr>
          <w:t xml:space="preserve">https://www.fda.gov/regulatory-information/search-fda-guidance-documents/real-world-data-assessing-electronic-health-records-and-medical-claims-data-support-regulatory</w:t>
        </w:r>
      </w:hyperlink>
      <w:r>
        <w:t xml:space="preserve">.</w:t>
      </w:r>
    </w:p>
    <w:bookmarkEnd w:id="236"/>
    <w:bookmarkStart w:id="238" w:name="ref-fda2024noninterventional"/>
    <w:p>
      <w:pPr>
        <w:pStyle w:val="Bibliography"/>
      </w:pPr>
      <w:r>
        <w:t xml:space="preserve">———. 2024c.</w:t>
      </w:r>
      <w:r>
        <w:t xml:space="preserve"> </w:t>
      </w:r>
      <w:r>
        <w:t xml:space="preserve">“Real-World Evidence: Considerations Regarding Non-Interventional Studies for Drug and Biological Products.”</w:t>
      </w:r>
      <w:r>
        <w:t xml:space="preserve"> </w:t>
      </w:r>
      <w:hyperlink r:id="rId237">
        <w:r>
          <w:rPr>
            <w:rStyle w:val="Hyperlink"/>
          </w:rPr>
          <w:t xml:space="preserve">https://www.fda.gov/regulatory-information/search-fda-guidance-documents/real-world-evidence-considerations-regarding-non-interventional-studies-drug-and-biological-products</w:t>
        </w:r>
      </w:hyperlink>
      <w:r>
        <w:t xml:space="preserve">.</w:t>
      </w:r>
    </w:p>
    <w:bookmarkEnd w:id="238"/>
    <w:bookmarkStart w:id="240" w:name="ref-vanderWeele2017evalue"/>
    <w:p>
      <w:pPr>
        <w:pStyle w:val="Bibliography"/>
      </w:pPr>
      <w:r>
        <w:t xml:space="preserve">VanderWeele, Tyler J., and Peng Ding. 2017.</w:t>
      </w:r>
      <w:r>
        <w:t xml:space="preserve"> </w:t>
      </w:r>
      <w:r>
        <w:t xml:space="preserve">“Sensitivity Analysis in Observational Research: Introducing the</w:t>
      </w:r>
      <w:r>
        <w:t xml:space="preserve"> </w:t>
      </w:r>
      <w:r>
        <w:t xml:space="preserve">E</w:t>
      </w:r>
      <w:r>
        <w:t xml:space="preserve">-Value.”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167 (4): 268–74.</w:t>
      </w:r>
      <w:r>
        <w:t xml:space="preserve"> </w:t>
      </w:r>
      <w:hyperlink r:id="rId239">
        <w:r>
          <w:rPr>
            <w:rStyle w:val="Hyperlink"/>
          </w:rPr>
          <w:t xml:space="preserve">https://doi.org/10.7326/M16-2607</w:t>
        </w:r>
      </w:hyperlink>
      <w:r>
        <w:t xml:space="preserve">.</w:t>
      </w:r>
    </w:p>
    <w:bookmarkEnd w:id="240"/>
    <w:bookmarkStart w:id="242" w:name="ref-wang2021startrwe"/>
    <w:p>
      <w:pPr>
        <w:pStyle w:val="Bibliography"/>
      </w:pPr>
      <w:r>
        <w:t xml:space="preserve">Wang, Shirley V., Sebastian Pinheiro, Wei Hua, Peter Arlett, Yoshiaki Uyama, Jesse A. Berlin, Dorothee B. Bartels, Kristijan H. Kahler, Lily G. Bessette, and Sebastian Schneeweiss. 2021.</w:t>
      </w:r>
      <w:r>
        <w:t xml:space="preserve"> </w:t>
      </w:r>
      <w:r>
        <w:t xml:space="preserve">“</w:t>
      </w:r>
      <w:r>
        <w:t xml:space="preserve">STaRT-RWE</w:t>
      </w:r>
      <w:r>
        <w:t xml:space="preserve">: Structured Template for Planning and Reporting on the Implementation of Real World Evidence Studies.”</w:t>
      </w:r>
      <w:r>
        <w:t xml:space="preserve"> </w:t>
      </w:r>
      <w:r>
        <w:rPr>
          <w:i/>
          <w:iCs/>
        </w:rPr>
        <w:t xml:space="preserve">BMJ</w:t>
      </w:r>
      <w:r>
        <w:t xml:space="preserve"> </w:t>
      </w:r>
      <w:r>
        <w:t xml:space="preserve">372: m4856.</w:t>
      </w:r>
      <w:r>
        <w:t xml:space="preserve"> </w:t>
      </w:r>
      <w:hyperlink r:id="rId241">
        <w:r>
          <w:rPr>
            <w:rStyle w:val="Hyperlink"/>
          </w:rPr>
          <w:t xml:space="preserve">https://doi.org/10.1136/bmj.m4856</w:t>
        </w:r>
      </w:hyperlink>
      <w:r>
        <w:t xml:space="preserve">.</w:t>
      </w:r>
    </w:p>
    <w:bookmarkEnd w:id="242"/>
    <w:bookmarkStart w:id="244" w:name="ref-wang2023harper"/>
    <w:p>
      <w:pPr>
        <w:pStyle w:val="Bibliography"/>
      </w:pPr>
      <w:r>
        <w:t xml:space="preserve">Wang, Shirley V., Sushama Sreedhara, and Sebastian Schneeweiss. 2023.</w:t>
      </w:r>
      <w:r>
        <w:t xml:space="preserve"> </w:t>
      </w:r>
      <w:r>
        <w:t xml:space="preserve">“</w:t>
      </w:r>
      <w:r>
        <w:t xml:space="preserve">HARPER</w:t>
      </w:r>
      <w:r>
        <w:t xml:space="preserve">: Recommendations for the Development and Reporting of Pharmacoepidemiologic Studies Using Real-World Data.”</w:t>
      </w:r>
      <w:r>
        <w:t xml:space="preserve"> </w:t>
      </w:r>
      <w:r>
        <w:rPr>
          <w:i/>
          <w:iCs/>
        </w:rPr>
        <w:t xml:space="preserve">Pharmacoepidemiology and Drug Safety</w:t>
      </w:r>
      <w:r>
        <w:t xml:space="preserve">.</w:t>
      </w:r>
      <w:r>
        <w:t xml:space="preserve"> </w:t>
      </w:r>
      <w:hyperlink r:id="rId243">
        <w:r>
          <w:rPr>
            <w:rStyle w:val="Hyperlink"/>
          </w:rPr>
          <w:t xml:space="preserve">https://doi.org/10.1002/pds.5642</w:t>
        </w:r>
      </w:hyperlink>
      <w:r>
        <w:t xml:space="preserve">.</w:t>
      </w:r>
    </w:p>
    <w:bookmarkEnd w:id="244"/>
    <w:bookmarkStart w:id="245" w:name="ref-lmtppackage2021"/>
    <w:p>
      <w:pPr>
        <w:pStyle w:val="Bibliography"/>
      </w:pPr>
      <w:r>
        <w:t xml:space="preserve">Williams, Nicholas T., and Iván Dı́az. 2021.</w:t>
      </w:r>
      <w:r>
        <w:t xml:space="preserve"> </w:t>
      </w:r>
      <w:r>
        <w:t xml:space="preserve">“Lmtp: Non-Parametric Causal Effects of Feasible Interventions Based on Modified Treatment Policies.”</w:t>
      </w:r>
    </w:p>
    <w:bookmarkEnd w:id="245"/>
    <w:bookmarkStart w:id="247" w:name="ref-wilson1998gose"/>
    <w:p>
      <w:pPr>
        <w:pStyle w:val="Bibliography"/>
      </w:pPr>
      <w:r>
        <w:t xml:space="preserve">Wilson, J. T. Lindsay, Laura E. L. Pettigrew, and Graham M. Teasdale. 1998.</w:t>
      </w:r>
      <w:r>
        <w:t xml:space="preserve"> </w:t>
      </w:r>
      <w:r>
        <w:t xml:space="preserve">“Structured Interviews for the</w:t>
      </w:r>
      <w:r>
        <w:t xml:space="preserve"> </w:t>
      </w:r>
      <w:r>
        <w:t xml:space="preserve">G</w:t>
      </w:r>
      <w:r>
        <w:t xml:space="preserve">lasgow</w:t>
      </w:r>
      <w:r>
        <w:t xml:space="preserve"> </w:t>
      </w:r>
      <w:r>
        <w:t xml:space="preserve">O</w:t>
      </w:r>
      <w:r>
        <w:t xml:space="preserve">utcome</w:t>
      </w:r>
      <w:r>
        <w:t xml:space="preserve"> </w:t>
      </w:r>
      <w:r>
        <w:t xml:space="preserve">S</w:t>
      </w:r>
      <w:r>
        <w:t xml:space="preserve">cale and the Extended</w:t>
      </w:r>
      <w:r>
        <w:t xml:space="preserve"> </w:t>
      </w:r>
      <w:r>
        <w:t xml:space="preserve">G</w:t>
      </w:r>
      <w:r>
        <w:t xml:space="preserve">lasgow</w:t>
      </w:r>
      <w:r>
        <w:t xml:space="preserve"> </w:t>
      </w:r>
      <w:r>
        <w:t xml:space="preserve">O</w:t>
      </w:r>
      <w:r>
        <w:t xml:space="preserve">utcome</w:t>
      </w:r>
      <w:r>
        <w:t xml:space="preserve"> </w:t>
      </w:r>
      <w:r>
        <w:t xml:space="preserve">S</w:t>
      </w:r>
      <w:r>
        <w:t xml:space="preserve">cale: Guidelines for Their Use.”</w:t>
      </w:r>
      <w:r>
        <w:t xml:space="preserve"> </w:t>
      </w:r>
      <w:r>
        <w:rPr>
          <w:i/>
          <w:iCs/>
        </w:rPr>
        <w:t xml:space="preserve">Journal of Neurotrauma</w:t>
      </w:r>
      <w:r>
        <w:t xml:space="preserve"> </w:t>
      </w:r>
      <w:r>
        <w:t xml:space="preserve">15 (8): 573–85.</w:t>
      </w:r>
      <w:r>
        <w:t xml:space="preserve"> </w:t>
      </w:r>
      <w:hyperlink r:id="rId246">
        <w:r>
          <w:rPr>
            <w:rStyle w:val="Hyperlink"/>
          </w:rPr>
          <w:t xml:space="preserve">https://doi.org/10.1089/neu.1998.15.573</w:t>
        </w:r>
      </w:hyperlink>
      <w:r>
        <w:t xml:space="preserve">.</w:t>
      </w:r>
    </w:p>
    <w:bookmarkEnd w:id="247"/>
    <w:bookmarkStart w:id="249" w:name="ref-zhang2019balance"/>
    <w:p>
      <w:pPr>
        <w:pStyle w:val="Bibliography"/>
      </w:pPr>
      <w:r>
        <w:t xml:space="preserve">Zhang, Zhongheng, Hwa Jung Kim, Guillaume Lonjon, Yibing Zhu, and written on behalf of AME Big-Data Clinical Trial Collaborative Group. 2019.</w:t>
      </w:r>
      <w:r>
        <w:t xml:space="preserve"> </w:t>
      </w:r>
      <w:r>
        <w:t xml:space="preserve">“Balance Diagnostics After Propensity Score Matching.”</w:t>
      </w:r>
      <w:r>
        <w:t xml:space="preserve"> </w:t>
      </w:r>
      <w:r>
        <w:rPr>
          <w:i/>
          <w:iCs/>
        </w:rPr>
        <w:t xml:space="preserve">Annals of Translational Medicine</w:t>
      </w:r>
      <w:r>
        <w:t xml:space="preserve"> </w:t>
      </w:r>
      <w:r>
        <w:t xml:space="preserve">7 (1): 16.</w:t>
      </w:r>
      <w:r>
        <w:t xml:space="preserve"> </w:t>
      </w:r>
      <w:hyperlink r:id="rId248">
        <w:r>
          <w:rPr>
            <w:rStyle w:val="Hyperlink"/>
          </w:rPr>
          <w:t xml:space="preserve">https://doi.org/10.21037/atm.2018.12.10</w:t>
        </w:r>
      </w:hyperlink>
      <w:r>
        <w:t xml:space="preserve">.</w:t>
      </w:r>
    </w:p>
    <w:bookmarkEnd w:id="249"/>
    <w:bookmarkStart w:id="250" w:name="ref-zheng2011crossvalidated"/>
    <w:p>
      <w:pPr>
        <w:pStyle w:val="Bibliography"/>
      </w:pPr>
      <w:r>
        <w:t xml:space="preserve">Zheng, Wenjing, and Mark J. van der Laan. 2011.</w:t>
      </w:r>
      <w:r>
        <w:t xml:space="preserve"> </w:t>
      </w:r>
      <w:r>
        <w:t xml:space="preserve">“Cross-Validated Targeted Minimum-Loss-Based Estimation.”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Targeted Learning: Causal Inference for Observational and Experimental Data</w:t>
      </w:r>
      <w:r>
        <w:t xml:space="preserve">, 459–74. Springer.</w:t>
      </w:r>
    </w:p>
    <w:bookmarkEnd w:id="250"/>
    <w:bookmarkEnd w:id="251"/>
    <w:p>
      <w:pPr>
        <w:pStyle w:val="SourceCode"/>
      </w:pPr>
      <w:r>
        <w:rPr>
          <w:rStyle w:val="VerbatimChar"/>
        </w:rPr>
        <w:t xml:space="preserve">R&gt;  R version 4.4.2 (2024-10-31 ucrt)</w:t>
      </w:r>
      <w:r>
        <w:br/>
      </w:r>
      <w:r>
        <w:rPr>
          <w:rStyle w:val="VerbatimChar"/>
        </w:rPr>
        <w:t xml:space="preserve">R&gt;  Platform: x86_64-w64-mingw32/x64</w:t>
      </w:r>
      <w:r>
        <w:br/>
      </w:r>
      <w:r>
        <w:rPr>
          <w:rStyle w:val="VerbatimChar"/>
        </w:rPr>
        <w:t xml:space="preserve">R&gt;  Running under: Windows 11 x64 (build 26200)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Matrix products: default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locale:</w:t>
      </w:r>
      <w:r>
        <w:br/>
      </w:r>
      <w:r>
        <w:rPr>
          <w:rStyle w:val="VerbatimChar"/>
        </w:rPr>
        <w:t xml:space="preserve">R&gt;  [1] LC_COLLATE=English_United States.utf8 </w:t>
      </w:r>
      <w:r>
        <w:br/>
      </w:r>
      <w:r>
        <w:rPr>
          <w:rStyle w:val="VerbatimChar"/>
        </w:rPr>
        <w:t xml:space="preserve">R&gt;  [2] LC_CTYPE=English_United States.utf8   </w:t>
      </w:r>
      <w:r>
        <w:br/>
      </w:r>
      <w:r>
        <w:rPr>
          <w:rStyle w:val="VerbatimChar"/>
        </w:rPr>
        <w:t xml:space="preserve">R&gt;  [3] LC_MONETARY=English_United States.utf8</w:t>
      </w:r>
      <w:r>
        <w:br/>
      </w:r>
      <w:r>
        <w:rPr>
          <w:rStyle w:val="VerbatimChar"/>
        </w:rPr>
        <w:t xml:space="preserve">R&gt;  [4] LC_NUMERIC=C                          </w:t>
      </w:r>
      <w:r>
        <w:br/>
      </w:r>
      <w:r>
        <w:rPr>
          <w:rStyle w:val="VerbatimChar"/>
        </w:rPr>
        <w:t xml:space="preserve">R&gt;  [5] LC_TIME=English_United States.utf8    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time zone: America/Los_Angeles</w:t>
      </w:r>
      <w:r>
        <w:br/>
      </w:r>
      <w:r>
        <w:rPr>
          <w:rStyle w:val="VerbatimChar"/>
        </w:rPr>
        <w:t xml:space="preserve">R&gt;  tzcode source: internal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attached base packages:</w:t>
      </w:r>
      <w:r>
        <w:br/>
      </w:r>
      <w:r>
        <w:rPr>
          <w:rStyle w:val="VerbatimChar"/>
        </w:rPr>
        <w:t xml:space="preserve">R&gt;  [1] stats     graphics  grDevices utils     datasets  methods   base     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other attached packages:</w:t>
      </w:r>
      <w:r>
        <w:br/>
      </w:r>
      <w:r>
        <w:rPr>
          <w:rStyle w:val="VerbatimChar"/>
        </w:rPr>
        <w:t xml:space="preserve">R&gt;  [1] cleanTMLE_0.1.5 ggplot2_4.0.3  </w:t>
      </w:r>
      <w:r>
        <w:br/>
      </w:r>
      <w:r>
        <w:rPr>
          <w:rStyle w:val="VerbatimChar"/>
        </w:rPr>
        <w:t xml:space="preserve">R&gt;  </w:t>
      </w:r>
      <w:r>
        <w:br/>
      </w:r>
      <w:r>
        <w:rPr>
          <w:rStyle w:val="VerbatimChar"/>
        </w:rPr>
        <w:t xml:space="preserve">R&gt;  loaded via a namespace (and not attached):</w:t>
      </w:r>
      <w:r>
        <w:br/>
      </w:r>
      <w:r>
        <w:rPr>
          <w:rStyle w:val="VerbatimChar"/>
        </w:rPr>
        <w:t xml:space="preserve">R&gt;   [1] Matrix_1.7-1       gtable_0.3.6       jsonlite_2.0.0     dplyr_1.1.4       </w:t>
      </w:r>
      <w:r>
        <w:br/>
      </w:r>
      <w:r>
        <w:rPr>
          <w:rStyle w:val="VerbatimChar"/>
        </w:rPr>
        <w:t xml:space="preserve">R&gt;   [5] compiler_4.4.2     tidyselect_1.2.1   gridExtra_2.3      png_0.1-8         </w:t>
      </w:r>
      <w:r>
        <w:br/>
      </w:r>
      <w:r>
        <w:rPr>
          <w:rStyle w:val="VerbatimChar"/>
        </w:rPr>
        <w:t xml:space="preserve">R&gt;   [9] splines_4.4.2      scales_1.4.0       yaml_2.3.10        fastmap_1.2.0     </w:t>
      </w:r>
      <w:r>
        <w:br/>
      </w:r>
      <w:r>
        <w:rPr>
          <w:rStyle w:val="VerbatimChar"/>
        </w:rPr>
        <w:t xml:space="preserve">R&gt;  [13] lattice_0.22-6     R6_2.6.1           labeling_0.4.3     generics_0.1.3    </w:t>
      </w:r>
      <w:r>
        <w:br/>
      </w:r>
      <w:r>
        <w:rPr>
          <w:rStyle w:val="VerbatimChar"/>
        </w:rPr>
        <w:t xml:space="preserve">R&gt;  [17] knitr_1.49         tibble_3.2.1       pillar_1.9.0       RColorBrewer_1.1-3</w:t>
      </w:r>
      <w:r>
        <w:br/>
      </w:r>
      <w:r>
        <w:rPr>
          <w:rStyle w:val="VerbatimChar"/>
        </w:rPr>
        <w:t xml:space="preserve">R&gt;  [21] rlang_1.1.7        utf8_1.2.4         xfun_0.49          S7_0.2.1          </w:t>
      </w:r>
      <w:r>
        <w:br/>
      </w:r>
      <w:r>
        <w:rPr>
          <w:rStyle w:val="VerbatimChar"/>
        </w:rPr>
        <w:t xml:space="preserve">R&gt;  [25] cli_3.6.5          withr_3.0.2        magrittr_2.0.3     digest_0.6.37     </w:t>
      </w:r>
      <w:r>
        <w:br/>
      </w:r>
      <w:r>
        <w:rPr>
          <w:rStyle w:val="VerbatimChar"/>
        </w:rPr>
        <w:t xml:space="preserve">R&gt;  [29] grid_4.4.2         sandwich_3.1-1     lifecycle_1.0.5    vctrs_0.7.1       </w:t>
      </w:r>
      <w:r>
        <w:br/>
      </w:r>
      <w:r>
        <w:rPr>
          <w:rStyle w:val="VerbatimChar"/>
        </w:rPr>
        <w:t xml:space="preserve">R&gt;  [33] evaluate_1.0.5     glue_1.8.0         farver_2.1.2       zoo_1.8-15        </w:t>
      </w:r>
      <w:r>
        <w:br/>
      </w:r>
      <w:r>
        <w:rPr>
          <w:rStyle w:val="VerbatimChar"/>
        </w:rPr>
        <w:t xml:space="preserve">R&gt;  [37] survival_3.7-0     fansi_1.0.6        rmarkdown_2.29     tools_4.4.2       </w:t>
      </w:r>
      <w:r>
        <w:br/>
      </w:r>
      <w:r>
        <w:rPr>
          <w:rStyle w:val="VerbatimChar"/>
        </w:rPr>
        <w:t xml:space="preserve">R&gt;  [41] pkgconfig_2.0.3    htmltools_0.5.8.1</w:t>
      </w:r>
    </w:p>
    <w:bookmarkEnd w:id="2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97" Target="media/rId97.png" /><Relationship Type="http://schemas.openxmlformats.org/officeDocument/2006/relationships/image" Id="rId107" Target="media/rId107.png" /><Relationship Type="http://schemas.openxmlformats.org/officeDocument/2006/relationships/image" Id="rId156" Target="media/rId156.png" /><Relationship Type="http://schemas.openxmlformats.org/officeDocument/2006/relationships/image" Id="rId120" Target="media/rId120.png" /><Relationship Type="http://schemas.openxmlformats.org/officeDocument/2006/relationships/image" Id="rId152" Target="media/rId152.png" /><Relationship Type="http://schemas.openxmlformats.org/officeDocument/2006/relationships/image" Id="rId70" Target="media/rId70.png" /><Relationship Type="http://schemas.openxmlformats.org/officeDocument/2006/relationships/image" Id="rId89" Target="media/rId89.png" /><Relationship Type="http://schemas.openxmlformats.org/officeDocument/2006/relationships/image" Id="rId66" Target="media/rId66.png" /><Relationship Type="http://schemas.openxmlformats.org/officeDocument/2006/relationships/image" Id="rId78" Target="media/rId78.png" /><Relationship Type="http://schemas.openxmlformats.org/officeDocument/2006/relationships/image" Id="rId74" Target="media/rId74.png" /><Relationship Type="http://schemas.openxmlformats.org/officeDocument/2006/relationships/hyperlink" Id="rId210" Target="https://doi.org/10.1002/cpt.2399" TargetMode="External" /><Relationship Type="http://schemas.openxmlformats.org/officeDocument/2006/relationships/hyperlink" Id="rId187" Target="https://doi.org/10.1002/cpt.2466" TargetMode="External" /><Relationship Type="http://schemas.openxmlformats.org/officeDocument/2006/relationships/hyperlink" Id="rId189" Target="https://doi.org/10.1002/cpt.2883" TargetMode="External" /><Relationship Type="http://schemas.openxmlformats.org/officeDocument/2006/relationships/hyperlink" Id="rId206" Target="https://doi.org/10.1002/pds.5623" TargetMode="External" /><Relationship Type="http://schemas.openxmlformats.org/officeDocument/2006/relationships/hyperlink" Id="rId243" Target="https://doi.org/10.1002/pds.5642" TargetMode="External" /><Relationship Type="http://schemas.openxmlformats.org/officeDocument/2006/relationships/hyperlink" Id="rId213" Target="https://doi.org/10.1002/pds.5770" TargetMode="External" /><Relationship Type="http://schemas.openxmlformats.org/officeDocument/2006/relationships/hyperlink" Id="rId169" Target="https://doi.org/10.1002/sim.3697" TargetMode="External" /><Relationship Type="http://schemas.openxmlformats.org/officeDocument/2006/relationships/hyperlink" Id="rId185" Target="https://doi.org/10.1016/j.csda.2013.10.018" TargetMode="External" /><Relationship Type="http://schemas.openxmlformats.org/officeDocument/2006/relationships/hyperlink" Id="rId176" Target="https://doi.org/10.1017/cts.2023.635" TargetMode="External" /><Relationship Type="http://schemas.openxmlformats.org/officeDocument/2006/relationships/hyperlink" Id="rId191" Target="https://doi.org/10.1080/19466315.2022.2116104" TargetMode="External" /><Relationship Type="http://schemas.openxmlformats.org/officeDocument/2006/relationships/hyperlink" Id="rId246" Target="https://doi.org/10.1089/neu.1998.15.573" TargetMode="External" /><Relationship Type="http://schemas.openxmlformats.org/officeDocument/2006/relationships/hyperlink" Id="rId195" Target="https://doi.org/10.1093/aje/kwv254" TargetMode="External" /><Relationship Type="http://schemas.openxmlformats.org/officeDocument/2006/relationships/hyperlink" Id="rId225" Target="https://doi.org/10.1093/aje/kww165" TargetMode="External" /><Relationship Type="http://schemas.openxmlformats.org/officeDocument/2006/relationships/hyperlink" Id="rId218" Target="https://doi.org/10.1093/ije/dyad023" TargetMode="External" /><Relationship Type="http://schemas.openxmlformats.org/officeDocument/2006/relationships/hyperlink" Id="rId204" Target="https://doi.org/10.1093/ije/dyu149" TargetMode="External" /><Relationship Type="http://schemas.openxmlformats.org/officeDocument/2006/relationships/hyperlink" Id="rId216" Target="https://doi.org/10.1097/EDE.0000000000000078" TargetMode="External" /><Relationship Type="http://schemas.openxmlformats.org/officeDocument/2006/relationships/hyperlink" Id="rId208" Target="https://doi.org/10.1097/EDE.0b013e3181d61eeb" TargetMode="External" /><Relationship Type="http://schemas.openxmlformats.org/officeDocument/2006/relationships/hyperlink" Id="rId174" Target="https://doi.org/10.1111/ectj.12097" TargetMode="External" /><Relationship Type="http://schemas.openxmlformats.org/officeDocument/2006/relationships/hyperlink" Id="rId172" Target="https://doi.org/10.1136/bmj-2024-080483" TargetMode="External" /><Relationship Type="http://schemas.openxmlformats.org/officeDocument/2006/relationships/hyperlink" Id="rId241" Target="https://doi.org/10.1136/bmj.m4856" TargetMode="External" /><Relationship Type="http://schemas.openxmlformats.org/officeDocument/2006/relationships/hyperlink" Id="rId193" Target="https://doi.org/10.1186/s12874-024-02244-z" TargetMode="External" /><Relationship Type="http://schemas.openxmlformats.org/officeDocument/2006/relationships/hyperlink" Id="rId227" Target="https://doi.org/10.1198/000313002753631330" TargetMode="External" /><Relationship Type="http://schemas.openxmlformats.org/officeDocument/2006/relationships/hyperlink" Id="rId201" Target="https://doi.org/10.13063/2327-9214.1244" TargetMode="External" /><Relationship Type="http://schemas.openxmlformats.org/officeDocument/2006/relationships/hyperlink" Id="rId178" Target="https://doi.org/10.1515/ijb-2013-0004" TargetMode="External" /><Relationship Type="http://schemas.openxmlformats.org/officeDocument/2006/relationships/hyperlink" Id="rId248" Target="https://doi.org/10.21037/atm.2018.12.10" TargetMode="External" /><Relationship Type="http://schemas.openxmlformats.org/officeDocument/2006/relationships/hyperlink" Id="rId167" Target="https://doi.org/10.3982/ECTA5444" TargetMode="External" /><Relationship Type="http://schemas.openxmlformats.org/officeDocument/2006/relationships/hyperlink" Id="rId239" Target="https://doi.org/10.7326/M16-2607" TargetMode="External" /><Relationship Type="http://schemas.openxmlformats.org/officeDocument/2006/relationships/hyperlink" Id="rId147" Target="https://github.com/amertens/clean-room-sim" TargetMode="External" /><Relationship Type="http://schemas.openxmlformats.org/officeDocument/2006/relationships/hyperlink" Id="rId146" Target="https://github.com/amertens/cleanTMLE" TargetMode="External" /><Relationship Type="http://schemas.openxmlformats.org/officeDocument/2006/relationships/hyperlink" Id="rId220" Target="https://www.R-project.org/" TargetMode="External" /><Relationship Type="http://schemas.openxmlformats.org/officeDocument/2006/relationships/hyperlink" Id="rId182" Target="https://www.ema.europa.eu/en/about-us/how-we-work/big-data/real-world-evidence" TargetMode="External" /><Relationship Type="http://schemas.openxmlformats.org/officeDocument/2006/relationships/hyperlink" Id="rId180" Target="https://www.ema.europa.eu/en/guideline-registry-based-studies-scientific-guideline" TargetMode="External" /><Relationship Type="http://schemas.openxmlformats.org/officeDocument/2006/relationships/hyperlink" Id="rId229" Target="https://www.fda.gov/media/120060/download" TargetMode="External" /><Relationship Type="http://schemas.openxmlformats.org/officeDocument/2006/relationships/hyperlink" Id="rId233" Target="https://www.fda.gov/regulatory-information/search-fda-guidance-documents/considerations-use-real-world-data-and-real-world-evidence-support-regulatory-decision-making-drug" TargetMode="External" /><Relationship Type="http://schemas.openxmlformats.org/officeDocument/2006/relationships/hyperlink" Id="rId235" Target="https://www.fda.gov/regulatory-information/search-fda-guidance-documents/real-world-data-assessing-electronic-health-records-and-medical-claims-data-support-regulatory" TargetMode="External" /><Relationship Type="http://schemas.openxmlformats.org/officeDocument/2006/relationships/hyperlink" Id="rId231" Target="https://www.fda.gov/regulatory-information/search-fda-guidance-documents/real-world-data-assessing-registries-support-regulatory-decision-making-drug-and-biological-products" TargetMode="External" /><Relationship Type="http://schemas.openxmlformats.org/officeDocument/2006/relationships/hyperlink" Id="rId237" Target="https://www.fda.gov/regulatory-information/search-fda-guidance-documents/real-world-evidence-considerations-regarding-non-interventional-studies-drug-and-biological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0" Target="https://doi.org/10.1002/cpt.2399" TargetMode="External" /><Relationship Type="http://schemas.openxmlformats.org/officeDocument/2006/relationships/hyperlink" Id="rId187" Target="https://doi.org/10.1002/cpt.2466" TargetMode="External" /><Relationship Type="http://schemas.openxmlformats.org/officeDocument/2006/relationships/hyperlink" Id="rId189" Target="https://doi.org/10.1002/cpt.2883" TargetMode="External" /><Relationship Type="http://schemas.openxmlformats.org/officeDocument/2006/relationships/hyperlink" Id="rId206" Target="https://doi.org/10.1002/pds.5623" TargetMode="External" /><Relationship Type="http://schemas.openxmlformats.org/officeDocument/2006/relationships/hyperlink" Id="rId243" Target="https://doi.org/10.1002/pds.5642" TargetMode="External" /><Relationship Type="http://schemas.openxmlformats.org/officeDocument/2006/relationships/hyperlink" Id="rId213" Target="https://doi.org/10.1002/pds.5770" TargetMode="External" /><Relationship Type="http://schemas.openxmlformats.org/officeDocument/2006/relationships/hyperlink" Id="rId169" Target="https://doi.org/10.1002/sim.3697" TargetMode="External" /><Relationship Type="http://schemas.openxmlformats.org/officeDocument/2006/relationships/hyperlink" Id="rId185" Target="https://doi.org/10.1016/j.csda.2013.10.018" TargetMode="External" /><Relationship Type="http://schemas.openxmlformats.org/officeDocument/2006/relationships/hyperlink" Id="rId176" Target="https://doi.org/10.1017/cts.2023.635" TargetMode="External" /><Relationship Type="http://schemas.openxmlformats.org/officeDocument/2006/relationships/hyperlink" Id="rId191" Target="https://doi.org/10.1080/19466315.2022.2116104" TargetMode="External" /><Relationship Type="http://schemas.openxmlformats.org/officeDocument/2006/relationships/hyperlink" Id="rId246" Target="https://doi.org/10.1089/neu.1998.15.573" TargetMode="External" /><Relationship Type="http://schemas.openxmlformats.org/officeDocument/2006/relationships/hyperlink" Id="rId195" Target="https://doi.org/10.1093/aje/kwv254" TargetMode="External" /><Relationship Type="http://schemas.openxmlformats.org/officeDocument/2006/relationships/hyperlink" Id="rId225" Target="https://doi.org/10.1093/aje/kww165" TargetMode="External" /><Relationship Type="http://schemas.openxmlformats.org/officeDocument/2006/relationships/hyperlink" Id="rId218" Target="https://doi.org/10.1093/ije/dyad023" TargetMode="External" /><Relationship Type="http://schemas.openxmlformats.org/officeDocument/2006/relationships/hyperlink" Id="rId204" Target="https://doi.org/10.1093/ije/dyu149" TargetMode="External" /><Relationship Type="http://schemas.openxmlformats.org/officeDocument/2006/relationships/hyperlink" Id="rId216" Target="https://doi.org/10.1097/EDE.0000000000000078" TargetMode="External" /><Relationship Type="http://schemas.openxmlformats.org/officeDocument/2006/relationships/hyperlink" Id="rId208" Target="https://doi.org/10.1097/EDE.0b013e3181d61eeb" TargetMode="External" /><Relationship Type="http://schemas.openxmlformats.org/officeDocument/2006/relationships/hyperlink" Id="rId174" Target="https://doi.org/10.1111/ectj.12097" TargetMode="External" /><Relationship Type="http://schemas.openxmlformats.org/officeDocument/2006/relationships/hyperlink" Id="rId172" Target="https://doi.org/10.1136/bmj-2024-080483" TargetMode="External" /><Relationship Type="http://schemas.openxmlformats.org/officeDocument/2006/relationships/hyperlink" Id="rId241" Target="https://doi.org/10.1136/bmj.m4856" TargetMode="External" /><Relationship Type="http://schemas.openxmlformats.org/officeDocument/2006/relationships/hyperlink" Id="rId193" Target="https://doi.org/10.1186/s12874-024-02244-z" TargetMode="External" /><Relationship Type="http://schemas.openxmlformats.org/officeDocument/2006/relationships/hyperlink" Id="rId227" Target="https://doi.org/10.1198/000313002753631330" TargetMode="External" /><Relationship Type="http://schemas.openxmlformats.org/officeDocument/2006/relationships/hyperlink" Id="rId201" Target="https://doi.org/10.13063/2327-9214.1244" TargetMode="External" /><Relationship Type="http://schemas.openxmlformats.org/officeDocument/2006/relationships/hyperlink" Id="rId178" Target="https://doi.org/10.1515/ijb-2013-0004" TargetMode="External" /><Relationship Type="http://schemas.openxmlformats.org/officeDocument/2006/relationships/hyperlink" Id="rId248" Target="https://doi.org/10.21037/atm.2018.12.10" TargetMode="External" /><Relationship Type="http://schemas.openxmlformats.org/officeDocument/2006/relationships/hyperlink" Id="rId167" Target="https://doi.org/10.3982/ECTA5444" TargetMode="External" /><Relationship Type="http://schemas.openxmlformats.org/officeDocument/2006/relationships/hyperlink" Id="rId239" Target="https://doi.org/10.7326/M16-2607" TargetMode="External" /><Relationship Type="http://schemas.openxmlformats.org/officeDocument/2006/relationships/hyperlink" Id="rId147" Target="https://github.com/amertens/clean-room-sim" TargetMode="External" /><Relationship Type="http://schemas.openxmlformats.org/officeDocument/2006/relationships/hyperlink" Id="rId146" Target="https://github.com/amertens/cleanTMLE" TargetMode="External" /><Relationship Type="http://schemas.openxmlformats.org/officeDocument/2006/relationships/hyperlink" Id="rId220" Target="https://www.R-project.org/" TargetMode="External" /><Relationship Type="http://schemas.openxmlformats.org/officeDocument/2006/relationships/hyperlink" Id="rId182" Target="https://www.ema.europa.eu/en/about-us/how-we-work/big-data/real-world-evidence" TargetMode="External" /><Relationship Type="http://schemas.openxmlformats.org/officeDocument/2006/relationships/hyperlink" Id="rId180" Target="https://www.ema.europa.eu/en/guideline-registry-based-studies-scientific-guideline" TargetMode="External" /><Relationship Type="http://schemas.openxmlformats.org/officeDocument/2006/relationships/hyperlink" Id="rId229" Target="https://www.fda.gov/media/120060/download" TargetMode="External" /><Relationship Type="http://schemas.openxmlformats.org/officeDocument/2006/relationships/hyperlink" Id="rId233" Target="https://www.fda.gov/regulatory-information/search-fda-guidance-documents/considerations-use-real-world-data-and-real-world-evidence-support-regulatory-decision-making-drug" TargetMode="External" /><Relationship Type="http://schemas.openxmlformats.org/officeDocument/2006/relationships/hyperlink" Id="rId235" Target="https://www.fda.gov/regulatory-information/search-fda-guidance-documents/real-world-data-assessing-electronic-health-records-and-medical-claims-data-support-regulatory" TargetMode="External" /><Relationship Type="http://schemas.openxmlformats.org/officeDocument/2006/relationships/hyperlink" Id="rId231" Target="https://www.fda.gov/regulatory-information/search-fda-guidance-documents/real-world-data-assessing-registries-support-regulatory-decision-making-drug-and-biological-products" TargetMode="External" /><Relationship Type="http://schemas.openxmlformats.org/officeDocument/2006/relationships/hyperlink" Id="rId237" Target="https://www.fda.gov/regulatory-information/search-fda-guidance-documents/real-world-evidence-considerations-regarding-non-interventional-studies-drug-and-biological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Worst-Case Selection of Targeted-Learning Estimators under Prespecified Data-Quality Threats: An Outcome-Blind Workflow</dc:title>
  <dc:creator>Andrew Mertens</dc:creator>
  <cp:keywords/>
  <dcterms:created xsi:type="dcterms:W3CDTF">2026-06-01T16:11:34Z</dcterms:created>
  <dcterms:modified xsi:type="dcterms:W3CDTF">2026-06-01T16:11:34Z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-hanging-indent">
    <vt:lpwstr>True</vt:lpwstr>
  </property>
  <property fmtid="{D5CDD505-2E9C-101B-9397-08002B2CF9AE}" pid="9" name="date">
    <vt:lpwstr>2026-06-01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