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png" ContentType="image/png"/>
  <Override PartName="/word/media/rId113.png" ContentType="image/png"/>
  <Override PartName="/word/media/rId92.png" ContentType="image/png"/>
  <Override PartName="/word/media/rId103.png" ContentType="image/png"/>
  <Override PartName="/word/media/rId152.png" ContentType="image/png"/>
  <Override PartName="/word/media/rId116.png" ContentType="image/png"/>
  <Override PartName="/word/media/rId148.png" ContentType="image/png"/>
  <Override PartName="/word/media/rId70.png" ContentType="image/png"/>
  <Override PartName="/word/media/rId86.png" ContentType="image/png"/>
  <Override PartName="/word/media/rId67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2026-06-04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Outcome-blind here has a</w:t>
      </w:r>
      <w:r>
        <w:t xml:space="preserve"> </w:t>
      </w:r>
      <w:r>
        <w:t xml:space="preserve">precise sense: the plasmode generator fits the marginal mean of the</w:t>
      </w:r>
      <w:r>
        <w:t xml:space="preserve"> </w:t>
      </w:r>
      <w:r>
        <w:t xml:space="preserve">observed outcome given covariates, and the joint treatment-outcome</w:t>
      </w:r>
      <w:r>
        <w:t xml:space="preserve"> </w:t>
      </w:r>
      <w:r>
        <w:t xml:space="preserve">association is never inspected before the pre-outcome decision. The</w:t>
      </w:r>
      <w:r>
        <w:t xml:space="preserve"> </w:t>
      </w:r>
      <w:r>
        <w:t xml:space="preserve">package extends this loop with a plasmode data-quality stress test</w:t>
      </w:r>
      <w:r>
        <w:t xml:space="preserve"> </w:t>
      </w:r>
      <w:r>
        <w:t xml:space="preserve">that generates synthetic outcomes from the empirical covariate and</w:t>
      </w:r>
      <w:r>
        <w:t xml:space="preserve"> </w:t>
      </w:r>
      <w:r>
        <w:t xml:space="preserve">treatment structure and evaluates each candidate under prespecified</w:t>
      </w:r>
      <w:r>
        <w:t xml:space="preserve"> </w:t>
      </w:r>
      <w:r>
        <w:t xml:space="preserve">threats, 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A supplementary variance comparison found that the matched-cohort</w:t>
      </w:r>
      <w:r>
        <w:t xml:space="preserve"> </w:t>
      </w:r>
      <w:r>
        <w:t xml:space="preserve">TMLE paired-difference SE is anti-conservative under good overlap</w:t>
      </w:r>
      <w:r>
        <w:t xml:space="preserve"> </w:t>
      </w:r>
      <w:r>
        <w:t xml:space="preserve">(95% CI coverage 0.89, Monte Carlo SE</w:t>
      </w:r>
      <w:r>
        <w:t xml:space="preserve"> </w:t>
      </w:r>
      <w:r>
        <w:t xml:space="preserve">0.03), because it ignores</w:t>
      </w:r>
      <w:r>
        <w:t xml:space="preserve"> </w:t>
      </w:r>
      <w:r>
        <w:t xml:space="preserve">matching-draw variance, the variability from which controls are</w:t>
      </w:r>
      <w:r>
        <w:t xml:space="preserve"> </w:t>
      </w:r>
      <w:r>
        <w:t xml:space="preserve">selected when data are re-sampled. The standard nonparametric</w:t>
      </w:r>
      <w:r>
        <w:t xml:space="preserve"> </w:t>
      </w:r>
      <w:r>
        <w:t xml:space="preserve">bootstrap is not consistent for matching estimators (Abadie and</w:t>
      </w:r>
      <w:r>
        <w:t xml:space="preserve"> </w:t>
      </w:r>
      <w:r>
        <w:t xml:space="preserve">Imbens 2008); a full-pipeline variant that re-runs matching on each</w:t>
      </w:r>
      <w:r>
        <w:t xml:space="preserve"> </w:t>
      </w:r>
      <w:r>
        <w:t xml:space="preserve">resample raised coverage to 0.95 in this</w:t>
      </w:r>
      <w:r>
        <w:t xml:space="preserve"> </w:t>
      </w:r>
      <w:r>
        <w:t xml:space="preserve">comparison, which we report as an empirical finding. The stabilised</w:t>
      </w:r>
      <w:r>
        <w:t xml:space="preserve"> </w:t>
      </w:r>
      <w:r>
        <w:t xml:space="preserve">IPTW IF-SE is moderately conservative under marginal overlap (SE/SD</w:t>
      </w:r>
      <w:r>
        <w:t xml:space="preserve"> </w:t>
      </w:r>
      <w:r>
        <w:t xml:space="preserve">ratio ≈ 1.23) because it treats the</w:t>
      </w:r>
      <w:r>
        <w:t xml:space="preserve"> </w:t>
      </w:r>
      <w:r>
        <w:t xml:space="preserve">propensity score as known, and correcting this requires an</w:t>
      </w:r>
      <w:r>
        <w:t xml:space="preserve"> </w:t>
      </w:r>
      <w:r>
        <w:t xml:space="preserve">M-estimator rather than resampling.</w:t>
      </w:r>
      <w:r>
        <w:t xml:space="preserve"> </w:t>
      </w:r>
      <w:r>
        <w:rPr>
          <w:rStyle w:val="VerbatimChar"/>
        </w:rPr>
        <w:t xml:space="preserve">select_variance_method()</w:t>
      </w:r>
      <w:r>
        <w:t xml:space="preserve"> </w:t>
      </w:r>
      <w:r>
        <w:t xml:space="preserve">uses oracle coverage on</w:t>
      </w:r>
      <w:r>
        <w:t xml:space="preserve"> </w:t>
      </w:r>
      <w:r>
        <w:t xml:space="preserve">plasmode-generated synthetic data to identify, for each</w:t>
      </w:r>
      <w:r>
        <w:t xml:space="preserve"> </w:t>
      </w:r>
      <w:r>
        <w:t xml:space="preserve">estimator-scenario combination, which variance method achieves nominal</w:t>
      </w:r>
      <w:r>
        <w:t xml:space="preserve"> </w:t>
      </w:r>
      <w:r>
        <w:t xml:space="preserve">coverage.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 In a constructed</w:t>
      </w:r>
      <w:r>
        <w:t xml:space="preserve"> </w:t>
      </w:r>
      <w:r>
        <w:t xml:space="preserve">demonstration with a propensity-score-truncation candidate grid and a</w:t>
      </w:r>
      <w:r>
        <w:t xml:space="preserve"> </w:t>
      </w:r>
      <w:r>
        <w:t xml:space="preserve">prespecified threat sweep that includes a positivity violation, the</w:t>
      </w:r>
      <w:r>
        <w:t xml:space="preserve"> </w:t>
      </w:r>
      <w:r>
        <w:t xml:space="preserve">worst-case selection rule (</w:t>
      </w:r>
      <w:r>
        <w:rPr>
          <w:rStyle w:val="VerbatimChar"/>
        </w:rPr>
        <w:t xml:space="preserve">min_max_rmse</w:t>
      </w:r>
      <w:r>
        <w:t xml:space="preserve">) selected a different</w:t>
      </w:r>
      <w:r>
        <w:t xml:space="preserve"> </w:t>
      </w:r>
      <w:r>
        <w:t xml:space="preserve">candidate from the baseline rule (</w:t>
      </w:r>
      <w:r>
        <w:rPr>
          <w:rStyle w:val="VerbatimChar"/>
        </w:rPr>
        <w:t xml:space="preserve">min_rmse</w:t>
      </w:r>
      <w:r>
        <w:t xml:space="preserve">), which shows that</w:t>
      </w:r>
      <w:r>
        <w:t xml:space="preserve"> </w:t>
      </w:r>
      <w:r>
        <w:t xml:space="preserve">screening candidates against their worst case across data-quality</w:t>
      </w:r>
      <w:r>
        <w:t xml:space="preserve"> </w:t>
      </w:r>
      <w:r>
        <w:t xml:space="preserve">threats can change which estimator is locked.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6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2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operationalises the</w:t>
      </w:r>
      <w:r>
        <w:t xml:space="preserve"> </w:t>
      </w:r>
      <w:r>
        <w:t xml:space="preserve">estimator-selection and stress-testing steps of a staged analysis</w:t>
      </w:r>
      <w:r>
        <w:t xml:space="preserve"> </w:t>
      </w:r>
      <w:r>
        <w:t xml:space="preserve">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Its two methodological contributions are an</w:t>
      </w:r>
      <w:r>
        <w:t xml:space="preserve"> </w:t>
      </w:r>
      <w:r>
        <w:t xml:space="preserve">outcome-blind plasmode candidate selector and the data-quality stress</w:t>
      </w:r>
      <w:r>
        <w:t xml:space="preserve"> </w:t>
      </w:r>
      <w:r>
        <w:t xml:space="preserve">test introduced above, which extends that selector to score each</w:t>
      </w:r>
      <w:r>
        <w:t xml:space="preserve"> </w:t>
      </w:r>
      <w:r>
        <w:t xml:space="preserve">candidate against prespecified data-quality threats. Both build on</w:t>
      </w:r>
      <w:r>
        <w:t xml:space="preserve"> </w:t>
      </w:r>
      <w:r>
        <w:t xml:space="preserve">targeted maximum likelihood 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, the natural setting because every analytic</w:t>
      </w:r>
      <w:r>
        <w:t xml:space="preserve"> </w:t>
      </w:r>
      <w:r>
        <w:t xml:space="preserve">decision (the SuperLearner library</w:t>
      </w:r>
      <w:r>
        <w:t xml:space="preserve"> </w:t>
      </w:r>
      <w:r>
        <w:t xml:space="preserve">(Laan, Polley, and Hubbard 2007; Phillips et al. 2023)</w:t>
      </w:r>
      <w:r>
        <w:t xml:space="preserve">, the truncation rule, the targeting procedure, and the</w:t>
      </w:r>
      <w:r>
        <w:t xml:space="preserve"> </w:t>
      </w:r>
      <w:r>
        <w:t xml:space="preserve">prespecified set of candidate estimators) can be listed in advance,</w:t>
      </w:r>
      <w:r>
        <w:t xml:space="preserve"> </w:t>
      </w:r>
      <w:r>
        <w:t xml:space="preserve">while the estimator remains data-adaptive and still admits valid</w:t>
      </w:r>
      <w:r>
        <w:t xml:space="preserve"> </w:t>
      </w:r>
      <w:r>
        <w:t xml:space="preserve">Wald-type confidence intervals under standard regularity conditions.</w:t>
      </w:r>
      <w:r>
        <w:t xml:space="preserve"> </w:t>
      </w:r>
      <w:r>
        <w:t xml:space="preserve">This modular structure makes it possible to compare prespecified</w:t>
      </w:r>
      <w:r>
        <w:t xml:space="preserve"> </w:t>
      </w:r>
      <w:r>
        <w:t xml:space="preserve">candidates under synthetic outcomes without revising the analytic plan</w:t>
      </w:r>
      <w:r>
        <w:t xml:space="preserve"> </w:t>
      </w:r>
      <w:r>
        <w:t xml:space="preserve">after inspecting observed treatment-outcome associations.</w:t>
      </w:r>
    </w:p>
    <w:p>
      <w:pPr>
        <w:pStyle w:val="BodyText"/>
      </w:pPr>
      <w:r>
        <w:t xml:space="preserve">Around these statistical components the package adds an optional</w:t>
      </w:r>
      <w:r>
        <w:t xml:space="preserve"> </w:t>
      </w:r>
      <w:r>
        <w:t xml:space="preserve">transparency layer, for analysts who want their prespecification to be a</w:t>
      </w:r>
      <w:r>
        <w:t xml:space="preserve"> </w:t>
      </w:r>
      <w:r>
        <w:t xml:space="preserve">reproducible record rather than a separate paper document: an</w:t>
      </w:r>
      <w:r>
        <w:t xml:space="preserve"> </w:t>
      </w:r>
      <w:r>
        <w:t xml:space="preserve">analysis-lock object, a serialisable audit trail and decision log in the</w:t>
      </w:r>
      <w:r>
        <w:t xml:space="preserve"> </w:t>
      </w:r>
      <w:r>
        <w:t xml:space="preserve">sense of</w:t>
      </w:r>
      <w:r>
        <w:t xml:space="preserve"> </w:t>
      </w:r>
      <w:r>
        <w:t xml:space="preserve">Muntner et al. (2024)</w:t>
      </w:r>
      <w:r>
        <w:t xml:space="preserve">, and a pre-outcome decision rule. The</w:t>
      </w:r>
      <w:r>
        <w:t xml:space="preserve"> </w:t>
      </w:r>
      <w:r>
        <w:t xml:space="preserve">decision rule applies the three review-team recommendations of</w:t>
      </w:r>
      <w:r>
        <w:t xml:space="preserve"> </w:t>
      </w:r>
      <w:r>
        <w:t xml:space="preserve">Muntner et al. (2024)</w:t>
      </w:r>
      <w:r>
        <w:t xml:space="preserve">, namely proceeding to the comparative analysis,</w:t>
      </w:r>
      <w:r>
        <w:t xml:space="preserve"> </w:t>
      </w:r>
      <w:r>
        <w:t xml:space="preserve">proceeding with a documented qualification or additional analysis, or</w:t>
      </w:r>
      <w:r>
        <w:t xml:space="preserve"> </w:t>
      </w:r>
      <w:r>
        <w:t xml:space="preserve">stopping before it. The package labels these GO, FLAG, and STOP, and it</w:t>
      </w:r>
      <w:r>
        <w:t xml:space="preserve"> </w:t>
      </w:r>
      <w:r>
        <w:t xml:space="preserve">enforces the sequence by withholding its primary-analysis functions</w:t>
      </w:r>
      <w:r>
        <w:t xml:space="preserve"> </w:t>
      </w:r>
      <w:r>
        <w:t xml:space="preserve">until the prespecified checkpoints have been recorded. This software</w:t>
      </w:r>
      <w:r>
        <w:t xml:space="preserve"> </w:t>
      </w:r>
      <w:r>
        <w:t xml:space="preserve">arrangement sits inside, rather than substitutes for, the personnel-based</w:t>
      </w:r>
      <w:r>
        <w:t xml:space="preserve"> </w:t>
      </w:r>
      <w:r>
        <w:t xml:space="preserve">governance of a clean room such as role separation, credentialed data</w:t>
      </w:r>
      <w:r>
        <w:t xml:space="preserve"> </w:t>
      </w:r>
      <w:r>
        <w:t xml:space="preserve">access, and an independent masked review team, which we return to in</w:t>
      </w:r>
      <w:r>
        <w:t xml:space="preserve"> </w:t>
      </w:r>
      <w:hyperlink w:anchor="sec-discussion">
        <w:r>
          <w:rPr>
            <w:rStyle w:val="Hyperlink"/>
          </w:rPr>
          <w:t xml:space="preserve">Section 12</w:t>
        </w:r>
      </w:hyperlink>
      <w:r>
        <w:t xml:space="preserve">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the manufacturing analogy</w:t>
      </w:r>
      <w:r>
        <w:t xml:space="preserve"> </w:t>
      </w:r>
      <w:r>
        <w:t xml:space="preserve">adopted by</w:t>
      </w:r>
      <w:r>
        <w:t xml:space="preserve"> </w:t>
      </w:r>
      <w:r>
        <w:t xml:space="preserve">Muntner et al. (2024)</w:t>
      </w:r>
      <w:r>
        <w:t xml:space="preserve">, in which access to a sterile area is</w:t>
      </w:r>
      <w:r>
        <w:t xml:space="preserve"> </w:t>
      </w:r>
      <w:r>
        <w:t xml:space="preserve">blocked until protocols have been followed; the substantive content here</w:t>
      </w:r>
      <w:r>
        <w:t xml:space="preserve"> </w:t>
      </w:r>
      <w:r>
        <w:t xml:space="preserve">is the staged restriction of outcome access.</w:t>
      </w:r>
      <w:r>
        <w:t xml:space="preserve"> 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situates the</w:t>
      </w:r>
      <w:r>
        <w:t xml:space="preserve"> </w:t>
      </w:r>
      <w:r>
        <w:t xml:space="preserve">package inside the causal roadmap.</w:t>
      </w:r>
    </w:p>
    <w:bookmarkEnd w:id="22"/>
    <w:bookmarkStart w:id="23" w:name="current-scope-of-cleantmle"/>
    <w:p>
      <w:pPr>
        <w:pStyle w:val="Heading2"/>
      </w:pPr>
      <w:r>
        <w:t xml:space="preserve">1.3 Current scope of cleanTMLE</w:t>
      </w:r>
    </w:p>
    <w:p>
      <w:pPr>
        <w:pStyle w:val="FirstParagraph"/>
      </w:pPr>
      <w:r>
        <w:t xml:space="preserve">The simulation, vignette, and case study in this paper run on a binary</w:t>
      </w:r>
      <w:r>
        <w:t xml:space="preserve"> </w:t>
      </w:r>
      <w:r>
        <w:t xml:space="preserve">point exposure, a binary outcome, and the marginal risk-difference</w:t>
      </w:r>
      <w:r>
        <w:t xml:space="preserve"> </w:t>
      </w:r>
      <w:r>
        <w:t xml:space="preserve">estimand, with outcome missingness handled through complete-case and</w:t>
      </w:r>
      <w:r>
        <w:t xml:space="preserve"> </w:t>
      </w:r>
      <w:r>
        <w:t xml:space="preserve">IPCW sensitivity paths under prespecified missingness assumptions (the</w:t>
      </w:r>
      <w:r>
        <w:t xml:space="preserve"> </w:t>
      </w:r>
      <w:r>
        <w:t xml:space="preserve">complete-case path is unbiased under MCAR, and the IPCW path is unbiased</w:t>
      </w:r>
      <w:r>
        <w:t xml:space="preserve"> </w:t>
      </w:r>
      <w:r>
        <w:t xml:space="preserve">under conditional independent censoring given measured covariates and</w:t>
      </w:r>
      <w:r>
        <w:t xml:space="preserve"> </w:t>
      </w:r>
      <w:r>
        <w:t xml:space="preserve">treatment). Within that scope the package exposes the full estimator</w:t>
      </w:r>
      <w:r>
        <w:t xml:space="preserve"> </w:t>
      </w:r>
      <w:r>
        <w:t xml:space="preserve">spectrum, namely IPTW with stabilised weights (</w:t>
      </w:r>
      <w:r>
        <w:rPr>
          <w:rStyle w:val="VerbatimChar"/>
        </w:rPr>
        <w:t xml:space="preserve">estimate_ipwrisk()</w:t>
      </w:r>
      <w:r>
        <w:t xml:space="preserve">),</w:t>
      </w:r>
      <w:r>
        <w:t xml:space="preserve"> </w:t>
      </w:r>
      <w:r>
        <w:t xml:space="preserve">parametric g-computation (</w:t>
      </w:r>
      <w:r>
        <w:rPr>
          <w:rStyle w:val="VerbatimChar"/>
        </w:rPr>
        <w:t xml:space="preserve">estimate_gcomprisk()</w:t>
      </w:r>
      <w:r>
        <w:t xml:space="preserve">), augmented IPW</w:t>
      </w:r>
      <w:r>
        <w:t xml:space="preserve"> </w:t>
      </w:r>
      <w:r>
        <w:t xml:space="preserve">(</w:t>
      </w:r>
      <w:r>
        <w:rPr>
          <w:rStyle w:val="VerbatimChar"/>
        </w:rPr>
        <w:t xml:space="preserve">estimate_aipwrisk()</w:t>
      </w:r>
      <w:r>
        <w:t xml:space="preserve">), and TMLE (</w:t>
      </w:r>
      <w:r>
        <w:rPr>
          <w:rStyle w:val="VerbatimChar"/>
        </w:rPr>
        <w:t xml:space="preserve">run_clean_tmle()</w:t>
      </w:r>
      <w:r>
        <w:t xml:space="preserve">, together with the</w:t>
      </w:r>
      <w:r>
        <w:t xml:space="preserve"> </w:t>
      </w:r>
      <w:r>
        <w:t xml:space="preserve">modular</w:t>
      </w:r>
      <w:r>
        <w:t xml:space="preserve"> </w:t>
      </w:r>
      <w:r>
        <w:rPr>
          <w:rStyle w:val="VerbatimChar"/>
        </w:rPr>
        <w:t xml:space="preserve">fit_tmle_*()</w:t>
      </w:r>
      <w:r>
        <w:t xml:space="preserve"> </w:t>
      </w:r>
      <w:r>
        <w:t xml:space="preserve">primitives and the IPCW variant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). The prespecified primary estimator is TMLE, and the</w:t>
      </w:r>
      <w:r>
        <w:t xml:space="preserve"> </w:t>
      </w:r>
      <w:r>
        <w:t xml:space="preserve">other three are reported as concordance checks. Hazard ratios,</w:t>
      </w:r>
      <w:r>
        <w:t xml:space="preserve"> </w:t>
      </w:r>
      <w:r>
        <w:t xml:space="preserve">time-varying treatments, competing risks, multinomial exposures, and</w:t>
      </w:r>
      <w:r>
        <w:t xml:space="preserve"> </w:t>
      </w:r>
      <w:r>
        <w:t xml:space="preserve">MAR/MNAR missingness models are out of scope for the v0.1 release;</w:t>
      </w:r>
      <w:r>
        <w:t xml:space="preserve"> </w:t>
      </w:r>
      <w:r>
        <w:t xml:space="preserve">analysts who need those estimands can compose cleanTMLE’s</w:t>
      </w:r>
      <w:r>
        <w:t xml:space="preserve"> </w:t>
      </w:r>
      <w:r>
        <w:t xml:space="preserve">prespecification and audit functions with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until those features</w:t>
      </w:r>
      <w:r>
        <w:t xml:space="preserve"> </w:t>
      </w:r>
      <w:r>
        <w:t xml:space="preserve">are added. This paper documents version 0.1.5 of the package. The</w:t>
      </w:r>
      <w:r>
        <w:t xml:space="preserve"> </w:t>
      </w:r>
      <w:r>
        <w:t xml:space="preserve">case-study estimates in</w:t>
      </w:r>
      <w:r>
        <w:t xml:space="preserve"> </w:t>
      </w:r>
      <w:hyperlink w:anchor="sec-casestudy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were produced under version 0.1.1;</w:t>
      </w:r>
      <w:r>
        <w:t xml:space="preserve"> </w:t>
      </w:r>
      <w:r>
        <w:t xml:space="preserve">the 0.1.5 API is backward-compatible for the functions used there, and</w:t>
      </w:r>
      <w:r>
        <w:t xml:space="preserve"> </w:t>
      </w:r>
      <w:r>
        <w:t xml:space="preserve">the numerical results are unchanged.</w:t>
      </w:r>
    </w:p>
    <w:bookmarkEnd w:id="23"/>
    <w:bookmarkStart w:id="24" w:name="what-the-paper-contributes"/>
    <w:p>
      <w:pPr>
        <w:pStyle w:val="Heading2"/>
      </w:pPr>
      <w:r>
        <w:t xml:space="preserve">1.4 What the paper contributes</w:t>
      </w:r>
    </w:p>
    <w:p>
      <w:pPr>
        <w:pStyle w:val="FirstParagraph"/>
      </w:pPr>
      <w:r>
        <w:t xml:space="preserve">We state the contribution narrowly. It is not a new estimator or a new</w:t>
      </w:r>
      <w:r>
        <w:t xml:space="preserve"> </w:t>
      </w:r>
      <w:r>
        <w:t xml:space="preserve">theorem: the estimators are standard targeted learning, and prespecifying</w:t>
      </w:r>
      <w:r>
        <w:t xml:space="preserve"> </w:t>
      </w:r>
      <w:r>
        <w:t xml:space="preserve">TMLE in a statistical analysis plan is already set out by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Step 5 of the roadmap</w:t>
      </w:r>
      <w:r>
        <w:t xml:space="preserve"> </w:t>
      </w:r>
      <w:r>
        <w:t xml:space="preserve">(Dang et al. 2023)</w:t>
      </w:r>
      <w:r>
        <w:t xml:space="preserve">. The</w:t>
      </w:r>
      <w:r>
        <w:t xml:space="preserve"> </w:t>
      </w:r>
      <w:r>
        <w:t xml:space="preserve">contribution is a single, prespecified, outcome-blind procedure that ties</w:t>
      </w:r>
      <w:r>
        <w:t xml:space="preserve"> </w:t>
      </w:r>
      <w:r>
        <w:t xml:space="preserve">the qualitative fit-for-purpose threats documented in a SPIFD2-style</w:t>
      </w:r>
      <w:r>
        <w:t xml:space="preserve"> </w:t>
      </w:r>
      <w:r>
        <w:t xml:space="preserve">review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to quantitative estimator selection on one</w:t>
      </w:r>
      <w:r>
        <w:t xml:space="preserve"> </w:t>
      </w:r>
      <w:r>
        <w:t xml:space="preserve">decision scale, together with a reproducible software implementation.</w:t>
      </w:r>
      <w:r>
        <w:t xml:space="preserve"> </w:t>
      </w:r>
      <w:r>
        <w:t xml:space="preserve">Concretely, we extend the outcome-blind plasmode loop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from</w:t>
      </w:r>
      <w:r>
        <w:t xml:space="preserve"> </w:t>
      </w:r>
      <w:r>
        <w:t xml:space="preserve">candidate-estimator selection 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</w:t>
      </w:r>
      <w:r>
        <w:t xml:space="preserve"> </w:t>
      </w:r>
      <w:r>
        <w:t xml:space="preserve">prespecified threat ranges: each candidate produces a degradation</w:t>
      </w:r>
      <w:r>
        <w:t xml:space="preserve"> </w:t>
      </w:r>
      <w:r>
        <w:t xml:space="preserve">gradient on the same bias, RMSE, and coverage scale as the baseline</w:t>
      </w:r>
      <w:r>
        <w:t xml:space="preserve"> </w:t>
      </w:r>
      <w:r>
        <w:t xml:space="preserve">plasmode, so the prespecified decision rule applies uniformly across</w:t>
      </w:r>
      <w:r>
        <w:t xml:space="preserve"> </w:t>
      </w:r>
      <w:r>
        <w:t xml:space="preserve">baseline and stressed scenarios. We characterise the screen’s operating</w:t>
      </w:r>
      <w:r>
        <w:t xml:space="preserve"> </w:t>
      </w:r>
      <w:r>
        <w:t xml:space="preserve">characteristics as a decision rule (</w:t>
      </w:r>
      <w:hyperlink w:anchor="sec-gate-oc">
        <w:r>
          <w:rPr>
            <w:rStyle w:val="Hyperlink"/>
          </w:rPr>
          <w:t xml:space="preserve">Section 10</w:t>
        </w:r>
      </w:hyperlink>
      <w:r>
        <w:t xml:space="preserve">): how often it returns</w:t>
      </w:r>
      <w:r>
        <w:t xml:space="preserve"> </w:t>
      </w:r>
      <w:r>
        <w:t xml:space="preserve">the same GO/STOP verdict an oracle with knowledge of the realised</w:t>
      </w:r>
      <w:r>
        <w:t xml:space="preserve"> </w:t>
      </w:r>
      <w:r>
        <w:t xml:space="preserve">estimator’s bias would return, and how that calibration degrades when the</w:t>
      </w:r>
      <w:r>
        <w:t xml:space="preserve"> </w:t>
      </w:r>
      <w:r>
        <w:t xml:space="preserve">synthetic-outcome model is misspecified.</w:t>
      </w:r>
    </w:p>
    <w:p>
      <w:pPr>
        <w:pStyle w:val="BodyText"/>
      </w:pPr>
      <w:r>
        <w:t xml:space="preserve">The boundary with the FIORD framework is as follows. FIORD</w:t>
      </w:r>
      <w:r>
        <w:t xml:space="preserve"> </w:t>
      </w:r>
      <w:r>
        <w:t xml:space="preserve">(Nance et al. 2026; Kent 2026)</w:t>
      </w:r>
      <w:r>
        <w:t xml:space="preserve"> </w:t>
      </w:r>
      <w:r>
        <w:t xml:space="preserve">supplies the outcome-blind</w:t>
      </w:r>
      <w:r>
        <w:t xml:space="preserve"> </w:t>
      </w:r>
      <w:r>
        <w:t xml:space="preserve">candidate-evaluation loop and the two-stage selector that first screens</w:t>
      </w:r>
      <w:r>
        <w:t xml:space="preserve"> </w:t>
      </w:r>
      <w:r>
        <w:t xml:space="preserve">candidates on oracle coverage and then selects a variance method. This paper</w:t>
      </w:r>
      <w:r>
        <w:t xml:space="preserve"> </w:t>
      </w:r>
      <w:r>
        <w:t xml:space="preserve">contributes the software implementation of that loop, the data-quality</w:t>
      </w:r>
      <w:r>
        <w:t xml:space="preserve"> </w:t>
      </w:r>
      <w:r>
        <w:t xml:space="preserve">stress-test extension that scores each candidate under prespecified threats on</w:t>
      </w:r>
      <w:r>
        <w:t xml:space="preserve"> </w:t>
      </w:r>
      <w:r>
        <w:t xml:space="preserve">the same decision scale, and the lock, audit, and pre-outcome-decision record.</w:t>
      </w:r>
      <w:r>
        <w:t xml:space="preserve"> </w:t>
      </w:r>
      <w:r>
        <w:t xml:space="preserve">We hold to this division of labour throughout, and we do not claim the</w:t>
      </w:r>
      <w:r>
        <w:t xml:space="preserve"> </w:t>
      </w:r>
      <w:r>
        <w:t xml:space="preserve">outcome-blind selection framework as original to this work.</w:t>
      </w:r>
    </w:p>
    <w:p>
      <w:pPr>
        <w:pStyle w:val="BodyText"/>
      </w:pPr>
      <w:r>
        <w:t xml:space="preserve">We position the screen as a quantitative supplement to fit-for-purpose</w:t>
      </w:r>
      <w:r>
        <w:t xml:space="preserve"> </w:t>
      </w:r>
      <w:r>
        <w:t xml:space="preserve">review (</w:t>
      </w:r>
      <w:hyperlink w:anchor="sec-bridge">
        <w:r>
          <w:rPr>
            <w:rStyle w:val="Hyperlink"/>
          </w:rPr>
          <w:t xml:space="preserve">Section 7</w:t>
        </w:r>
      </w:hyperlink>
      <w:r>
        <w:t xml:space="preserve">) and not a substitute for variable-validation</w:t>
      </w:r>
      <w:r>
        <w:t xml:space="preserve"> </w:t>
      </w:r>
      <w:r>
        <w:t xml:space="preserve">studies, source-data assessment, or post-outcome quantitative bias</w:t>
      </w:r>
      <w:r>
        <w:t xml:space="preserve"> </w:t>
      </w:r>
      <w:r>
        <w:t xml:space="preserve">analysis, and we are explicit (</w:t>
      </w:r>
      <w:hyperlink w:anchor="sec-guarantees">
        <w:r>
          <w:rPr>
            <w:rStyle w:val="Hyperlink"/>
          </w:rPr>
          <w:t xml:space="preserve">Section 7.5</w:t>
        </w:r>
      </w:hyperlink>
      <w:r>
        <w:t xml:space="preserve">) about what passing it does</w:t>
      </w:r>
      <w:r>
        <w:t xml:space="preserve"> </w:t>
      </w:r>
      <w:r>
        <w:t xml:space="preserve">and does not establish. The R implementation records the supporting</w:t>
      </w:r>
      <w:r>
        <w:t xml:space="preserve"> </w:t>
      </w:r>
      <w:r>
        <w:t xml:space="preserve">prespecification (the SHA-256-fingerprinted analysis lock, the audit</w:t>
      </w:r>
      <w:r>
        <w:t xml:space="preserve"> </w:t>
      </w:r>
      <w:r>
        <w:t xml:space="preserve">trail, the decision log, and the pre-outcome decision) so that the screen</w:t>
      </w:r>
      <w:r>
        <w:t xml:space="preserve"> </w:t>
      </w:r>
      <w:r>
        <w:t xml:space="preserve">and the locked primary analysis share a single reproducible record.</w:t>
      </w:r>
    </w:p>
    <w:p>
      <w:pPr>
        <w:pStyle w:val="BodyText"/>
      </w:pPr>
      <w:r>
        <w:t xml:space="preserve">For an applied real-world evidence team the operational payoff is</w:t>
      </w:r>
      <w:r>
        <w:t xml:space="preserve"> </w:t>
      </w:r>
      <w:r>
        <w:t xml:space="preserve">concrete. Prespecifying the estimand, the candidate estimators, the</w:t>
      </w:r>
      <w:r>
        <w:t xml:space="preserve"> </w:t>
      </w:r>
      <w:r>
        <w:t xml:space="preserve">learner libraries, and the decision thresholds inside a fingerprinted</w:t>
      </w:r>
      <w:r>
        <w:t xml:space="preserve"> </w:t>
      </w:r>
      <w:r>
        <w:t xml:space="preserve">lock, and recording every pre-outcome diagnostic in an exportable audit</w:t>
      </w:r>
      <w:r>
        <w:t xml:space="preserve"> </w:t>
      </w:r>
      <w:r>
        <w:t xml:space="preserve">trail, gives a reviewer a record that can be reconstructed without</w:t>
      </w:r>
      <w:r>
        <w:t xml:space="preserve"> </w:t>
      </w:r>
      <w:r>
        <w:t xml:space="preserve">relying on the analyst’s recollection of which choice was made when.</w:t>
      </w:r>
      <w:r>
        <w:t xml:space="preserve"> </w:t>
      </w:r>
      <w:r>
        <w:t xml:space="preserve">This addresses a recurring concern in real-world evidence submissions,</w:t>
      </w:r>
      <w:r>
        <w:t xml:space="preserve"> </w:t>
      </w:r>
      <w:r>
        <w:t xml:space="preserve">that analytic choices may have been shaped by the observed</w:t>
      </w:r>
      <w:r>
        <w:t xml:space="preserve"> </w:t>
      </w:r>
      <w:r>
        <w:t xml:space="preserve">treatment-outcome association</w:t>
      </w:r>
      <w:r>
        <w:t xml:space="preserve"> </w:t>
      </w:r>
      <w:r>
        <w:t xml:space="preserve">(Muntner et al. 2024)</w:t>
      </w:r>
      <w:r>
        <w:t xml:space="preserve">. The same record</w:t>
      </w:r>
      <w:r>
        <w:t xml:space="preserve"> </w:t>
      </w:r>
      <w:r>
        <w:t xml:space="preserve">reduces post-hoc disputes over truncation, learner library, and cohort</w:t>
      </w:r>
      <w:r>
        <w:t xml:space="preserve"> </w:t>
      </w:r>
      <w:r>
        <w:t xml:space="preserve">decisions, because each is timestamped before the outcome is read. The</w:t>
      </w:r>
      <w:r>
        <w:t xml:space="preserve"> </w:t>
      </w:r>
      <w:r>
        <w:t xml:space="preserve">cost is the discipline of fixing these choices in advance and the</w:t>
      </w:r>
      <w:r>
        <w:t xml:space="preserve"> </w:t>
      </w:r>
      <w:r>
        <w:t xml:space="preserve">compute time of the plasmode and data-quality runs, both of which fit</w:t>
      </w:r>
      <w:r>
        <w:t xml:space="preserve"> </w:t>
      </w:r>
      <w:r>
        <w:t xml:space="preserve">inside a conventional statistical-analysis-plan timeline.</w:t>
      </w:r>
    </w:p>
    <w:p>
      <w:pPr>
        <w:pStyle w:val="BodyText"/>
      </w:pPr>
      <w:r>
        <w:t xml:space="preserve">The practical consequence is visible when the same fitted estimators are</w:t>
      </w:r>
      <w:r>
        <w:t xml:space="preserve"> </w:t>
      </w:r>
      <w:r>
        <w:t xml:space="preserve">read under a conventional pipeline and under the staged workflow</w:t>
      </w:r>
      <w:r>
        <w:t xml:space="preserve"> </w:t>
      </w:r>
      <w:r>
        <w:t xml:space="preserve">(</w:t>
      </w:r>
      <w:hyperlink w:anchor="tbl-workflow-contrast">
        <w:r>
          <w:rPr>
            <w:rStyle w:val="Hyperlink"/>
          </w:rPr>
          <w:t xml:space="preserve">Table 4</w:t>
        </w:r>
      </w:hyperlink>
      <w:r>
        <w:t xml:space="preserve">). Under good overlap the two agree. Under</w:t>
      </w:r>
      <w:r>
        <w:t xml:space="preserve"> </w:t>
      </w:r>
      <w:r>
        <w:t xml:space="preserve">marginal overlap the workflow flags the IPTW variance calibration before</w:t>
      </w:r>
      <w:r>
        <w:t xml:space="preserve"> </w:t>
      </w:r>
      <w:r>
        <w:t xml:space="preserve">unblinding, where the conventional pipeline relies on a reviewer to</w:t>
      </w:r>
      <w:r>
        <w:t xml:space="preserve"> </w:t>
      </w:r>
      <w:r>
        <w:t xml:space="preserve">notice it. Under unmeasured confounding of a prespecified strength the</w:t>
      </w:r>
      <w:r>
        <w:t xml:space="preserve"> </w:t>
      </w:r>
      <w:r>
        <w:t xml:space="preserve">staged decision rule returns STOP and the locked primary analysis does</w:t>
      </w:r>
      <w:r>
        <w:t xml:space="preserve"> </w:t>
      </w:r>
      <w:r>
        <w:t xml:space="preserve">not run, whereas the conventional pipeline reports a biased non-null</w:t>
      </w:r>
      <w:r>
        <w:t xml:space="preserve"> </w:t>
      </w:r>
      <w:r>
        <w:t xml:space="preserve">estimate (mean bias 0.007) that would be published. The fits are</w:t>
      </w:r>
      <w:r>
        <w:t xml:space="preserve"> </w:t>
      </w:r>
      <w:r>
        <w:t xml:space="preserve">identical under both pipelines; the difference is the prespecified</w:t>
      </w:r>
      <w:r>
        <w:t xml:space="preserve"> </w:t>
      </w:r>
      <w:r>
        <w:t xml:space="preserve">decision applied before the outcome is read.</w:t>
      </w:r>
    </w:p>
    <w:bookmarkEnd w:id="24"/>
    <w:bookmarkStart w:id="25" w:name="Xf8398cd67a288fbb13e53a8d1c35308a20e37cd"/>
    <w:p>
      <w:pPr>
        <w:pStyle w:val="Heading2"/>
      </w:pPr>
      <w:r>
        <w:t xml:space="preserve">1.5 Why targeted learning for an outcome-blind workflow</w:t>
      </w:r>
    </w:p>
    <w:p>
      <w:pPr>
        <w:pStyle w:val="FirstParagraph"/>
      </w:pPr>
      <w:r>
        <w:t xml:space="preserve">An outcome-blind workflow fixes the estimator before the</w:t>
      </w:r>
      <w:r>
        <w:t xml:space="preserve"> </w:t>
      </w:r>
      <w:r>
        <w:t xml:space="preserve">treatment-outcome association is read, so the estimator must have a target</w:t>
      </w:r>
      <w:r>
        <w:t xml:space="preserve"> </w:t>
      </w:r>
      <w:r>
        <w:t xml:space="preserve">that is declared in advance and that does not depend on how the nuisance</w:t>
      </w:r>
      <w:r>
        <w:t xml:space="preserve"> </w:t>
      </w:r>
      <w:r>
        <w:t xml:space="preserve">models are fit. Targeted maximum likelihood estimation has this structure.</w:t>
      </w:r>
      <w:r>
        <w:t xml:space="preserve"> </w:t>
      </w:r>
      <w:r>
        <w:t xml:space="preserve">The target parameter, here the marginal risk difference, is specified before</w:t>
      </w:r>
      <w:r>
        <w:t xml:space="preserve"> </w:t>
      </w:r>
      <w:r>
        <w:t xml:space="preserve">estimation, and the propensity-score and outcome models are nuisance fits</w:t>
      </w:r>
      <w:r>
        <w:t xml:space="preserve"> </w:t>
      </w:r>
      <w:r>
        <w:t xml:space="preserve">that can be learned by flexible, data-adaptive methods without changing the</w:t>
      </w:r>
      <w:r>
        <w:t xml:space="preserve"> </w:t>
      </w:r>
      <w:r>
        <w:t xml:space="preserve">target. The targeting step then removes the plug-in bias of the initial</w:t>
      </w:r>
      <w:r>
        <w:t xml:space="preserve"> </w:t>
      </w:r>
      <w:r>
        <w:t xml:space="preserve">outcome fit using the propensity score, so the bias of the final estimator</w:t>
      </w:r>
      <w:r>
        <w:t xml:space="preserve"> </w:t>
      </w:r>
      <w:r>
        <w:t xml:space="preserve">does not depend on the quality of any single nuisance model in the way a</w:t>
      </w:r>
      <w:r>
        <w:t xml:space="preserve"> </w:t>
      </w:r>
      <w:r>
        <w:t xml:space="preserve">plug-in or single-model estimator does. The candidate estimators are</w:t>
      </w:r>
      <w:r>
        <w:t xml:space="preserve"> </w:t>
      </w:r>
      <w:r>
        <w:t xml:space="preserve">enumerable, which is what makes outcome-blind selection among them feasible:</w:t>
      </w:r>
      <w:r>
        <w:t xml:space="preserve"> </w:t>
      </w:r>
      <w:r>
        <w:t xml:space="preserve">each candidate is a fixed choice of nuisance libraries, truncation, and</w:t>
      </w:r>
      <w:r>
        <w:t xml:space="preserve"> </w:t>
      </w:r>
      <w:r>
        <w:t xml:space="preserve">cross-fitting, and the candidates can be ranked on synthetic data before the</w:t>
      </w:r>
      <w:r>
        <w:t xml:space="preserve"> </w:t>
      </w:r>
      <w:r>
        <w:t xml:space="preserve">outcome is unblinded. A logistic outcome regression or an inverse-probability</w:t>
      </w:r>
      <w:r>
        <w:t xml:space="preserve"> </w:t>
      </w:r>
      <w:r>
        <w:t xml:space="preserve">weight does not separate the target from the model in this way, which is why</w:t>
      </w:r>
      <w:r>
        <w:t xml:space="preserve"> </w:t>
      </w:r>
      <w:r>
        <w:t xml:space="preserve">the workflow is built on targeted learning.</w:t>
      </w:r>
    </w:p>
    <w:p>
      <w:pPr>
        <w:pStyle w:val="BodyText"/>
      </w:pPr>
      <w:r>
        <w:t xml:space="preserve">The next section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) places these contributions inside the causal</w:t>
      </w:r>
      <w:r>
        <w:t xml:space="preserve"> </w:t>
      </w:r>
      <w:r>
        <w:t xml:space="preserve">roadmap, and subsequent sections follow that roadmap order.</w:t>
      </w:r>
    </w:p>
    <w:bookmarkEnd w:id="25"/>
    <w:bookmarkEnd w:id="26"/>
    <w:bookmarkStart w:id="27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cleanTMLE is designed to encourage the analyst to follow the causal</w:t>
      </w:r>
      <w:r>
        <w:t xml:space="preserve"> </w:t>
      </w:r>
      <w:r>
        <w:t xml:space="preserve">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when defining and</w:t>
      </w:r>
      <w:r>
        <w:t xml:space="preserve"> </w:t>
      </w:r>
      <w:r>
        <w:t xml:space="preserve">executing the analysis. The roadmap sets out an explicit, prespecified</w:t>
      </w:r>
      <w:r>
        <w:t xml:space="preserve"> </w:t>
      </w:r>
      <w:r>
        <w:t xml:space="preserve">sequence of seven steps: (1) state the causal question, causal model, and</w:t>
      </w:r>
      <w:r>
        <w:t xml:space="preserve"> </w:t>
      </w:r>
      <w:r>
        <w:t xml:space="preserve">causal estimand; (2) characterise the observed data and their fitness for</w:t>
      </w:r>
      <w:r>
        <w:t xml:space="preserve"> </w:t>
      </w:r>
      <w:r>
        <w:t xml:space="preserve">the target trial; (3) assess identifiability; (4) define the statistical</w:t>
      </w:r>
      <w:r>
        <w:t xml:space="preserve"> </w:t>
      </w:r>
      <w:r>
        <w:t xml:space="preserve">estimand; (5) choose a statistical model and estimator with prespecified</w:t>
      </w:r>
      <w:r>
        <w:t xml:space="preserve"> </w:t>
      </w:r>
      <w:r>
        <w:t xml:space="preserve">operating characteristics, using outcome-blind simulation and targeted</w:t>
      </w:r>
      <w:r>
        <w:t xml:space="preserve"> </w:t>
      </w:r>
      <w:r>
        <w:t xml:space="preserve">learning; (6) specify a procedure for sensitivity analysis to violations</w:t>
      </w:r>
      <w:r>
        <w:t xml:space="preserve"> </w:t>
      </w:r>
      <w:r>
        <w:t xml:space="preserve">of the identification assumptions; and (7) compare alternative study</w:t>
      </w:r>
      <w:r>
        <w:t xml:space="preserve"> </w:t>
      </w:r>
      <w:r>
        <w:t xml:space="preserve">designs, again using outcome-blind simulation</w:t>
      </w:r>
      <w:r>
        <w:t xml:space="preserve"> </w:t>
      </w:r>
      <w:r>
        <w:t xml:space="preserve">(Dang et al. 2023)</w:t>
      </w:r>
      <w:r>
        <w:t xml:space="preserve">. The</w:t>
      </w:r>
      <w:r>
        <w:t xml:space="preserve"> </w:t>
      </w:r>
      <w:r>
        <w:t xml:space="preserve">package applies this roadmap to a staged analysis in the sense of</w:t>
      </w:r>
      <w:r>
        <w:t xml:space="preserve"> </w:t>
      </w:r>
      <w:r>
        <w:t xml:space="preserve">Muntner et al. (2024)</w:t>
      </w:r>
      <w:r>
        <w:t xml:space="preserve">. It operationalises Step 5 through outcome-blind</w:t>
      </w:r>
      <w:r>
        <w:t xml:space="preserve"> </w:t>
      </w:r>
      <w:r>
        <w:t xml:space="preserve">plasmode estimator selection and TMLE estimators, contributes the</w:t>
      </w:r>
      <w:r>
        <w:t xml:space="preserve"> </w:t>
      </w:r>
      <w:r>
        <w:t xml:space="preserve">data-quality stress test as an extension of Steps 5 and 7, and records</w:t>
      </w:r>
      <w:r>
        <w:t xml:space="preserve"> </w:t>
      </w:r>
      <w:r>
        <w:t xml:space="preserve">the Step 6 sensitivity analyses. Steps 1 to 4 remain external</w:t>
      </w:r>
      <w:r>
        <w:t xml:space="preserve"> </w:t>
      </w:r>
      <w:r>
        <w:t xml:space="preserve">study-level work, supported by target-trial templates</w:t>
      </w:r>
      <w:r>
        <w:t xml:space="preserve"> </w:t>
      </w:r>
      <w:r>
        <w:t xml:space="preserve">(M. A. Hernán and Robins 2016; Cashin et al. 2024)</w:t>
      </w:r>
      <w:r>
        <w:t xml:space="preserve">, fit-for-purpose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 source-specific data-relevance</w:t>
      </w:r>
      <w:r>
        <w:t xml:space="preserve"> </w:t>
      </w:r>
      <w:r>
        <w:t xml:space="preserve">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keep the estimand, estimator, simulation, and governance decision</w:t>
      </w:r>
      <w:r>
        <w:t xml:space="preserve"> </w:t>
      </w:r>
      <w:r>
        <w:t xml:space="preserve">distinct, the manuscript uses a fixed vocabulary for the conceptual</w:t>
      </w:r>
      <w:r>
        <w:t xml:space="preserve"> </w:t>
      </w:r>
      <w:r>
        <w:t xml:space="preserve">layers of the workflow, defined in</w:t>
      </w:r>
      <w:r>
        <w:t xml:space="preserve"> </w:t>
      </w:r>
      <w:hyperlink w:anchor="tbl-layer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(Appendix).</w:t>
      </w:r>
      <w:r>
        <w:t xml:space="preserve"> </w:t>
      </w:r>
      <w:hyperlink w:anchor="fig-roadmap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(Appendix) places the package inside the roadmap, shading the steps it</w:t>
      </w:r>
      <w:r>
        <w:t xml:space="preserve"> </w:t>
      </w:r>
      <w:r>
        <w:t xml:space="preserve">can operationalise, and</w:t>
      </w:r>
      <w:r>
        <w:t xml:space="preserve"> </w:t>
      </w:r>
      <w:hyperlink w:anchor="fig-governanc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situates the software</w:t>
      </w:r>
      <w:r>
        <w:t xml:space="preserve"> </w:t>
      </w:r>
      <w:r>
        <w:t xml:space="preserve">arrangement within the broader governance stack of external validation,</w:t>
      </w:r>
      <w:r>
        <w:t xml:space="preserve"> </w:t>
      </w:r>
      <w:r>
        <w:t xml:space="preserve">independent oversight, and data standards. A full mapping of each</w:t>
      </w:r>
      <w:r>
        <w:t xml:space="preserve"> </w:t>
      </w:r>
      <w:r>
        <w:t xml:space="preserve">roadmap component to the relevant FDA, EMA, and ICH expectation, to what</w:t>
      </w:r>
      <w:r>
        <w:t xml:space="preserve"> </w:t>
      </w:r>
      <w:r>
        <w:t xml:space="preserve">cleanTMLE operationalises in software, and to what still requires</w:t>
      </w:r>
      <w:r>
        <w:t xml:space="preserve"> </w:t>
      </w:r>
      <w:r>
        <w:t xml:space="preserve">external study-level justification is given in</w:t>
      </w:r>
      <w:r>
        <w:t xml:space="preserve"> </w:t>
      </w:r>
      <w:hyperlink w:anchor="tbl-reg-align">
        <w:r>
          <w:rPr>
            <w:rStyle w:val="Hyperlink"/>
          </w:rPr>
          <w:t xml:space="preserve">Table 8</w:t>
        </w:r>
      </w:hyperlink>
      <w:r>
        <w:t xml:space="preserve">, and</w:t>
      </w:r>
      <w:r>
        <w:t xml:space="preserve"> </w:t>
      </w:r>
      <w:hyperlink w:anchor="tbl-event-diag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lists the additional event-process and diagnostic</w:t>
      </w:r>
      <w:r>
        <w:t xml:space="preserve"> </w:t>
      </w:r>
      <w:r>
        <w:t xml:space="preserve">helpers. We return to the regulatory correspondence in</w:t>
      </w:r>
      <w:r>
        <w:t xml:space="preserve"> </w:t>
      </w:r>
      <w:hyperlink w:anchor="sec-discussion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rather than developing it in the methods, because the software</w:t>
      </w:r>
      <w:r>
        <w:t xml:space="preserve"> </w:t>
      </w:r>
      <w:r>
        <w:t xml:space="preserve">operationalises only part of each expectation.</w:t>
      </w:r>
    </w:p>
    <w:p>
      <w:pPr>
        <w:pStyle w:val="BodyText"/>
      </w:pPr>
      <w:r>
        <w:t xml:space="preserve">The remaining methods sections follow the roadmap order.</w:t>
      </w:r>
      <w:r>
        <w:t xml:space="preserve"> </w:t>
      </w:r>
      <w:hyperlink w:anchor="sec-estimand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</w:t>
      </w:r>
      <w:r>
        <w:t xml:space="preserve"> </w:t>
      </w:r>
      <w:hyperlink w:anchor="sec-framework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</w:t>
      </w:r>
      <w:r>
        <w:t xml:space="preserve"> </w:t>
      </w:r>
      <w:hyperlink w:anchor="sec-dq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hyperlink w:anchor="sec-bridg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</w:t>
      </w:r>
      <w:r>
        <w:t xml:space="preserve"> </w:t>
      </w:r>
      <w:hyperlink w:anchor="sec-implementation">
        <w:r>
          <w:rPr>
            <w:rStyle w:val="Hyperlink"/>
          </w:rPr>
          <w:t xml:space="preserve">Section 8</w:t>
        </w:r>
      </w:hyperlink>
      <w:r>
        <w:t xml:space="preserve">–</w:t>
      </w:r>
      <w:hyperlink w:anchor="sec-casestudy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hyperlink w:anchor="sec-discussion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27"/>
    <w:bookmarkStart w:id="29" w:name="sec-walkthrough"/>
    <w:p>
      <w:pPr>
        <w:pStyle w:val="Heading1"/>
      </w:pPr>
      <w:r>
        <w:t xml:space="preserve">3. cleanTMLE at a glance: a worked walkthrough</w:t>
      </w:r>
    </w:p>
    <w:p>
      <w:pPr>
        <w:pStyle w:val="FirstParagraph"/>
      </w:pPr>
      <w:r>
        <w:t xml:space="preserve">Before developing the estimand, the framework, and the stress test</w:t>
      </w:r>
      <w:r>
        <w:t xml:space="preserve"> </w:t>
      </w:r>
      <w:r>
        <w:t xml:space="preserve">formally, we show the package used end-to-end, so that later sections</w:t>
      </w:r>
      <w:r>
        <w:t xml:space="preserve"> </w:t>
      </w:r>
      <w:r>
        <w:t xml:space="preserve">can be read against a concrete sequence of calls and outputs. The</w:t>
      </w:r>
      <w:r>
        <w:t xml:space="preserve"> </w:t>
      </w:r>
      <w:r>
        <w:t xml:space="preserve">walkthrough follows the Rescue.Co case study of</w:t>
      </w:r>
      <w:r>
        <w:t xml:space="preserve"> </w:t>
      </w:r>
      <w:hyperlink w:anchor="sec-casestudy">
        <w:r>
          <w:rPr>
            <w:rStyle w:val="Hyperlink"/>
          </w:rPr>
          <w:t xml:space="preserve">Section 11</w:t>
        </w:r>
      </w:hyperlink>
      <w:r>
        <w:t xml:space="preserve">; here we</w:t>
      </w:r>
      <w:r>
        <w:t xml:space="preserve"> </w:t>
      </w:r>
      <w:r>
        <w:t xml:space="preserve">keep the code schematic and report representative output, and defer the</w:t>
      </w:r>
      <w:r>
        <w:t xml:space="preserve"> </w:t>
      </w:r>
      <w:r>
        <w:t xml:space="preserve">full results to that section. Each call produces a record that the audit</w:t>
      </w:r>
      <w:r>
        <w:t xml:space="preserve"> </w:t>
      </w:r>
      <w:r>
        <w:t xml:space="preserve">trail carries forward, and the outcome column stays masked until the</w:t>
      </w:r>
      <w:r>
        <w:t xml:space="preserve"> </w:t>
      </w:r>
      <w:r>
        <w:t xml:space="preserve">gate authorises Stage 4.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 and attach the estimand.</w:t>
      </w:r>
      <w:r>
        <w:br/>
      </w:r>
      <w:r>
        <w:rPr>
          <w:rStyle w:val="NormalTok"/>
        </w:rPr>
        <w:t xml:space="preserve">lock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rescueco,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"rescueco"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"gose_good"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=</w:t>
      </w:r>
      <w:r>
        <w:rPr>
          <w:rStyle w:val="NormalTok"/>
        </w:rPr>
        <w:t xml:space="preserve"> baseline_covariates,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"SL.gam"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followup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 months"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CommentTok"/>
        </w:rPr>
        <w:t xml:space="preserve">#&gt; lock_hash: 9f2c1a... (SHA-256 fingerprint of columns + data shape)</w:t>
      </w:r>
      <w:r>
        <w:br/>
      </w:r>
      <w:r>
        <w:br/>
      </w:r>
      <w:r>
        <w:rPr>
          <w:rStyle w:val="CommentTok"/>
        </w:rPr>
        <w:t xml:space="preserve"># Stage 1b: cohort adequacy (events only; outcome still masked).</w:t>
      </w:r>
      <w:r>
        <w:br/>
      </w:r>
      <w:r>
        <w:rPr>
          <w:rStyle w:val="NormalTok"/>
        </w:rPr>
        <w:t xml:space="preserve">cp1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min_events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PASS: 1,013 vs 680 per arm; 1,277 with observed GOSE</w:t>
      </w:r>
      <w:r>
        <w:br/>
      </w:r>
      <w:r>
        <w:br/>
      </w:r>
      <w:r>
        <w:rPr>
          <w:rStyle w:val="CommentTok"/>
        </w:rPr>
        <w:t xml:space="preserve"># Stage 2a: propensity score, overlap, balance.</w:t>
      </w:r>
      <w:r>
        <w:br/>
      </w:r>
      <w:r>
        <w:rPr>
          <w:rStyle w:val="NormalTok"/>
        </w:rPr>
        <w:t xml:space="preserve">ps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cp2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(ps),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PASS: PS in [0.21, 0.81]; max post-weighting SMD 0.07; ESS 78% of n</w:t>
      </w:r>
      <w:r>
        <w:br/>
      </w:r>
      <w:r>
        <w:br/>
      </w:r>
      <w:r>
        <w:rPr>
          <w:rStyle w:val="CommentTok"/>
        </w:rPr>
        <w:t xml:space="preserve"># Stage 2b + 2c: outcome-blind candidate selection and DQ stress test.</w:t>
      </w:r>
      <w:r>
        <w:br/>
      </w:r>
      <w:r>
        <w:rPr>
          <w:rStyle w:val="NormalTok"/>
        </w:rPr>
        <w:t xml:space="preserve">cands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"ensemble_t05"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plas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cands,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default_dq_scenarios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sel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"min_max_rmse"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dq_results =</w:t>
      </w:r>
      <w:r>
        <w:rPr>
          <w:rStyle w:val="NormalTok"/>
        </w:rPr>
        <w:t xml:space="preserve"> dq)</w:t>
      </w:r>
      <w:r>
        <w:br/>
      </w:r>
      <w:r>
        <w:rPr>
          <w:rStyle w:val="CommentTok"/>
        </w:rPr>
        <w:t xml:space="preserve">#&gt; Selected candidate: 'ensemble_t05' (min-max RMSE across DQ threats)</w:t>
      </w:r>
      <w:r>
        <w:br/>
      </w:r>
      <w:r>
        <w:br/>
      </w:r>
      <w:r>
        <w:rPr>
          <w:rStyle w:val="CommentTok"/>
        </w:rPr>
        <w:t xml:space="preserve"># Stage 3: negative-control outcomes.</w:t>
      </w:r>
      <w:r>
        <w:br/>
      </w:r>
      <w:r>
        <w:rPr>
          <w:rStyle w:val="NormalTok"/>
        </w:rPr>
        <w:t xml:space="preserve">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negative_controls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"household_urban"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"fuel_wood"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 of 5 NCs fit (3 dropped by near-zero-variance filter); both near null</w:t>
      </w:r>
      <w:r>
        <w:br/>
      </w:r>
      <w:r>
        <w:br/>
      </w:r>
      <w:r>
        <w:rPr>
          <w:rStyle w:val="CommentTok"/>
        </w:rPr>
        <w:t xml:space="preserve"># Pre-outcome decision and authorisation.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nc,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(lock, gate)</w:t>
      </w:r>
      <w:r>
        <w:br/>
      </w:r>
      <w:r>
        <w:rPr>
          <w:rStyle w:val="CommentTok"/>
        </w:rPr>
        <w:t xml:space="preserve">#&gt; Decision: GO with FLAG (narrowed negative-control panel)</w:t>
      </w:r>
      <w:r>
        <w:br/>
      </w:r>
      <w:r>
        <w:br/>
      </w:r>
      <w:r>
        <w:rPr>
          <w:rStyle w:val="CommentTok"/>
        </w:rPr>
        <w:t xml:space="preserve"># Stage 4: unblind and run the locked primary analysis.</w:t>
      </w:r>
      <w:r>
        <w:br/>
      </w:r>
      <w:r>
        <w:rPr>
          <w:rStyle w:val="NormalTok"/>
        </w:rPr>
        <w:t xml:space="preserve">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run_clean_tmle</w:t>
      </w:r>
      <w:r>
        <w:rPr>
          <w:rStyle w:val="NormalTok"/>
        </w:rPr>
        <w:t xml:space="preserve">(lock,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sel, </w:t>
      </w:r>
      <w:r>
        <w:rPr>
          <w:rStyle w:val="AttributeTok"/>
        </w:rPr>
        <w:t xml:space="preserve">ps_fit =</w:t>
      </w:r>
      <w:r>
        <w:rPr>
          <w:rStyle w:val="NormalTok"/>
        </w:rPr>
        <w:t xml:space="preserve"> ps, </w:t>
      </w:r>
      <w:r>
        <w:rPr>
          <w:rStyle w:val="AttributeTok"/>
        </w:rPr>
        <w:t xml:space="preserve">authorization =</w:t>
      </w:r>
      <w:r>
        <w:rPr>
          <w:rStyle w:val="NormalTok"/>
        </w:rPr>
        <w:t xml:space="preserve"> auth)</w:t>
      </w:r>
      <w:r>
        <w:br/>
      </w:r>
      <w:r>
        <w:rPr>
          <w:rStyle w:val="CommentTok"/>
        </w:rPr>
        <w:t xml:space="preserve">#&gt; Risk difference 0.031 (95% CI -0.001, 0.062)</w:t>
      </w:r>
    </w:p>
    <w:p>
      <w:pPr>
        <w:pStyle w:val="FirstParagraph"/>
      </w:pPr>
      <w:hyperlink w:anchor="tbl-func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functions exercised above, what each one</w:t>
      </w:r>
      <w:r>
        <w:t xml:space="preserve"> </w:t>
      </w:r>
      <w:r>
        <w:t xml:space="preserve">does, and the representative output it returns. Functions in the first</w:t>
      </w:r>
      <w:r>
        <w:t xml:space="preserve"> </w:t>
      </w:r>
      <w:r>
        <w:t xml:space="preserve">block run while the outcome is masked; only</w:t>
      </w:r>
      <w:r>
        <w:t xml:space="preserve"> </w:t>
      </w:r>
      <w:r>
        <w:rPr>
          <w:rStyle w:val="VerbatimChar"/>
        </w:rPr>
        <w:t xml:space="preserve">run_clean_tmle()</w:t>
      </w:r>
      <w:r>
        <w:t xml:space="preserve"> </w:t>
      </w:r>
      <w:r>
        <w:t xml:space="preserve">(and its</w:t>
      </w:r>
      <w:r>
        <w:t xml:space="preserve"> </w:t>
      </w:r>
      <w:r>
        <w:t xml:space="preserve">IPCW and concordance siblings) read the observed outcome, and they do so</w:t>
      </w:r>
      <w:r>
        <w:t xml:space="preserve"> </w:t>
      </w:r>
      <w:r>
        <w:t xml:space="preserve">only on a lock carrying a valid authorisation.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func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Key cleanTMLE functions exercised in the worked walkthrough, with a concise description and representative output. Stages 1a-3 and the gate run while the outcome is masked; Stage-4 functions read the observed outcome only under a valid authorisation.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8"/>
              <w:gridCol w:w="1361"/>
              <w:gridCol w:w="4001"/>
              <w:gridCol w:w="22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it does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Representative 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create_analysis_lock()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 the analysis lock; SHA-256 fingerprint of columns and data shape; mask the outcome.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object; lock_hash = 9f2c1a…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 the five estimand attributes on the lock (kept in the audit trail, not the fingerprint).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with estimand fields populated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checkpoint_cohort_adequacy()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 minimum sample size and event count per arm; reads event counts only.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PASS / FLAG / STOP + counts (1,013 vs 680; 50+ events)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fit_ps_superlearner()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 the SuperLearner propensity score on baseline covariates.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ps_fit object; predicted scores in [0.21, 0.81]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checkpoint_balance()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Score post-weighting balance against a maximum-SMD threshold.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PASS; max SMD 0.07 (threshold 0.10)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run_plasmode_feasibility()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the outcome-blind plasmode loop to evaluate candidate estimators on synthetic outcomes.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per-candidate bias, RMSE, coverage 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Re-run the plasmode loop under prespecified data-quality threats; produce degradation gradients.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degradation gradient per candidate per threat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select_tmle_candidate()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Apply the selection rule (e.g. min-max RMSE, or fiord_two_stage) and lock the primary candidate.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selected candidate id (</w:t>
                  </w:r>
                  <w:r>
                    <w:t xml:space="preserve">‘ensemble_t05’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run_residual_confounding_stage()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 effects on prespecified negative-control outcomes to probe residual confounding.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per-NC estimate and CI; both near null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gate_all()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 checkpoint records into a single pre-outcome decision.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 / FLAG / STOP with rationale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authorize_outcome_analysis()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 authorisation so Stage-4 functions will read the outcome.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authorisation token attached to the 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run_clean_tmle()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the locked four-step TMLE primary analysis; refuses to run without authorisation.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 0.031 (95% CI -0.001, 0.062)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run_ipcw_tmle()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 with inverse-probability-of-censoring weights for outcome missingness.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IPCW-weighted RD 0.033 (95% CI -0.000, 0.066)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export_decision_log()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Export the audit trail and decision log as a tidy data frame for the reviewer.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 data frame of decisions, timestamps, rationales</w:t>
                  </w:r>
                </w:p>
              </w:tc>
            </w:tr>
          </w:tbl>
          <w:bookmarkEnd w:id="28"/>
          <w:p/>
        </w:tc>
      </w:tr>
    </w:tbl>
    <w:bookmarkEnd w:id="29"/>
    <w:bookmarkStart w:id="34" w:name="sec-estimand"/>
    <w:p>
      <w:pPr>
        <w:pStyle w:val="Heading1"/>
      </w:pPr>
      <w:r>
        <w:t xml:space="preserve">4. Estimand, Causal Model, and Identifiability</w:t>
      </w:r>
    </w:p>
    <w:bookmarkStart w:id="30" w:name="estimand-specification"/>
    <w:p>
      <w:pPr>
        <w:pStyle w:val="Heading2"/>
      </w:pPr>
      <w:r>
        <w:t xml:space="preserve">4.1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hyperlink w:anchor="sec-id">
        <w:r>
          <w:rPr>
            <w:rStyle w:val="Hyperlink"/>
          </w:rPr>
          <w:t xml:space="preserve">Section 4.4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0"/>
    <w:bookmarkStart w:id="31" w:name="causal-model"/>
    <w:p>
      <w:pPr>
        <w:pStyle w:val="Heading2"/>
      </w:pPr>
      <w:r>
        <w:t xml:space="preserve">4.2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31"/>
    <w:bookmarkStart w:id="32" w:name="event-process-classification"/>
    <w:p>
      <w:pPr>
        <w:pStyle w:val="Heading2"/>
      </w:pPr>
      <w:r>
        <w:t xml:space="preserve">4.3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32"/>
    <w:bookmarkStart w:id="33" w:name="sec-id"/>
    <w:p>
      <w:pPr>
        <w:pStyle w:val="Heading2"/>
      </w:pPr>
      <w:r>
        <w:t xml:space="preserve">4.4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flags under a prespecified latent-U scenario,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33"/>
    <w:bookmarkEnd w:id="34"/>
    <w:bookmarkStart w:id="41" w:name="sec-framework"/>
    <w:p>
      <w:pPr>
        <w:pStyle w:val="Heading1"/>
      </w:pPr>
      <w:r>
        <w:t xml:space="preserve">5. The cleanTMLE Framework</w:t>
      </w:r>
    </w:p>
    <w:bookmarkStart w:id="35" w:name="staged-workflow"/>
    <w:p>
      <w:pPr>
        <w:pStyle w:val="Heading2"/>
      </w:pPr>
      <w:r>
        <w:t xml:space="preserve">5.1 Staged workflow</w:t>
      </w:r>
    </w:p>
    <w:p>
      <w:pPr>
        <w:pStyle w:val="FirstParagraph"/>
      </w:pPr>
      <w:r>
        <w:t xml:space="preserve">cleanTMLE adopts the staged design set out by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aligns it with the causal-roadmap formulation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the targeted-learning statistical-analysis-plan template of</w:t>
      </w:r>
      <w:r>
        <w:t xml:space="preserve"> </w:t>
      </w:r>
      <w:r>
        <w:t xml:space="preserve">Gruber, Lee, et al. (2024)</w:t>
      </w:r>
      <w:r>
        <w:t xml:space="preserve">. Stage names below are package-internal labels; the stage</w:t>
      </w:r>
      <w:r>
        <w:t xml:space="preserve"> </w:t>
      </w:r>
      <w:r>
        <w:t xml:space="preserve">content matches the roadmap steps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</w:t>
      </w:r>
      <w:r>
        <w:t xml:space="preserve"> </w:t>
      </w:r>
      <w:hyperlink w:anchor="sec-dq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p>
      <w:pPr>
        <w:pStyle w:val="BodyText"/>
      </w:pPr>
      <w:r>
        <w:t xml:space="preserve">Clean-room guidance addresses a limitation of preregistration:</w:t>
      </w:r>
      <w:r>
        <w:t xml:space="preserve"> </w:t>
      </w:r>
      <w:r>
        <w:t xml:space="preserve">during RWE execution, investigators often encounter data</w:t>
      </w:r>
      <w:r>
        <w:t xml:space="preserve"> </w:t>
      </w:r>
      <w:r>
        <w:t xml:space="preserve">incompleteness, coding limitations, sparse events, covariate</w:t>
      </w:r>
      <w:r>
        <w:t xml:space="preserve"> </w:t>
      </w:r>
      <w:r>
        <w:t xml:space="preserve">imbalance, model-convergence problems, and censoring or</w:t>
      </w:r>
      <w:r>
        <w:t xml:space="preserve"> </w:t>
      </w:r>
      <w:r>
        <w:t xml:space="preserve">missingness issues that require decisions after data access but</w:t>
      </w:r>
      <w:r>
        <w:t xml:space="preserve"> </w:t>
      </w:r>
      <w:r>
        <w:t xml:space="preserve">before comparative effect estimation</w:t>
      </w:r>
      <w:r>
        <w:t xml:space="preserve"> </w:t>
      </w:r>
      <w:r>
        <w:t xml:space="preserve">(McGrath et al. 2021; Muntner et al. 2024)</w:t>
      </w:r>
      <w:r>
        <w:t xml:space="preserve">. cleanTMLE</w:t>
      </w:r>
      <w:r>
        <w:t xml:space="preserve"> </w:t>
      </w:r>
      <w:r>
        <w:t xml:space="preserve">operationalises the software portion of this process by recording</w:t>
      </w:r>
      <w:r>
        <w:t xml:space="preserve"> </w:t>
      </w:r>
      <w:r>
        <w:t xml:space="preserve">pre-outcome diagnostics, checkpoint decisions, deviations, and</w:t>
      </w:r>
      <w:r>
        <w:t xml:space="preserve"> </w:t>
      </w:r>
      <w:r>
        <w:t xml:space="preserve">authorisation status before the observed primary</w:t>
      </w:r>
      <w:r>
        <w:t xml:space="preserve"> </w:t>
      </w:r>
      <w:r>
        <w:t xml:space="preserve">treatment-outcome association is estimated.</w:t>
      </w:r>
    </w:p>
    <w:bookmarkEnd w:id="35"/>
    <w:bookmarkStart w:id="36" w:name="Xa0fa50b0ecc282f67ff4b404986adbd19fb41cd"/>
    <w:p>
      <w:pPr>
        <w:pStyle w:val="Heading2"/>
      </w:pPr>
      <w:r>
        <w:t xml:space="preserve">5.2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36"/>
    <w:bookmarkStart w:id="39" w:name="Xc984cda553dcb5ff3e402daad79821b8da4151d"/>
    <w:p>
      <w:pPr>
        <w:pStyle w:val="Heading2"/>
      </w:pPr>
      <w:r>
        <w:t xml:space="preserve">5.3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37" w:name="X5c8cab57e7425e3024ecf720eb5a8998a3f5b67"/>
    <w:p>
      <w:pPr>
        <w:pStyle w:val="Heading3"/>
      </w:pPr>
      <w:r>
        <w:t xml:space="preserve">5.3.1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37"/>
    <w:bookmarkStart w:id="38" w:name="methodological-tradeoffs"/>
    <w:p>
      <w:pPr>
        <w:pStyle w:val="Heading3"/>
      </w:pPr>
      <w:r>
        <w:t xml:space="preserve">5.3.2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38"/>
    <w:bookmarkEnd w:id="39"/>
    <w:bookmarkStart w:id="40" w:name="X8366091c17716bf729a771323a4e967384c878f"/>
    <w:p>
      <w:pPr>
        <w:pStyle w:val="Heading2"/>
      </w:pPr>
      <w:r>
        <w:t xml:space="preserve">5.4 Reviewer-facing pre-outcome study dossier</w:t>
      </w:r>
    </w:p>
    <w:p>
      <w:pPr>
        <w:pStyle w:val="FirstParagraph"/>
      </w:pPr>
      <w:r>
        <w:t xml:space="preserve">The pre-outcome study dossier is a structured bundle the review</w:t>
      </w:r>
      <w:r>
        <w:t xml:space="preserve"> </w:t>
      </w:r>
      <w:r>
        <w:t xml:space="preserve">team can read before authorising the primary analysis. It</w:t>
      </w:r>
      <w:r>
        <w:t xml:space="preserve"> </w:t>
      </w:r>
      <w:r>
        <w:t xml:space="preserve">consists of: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cleanTMLE artefact</w:t>
            </w:r>
          </w:p>
        </w:tc>
        <w:tc>
          <w:tcPr/>
          <w:p>
            <w:pPr>
              <w:pStyle w:val="Compact"/>
            </w:pPr>
            <w:r>
              <w:t xml:space="preserve">Outcome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and target-trial timing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attach_estimand()</w:t>
            </w:r>
            <w:r>
              <w:t xml:space="preserve"> </w:t>
            </w:r>
            <w:r>
              <w:t xml:space="preserve">+ target-trial timing table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 flow / attrition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attrition_table()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Event-process 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clean_event_process_table()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clean_check_event_processes()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 and missingness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make_table1()</w:t>
            </w:r>
            <w:r>
              <w:t xml:space="preserve">, missingness-pattern checks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overlap and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compute_ps_diagnostics()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love_plot_threeway()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Treatment- and IPCW-weight diagnostics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clean_weight_diagnostics()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extreme_weights()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Event-count and precision adequacy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checkpoint_cohort_adequacy()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estimate_design_precision()</w:t>
            </w:r>
          </w:p>
        </w:tc>
        <w:tc>
          <w:tcPr/>
          <w:p>
            <w:pPr>
              <w:pStyle w:val="Compact"/>
            </w:pPr>
            <w:r>
              <w:t xml:space="preserve">Marginal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plasmode candidate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run_plasmode_feasibility()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select_tmle_candidate()</w:t>
            </w:r>
          </w:p>
        </w:tc>
        <w:tc>
          <w:tcPr/>
          <w:p>
            <w:pPr>
              <w:pStyle w:val="Compact"/>
            </w:pPr>
            <w:r>
              <w:t xml:space="preserve">Synthetic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stress-test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run_plasmode_dq_stress()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summarize_dq_degradation()</w:t>
            </w:r>
          </w:p>
        </w:tc>
        <w:tc>
          <w:tcPr/>
          <w:p>
            <w:pPr>
              <w:pStyle w:val="Compact"/>
            </w:pPr>
            <w:r>
              <w:t xml:space="preserve">Synthetic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Negative-control eligibility and attrition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run_residual_confounding_stage()</w:t>
            </w:r>
            <w:r>
              <w:t xml:space="preserve">, NC attrition diagram</w:t>
            </w:r>
          </w:p>
        </w:tc>
        <w:tc>
          <w:tcPr/>
          <w:p>
            <w:pPr>
              <w:pStyle w:val="Compact"/>
            </w:pPr>
            <w:r>
              <w:t xml:space="preserve">Negative-control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Staged checkpoint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gate_all()</w:t>
            </w:r>
            <w:r>
              <w:t xml:space="preserve"> </w:t>
            </w:r>
            <w:r>
              <w:t xml:space="preserve">composite + per-checkpoint records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log and audit log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export_decision_log()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save_decision_log()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Authorisation record for primary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authorize_outcome_analysis()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</w:tbl>
    <w:p>
      <w:pPr>
        <w:pStyle w:val="BodyText"/>
      </w:pPr>
      <w:r>
        <w:t xml:space="preserve">The dossier is the artefact the reviewer reads. Comparative</w:t>
      </w:r>
      <w:r>
        <w:t xml:space="preserve"> </w:t>
      </w:r>
      <w:r>
        <w:t xml:space="preserve">treatment-outcome estimates are not part of the dossier and are</w:t>
      </w:r>
      <w:r>
        <w:t xml:space="preserve"> </w:t>
      </w:r>
      <w:r>
        <w:t xml:space="preserve">produced only after authorisation.</w:t>
      </w:r>
    </w:p>
    <w:bookmarkEnd w:id="40"/>
    <w:bookmarkEnd w:id="41"/>
    <w:bookmarkStart w:id="49" w:name="sec-dq"/>
    <w:p>
      <w:pPr>
        <w:pStyle w:val="Heading1"/>
      </w:pPr>
      <w:r>
        <w:t xml:space="preserve">6. Data Quality as a Quantifiable Threat</w:t>
      </w:r>
    </w:p>
    <w:p>
      <w:pPr>
        <w:pStyle w:val="FirstParagraph"/>
      </w:pPr>
      <w:r>
        <w:t xml:space="preserve">The outcome-blind plasmode loop on which the DQ stress test is built</w:t>
      </w:r>
      <w:r>
        <w:t xml:space="preserve"> </w:t>
      </w:r>
      <w:r>
        <w:t xml:space="preserve">follows the guidance of</w:t>
      </w:r>
      <w:r>
        <w:t xml:space="preserve"> </w:t>
      </w:r>
      <w:r>
        <w:t xml:space="preserve">Nance et al. (2026)</w:t>
      </w:r>
      <w:r>
        <w:t xml:space="preserve">, which formalises a five-step</w:t>
      </w:r>
      <w:r>
        <w:t xml:space="preserve"> </w:t>
      </w:r>
      <w:r>
        <w:t xml:space="preserve">pre-outcome candidate-evaluation procedure: (1) declare the candidate estimators,</w:t>
      </w:r>
      <w:r>
        <w:t xml:space="preserve"> </w:t>
      </w:r>
      <w:r>
        <w:t xml:space="preserve">learner libraries, truncation grids, and variance methods to be</w:t>
      </w:r>
      <w:r>
        <w:t xml:space="preserve"> </w:t>
      </w:r>
      <w:r>
        <w:t xml:space="preserve">compared; (2) specify a data-generating process; (3) generate</w:t>
      </w:r>
      <w:r>
        <w:t xml:space="preserve"> </w:t>
      </w:r>
      <w:r>
        <w:t xml:space="preserve">replicates and apply candidate estimators factorially; (4) select</w:t>
      </w:r>
      <w:r>
        <w:t xml:space="preserve"> </w:t>
      </w:r>
      <w:r>
        <w:t xml:space="preserve">candidates in two stages, first the point estimator (against an</w:t>
      </w:r>
      <w:r>
        <w:t xml:space="preserve"> </w:t>
      </w:r>
      <w:r>
        <w:t xml:space="preserve">oracle-coverage screen built from the Monte Carlo empirical SE),</w:t>
      </w:r>
      <w:r>
        <w:t xml:space="preserve"> </w:t>
      </w:r>
      <w:r>
        <w:t xml:space="preserve">then the variance method; (5) implement on real data and report</w:t>
      </w:r>
      <w:r>
        <w:t xml:space="preserve"> </w:t>
      </w:r>
      <w:r>
        <w:t xml:space="preserve">transparently. FIORD also formalises a</w:t>
      </w:r>
      <w:r>
        <w:t xml:space="preserve"> </w:t>
      </w:r>
      <w:r>
        <w:rPr>
          <w:b/>
          <w:bCs/>
        </w:rPr>
        <w:t xml:space="preserve">spectrum of data-generating</w:t>
      </w:r>
      <w:r>
        <w:rPr>
          <w:b/>
          <w:bCs/>
        </w:rPr>
        <w:t xml:space="preserve"> </w:t>
      </w:r>
      <w:r>
        <w:rPr>
          <w:b/>
          <w:bCs/>
        </w:rPr>
        <w:t xml:space="preserve">processes</w:t>
      </w:r>
      <w:r>
        <w:t xml:space="preserve"> </w:t>
      </w:r>
      <w:r>
        <w:t xml:space="preserve">for the simulation, from fully investigator-specified</w:t>
      </w:r>
      <w:r>
        <w:t xml:space="preserve"> </w:t>
      </w:r>
      <w:r>
        <w:t xml:space="preserve">parametric structural equations, through hybrid generators that use</w:t>
      </w:r>
      <w:r>
        <w:t xml:space="preserve"> </w:t>
      </w:r>
      <w:r>
        <w:t xml:space="preserve">empirical covariates and fitted treatment / censoring mechanisms with</w:t>
      </w:r>
      <w:r>
        <w:t xml:space="preserve"> </w:t>
      </w:r>
      <w:r>
        <w:t xml:space="preserve">an investigator-specified outcome regression, to parametric bootstraps</w:t>
      </w:r>
      <w:r>
        <w:t xml:space="preserve"> </w:t>
      </w:r>
      <w:r>
        <w:t xml:space="preserve">from the fitted joint. cleanTMLE’s default plasmode sits in the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middle of this spectrum: it uses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 with a covariate-only outcome model, never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DQ stress test extends FIORD by</w:t>
      </w:r>
      <w:r>
        <w:t xml:space="preserve"> </w:t>
      </w:r>
      <w:r>
        <w:t xml:space="preserve">adding the prespecified perturbation step on top of the same</w:t>
      </w:r>
      <w:r>
        <w:t xml:space="preserve"> </w:t>
      </w:r>
      <w:r>
        <w:t xml:space="preserve">hybrid generator.</w:t>
      </w:r>
    </w:p>
    <w:bookmarkStart w:id="42" w:name="X262475fd6dc51a12a4d5d933c1148a3024c08ab"/>
    <w:p>
      <w:pPr>
        <w:pStyle w:val="Heading2"/>
      </w:pPr>
      <w:r>
        <w:t xml:space="preserve">6.1 Why plasmode DQ stress testing adds information beyond standard pre-outcome diagnostics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</w:t>
      </w:r>
      <w:r>
        <w:t xml:space="preserve"> </w:t>
      </w:r>
      <w:r>
        <w:t xml:space="preserve">(Austin 2009)</w:t>
      </w:r>
      <w:r>
        <w:t xml:space="preserve"> </w:t>
      </w:r>
      <w:r>
        <w:t xml:space="preserve">assess empirical comparability, overlap, and</w:t>
      </w:r>
      <w:r>
        <w:t xml:space="preserve"> </w:t>
      </w:r>
      <w:r>
        <w:t xml:space="preserve">weight stability, indicating whether the design is feasible under the</w:t>
      </w:r>
      <w:r>
        <w:t xml:space="preserve"> </w:t>
      </w:r>
      <w:r>
        <w:t xml:space="preserve">observed covariate and treatment distributions; they do not estimate the</w:t>
      </w:r>
      <w:r>
        <w:t xml:space="preserve"> </w:t>
      </w:r>
      <w:r>
        <w:t xml:space="preserve">operating characteristics of a candidate estimator. Balance is</w:t>
      </w:r>
      <w:r>
        <w:t xml:space="preserve"> </w:t>
      </w:r>
      <w:r>
        <w:t xml:space="preserve">conventionally summarised with standardised mean differences, but</w:t>
      </w:r>
      <w:r>
        <w:t xml:space="preserve"> </w:t>
      </w:r>
      <w:r>
        <w:t xml:space="preserve">univariate SMDs compare only the marginal means of each covariate and</w:t>
      </w:r>
      <w:r>
        <w:t xml:space="preserve"> </w:t>
      </w:r>
      <w:r>
        <w:t xml:space="preserve">can be satisfied while variances, higher moments, or covariate</w:t>
      </w:r>
      <w:r>
        <w:t xml:space="preserve"> </w:t>
      </w:r>
      <w:r>
        <w:t xml:space="preserve">interactions remain imbalanced, so distributional and interaction</w:t>
      </w:r>
      <w:r>
        <w:t xml:space="preserve"> </w:t>
      </w:r>
      <w:r>
        <w:t xml:space="preserve">diagnostics are needed alongside them after matching or weighting</w:t>
      </w:r>
      <w:r>
        <w:t xml:space="preserve"> </w:t>
      </w:r>
      <w:r>
        <w:t xml:space="preserve">(Austin 2009; Zhang et al. 2019)</w:t>
      </w:r>
      <w:r>
        <w:t xml:space="preserve">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 A STOP under a stress</w:t>
      </w:r>
      <w:r>
        <w:t xml:space="preserve"> </w:t>
      </w:r>
      <w:r>
        <w:t xml:space="preserve">scenario should be read as evidence that the study requires redesign,</w:t>
      </w:r>
      <w:r>
        <w:t xml:space="preserve"> </w:t>
      </w:r>
      <w:r>
        <w:t xml:space="preserve">external validation, additional sensitivity analysis, or narrower causal</w:t>
      </w:r>
      <w:r>
        <w:t xml:space="preserve"> </w:t>
      </w:r>
      <w:r>
        <w:t xml:space="preserve">claims before outcome access.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42"/>
    <w:bookmarkStart w:id="43" w:name="X4f009c1ca2a345c3f9f27806faafdc4c5929f9a"/>
    <w:p>
      <w:pPr>
        <w:pStyle w:val="Heading2"/>
      </w:pPr>
      <w:r>
        <w:t xml:space="preserve">6.2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43"/>
    <w:bookmarkStart w:id="45" w:name="the-degradation-gradient"/>
    <w:p>
      <w:pPr>
        <w:pStyle w:val="Heading2"/>
      </w:pPr>
      <w:r>
        <w:t xml:space="preserve">6.3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default candidate-selection</w:t>
      </w:r>
      <w:r>
        <w:t xml:space="preserve"> </w:t>
      </w:r>
      <w:r>
        <w:t xml:space="preserve">rule (</w:t>
      </w:r>
      <w:r>
        <w:rPr>
          <w:rStyle w:val="VerbatimChar"/>
        </w:rPr>
        <w:t xml:space="preserve">select_tmle_candidate(rule = "min_rmse")</w:t>
      </w:r>
      <w:r>
        <w:t xml:space="preserve">) chooses on RMSE in a</w:t>
      </w:r>
      <w:r>
        <w:t xml:space="preserve"> </w:t>
      </w:r>
      <w:r>
        <w:t xml:space="preserve">single step. cleanTMLE also provides</w:t>
      </w:r>
      <w:r>
        <w:t xml:space="preserve"> </w:t>
      </w:r>
      <w:r>
        <w:rPr>
          <w:rStyle w:val="VerbatimChar"/>
        </w:rPr>
        <w:t xml:space="preserve">rule = "fiord_two_stage"</w:t>
      </w:r>
      <w:r>
        <w:t xml:space="preserve">, which</w:t>
      </w:r>
      <w:r>
        <w:t xml:space="preserve"> </w:t>
      </w:r>
      <w:r>
        <w:t xml:space="preserve">implements the point-estimator stage of the two-stage selector</w:t>
      </w:r>
      <w:r>
        <w:t xml:space="preserve"> </w:t>
      </w:r>
      <w:r>
        <w:t xml:space="preserve">formalised in FIORD</w:t>
      </w:r>
      <w:r>
        <w:t xml:space="preserve"> </w:t>
      </w:r>
      <w:r>
        <w:t xml:space="preserve">(Nance et al. 2026)</w:t>
      </w:r>
      <w:r>
        <w:t xml:space="preserve">: candidates are first screened to</w:t>
      </w:r>
      <w:r>
        <w:t xml:space="preserve"> </w:t>
      </w:r>
      <w:r>
        <w:t xml:space="preserve">those that achieve nominal</w:t>
      </w:r>
      <w:r>
        <w:t xml:space="preserve"> </w:t>
      </w:r>
      <w:r>
        <w:rPr>
          <w:b/>
          <w:bCs/>
        </w:rPr>
        <w:t xml:space="preserve">oracle coverage</w:t>
      </w:r>
      <w:r>
        <w:t xml:space="preserve"> </w:t>
      </w:r>
      <w:r>
        <w:t xml:space="preserve">(a CI built from the</w:t>
      </w:r>
      <w:r>
        <w:t xml:space="preserve"> </w:t>
      </w:r>
      <w:r>
        <w:t xml:space="preserve">Monte Carlo empirical SE), and the lowest-variance survivor is locked</w:t>
      </w:r>
      <w:r>
        <w:t xml:space="preserve"> </w:t>
      </w:r>
      <w:r>
        <w:t xml:space="preserve">in. FIORD’s second stage, selecting the variance method on the locked</w:t>
      </w:r>
      <w:r>
        <w:t xml:space="preserve"> </w:t>
      </w:r>
      <w:r>
        <w:t xml:space="preserve">point estimator to achieve nominal coverage, is provided by</w:t>
      </w:r>
      <w:r>
        <w:t xml:space="preserve"> </w:t>
      </w:r>
      <w:r>
        <w:rPr>
          <w:rStyle w:val="VerbatimChar"/>
        </w:rPr>
        <w:t xml:space="preserve">select_variance_method()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bootstrap_rd_variance()</w:t>
      </w:r>
      <w:r>
        <w:t xml:space="preserve"> </w:t>
      </w:r>
      <w:r>
        <w:t xml:space="preserve">supplying a</w:t>
      </w:r>
      <w:r>
        <w:t xml:space="preserve"> </w:t>
      </w:r>
      <w:r>
        <w:t xml:space="preserve">full-pipeline nonparametric bootstrap that re-runs matching on each resample</w:t>
      </w:r>
      <w:r>
        <w:t xml:space="preserve"> </w:t>
      </w:r>
      <w:r>
        <w:t xml:space="preserve">as one candidate variance method alongside the influence-function SE; the</w:t>
      </w:r>
      <w:r>
        <w:t xml:space="preserve"> </w:t>
      </w:r>
      <w:r>
        <w:t xml:space="preserve">method achieving nominal oracle coverage is selected empirically (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).</w:t>
      </w:r>
      <w:r>
        <w:t xml:space="preserve"> </w:t>
      </w:r>
      <w:r>
        <w:t xml:space="preserve">The rule can additionally</w:t>
      </w:r>
      <w:r>
        <w:t xml:space="preserve"> </w:t>
      </w:r>
      <w:r>
        <w:t xml:space="preserve">be augmented to require a</w:t>
      </w:r>
      <w:r>
        <w:t xml:space="preserve"> </w:t>
      </w:r>
      <w:r>
        <w:t xml:space="preserve">maximum allowed degradation in the DQ stress test, which excludes</w:t>
      </w:r>
      <w:r>
        <w:t xml:space="preserve"> </w:t>
      </w:r>
      <w:r>
        <w:t xml:space="preserve">fragile candidates before the outcome is accessed.</w:t>
      </w:r>
    </w:p>
    <w:p>
      <w:pPr>
        <w:pStyle w:val="BodyText"/>
      </w:pPr>
      <w:r>
        <w:t xml:space="preserve">Propensity-score truncation does not only stabilise variance. It</w:t>
      </w:r>
      <w:r>
        <w:t xml:space="preserve"> </w:t>
      </w:r>
      <w:r>
        <w:t xml:space="preserve">also restricts support to units with adequate overlap and therefore</w:t>
      </w:r>
      <w:r>
        <w:t xml:space="preserve"> </w:t>
      </w:r>
      <w:r>
        <w:t xml:space="preserve">changes the effective target population, so it changes the estimand</w:t>
      </w:r>
      <w:r>
        <w:t xml:space="preserve"> </w:t>
      </w:r>
      <w:r>
        <w:t xml:space="preserve">and not only the variance of the estimator</w:t>
      </w:r>
      <w:r>
        <w:t xml:space="preserve"> </w:t>
      </w:r>
      <w:r>
        <w:t xml:space="preserve">(Lash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else, and not chosen</w:t>
      </w:r>
      <w:r>
        <w:t xml:space="preserve"> </w:t>
      </w:r>
      <w:r>
        <w:t xml:space="preserve">post-hoc on the realised data.</w:t>
      </w:r>
    </w:p>
    <w:bookmarkStart w:id="44" w:name="X78fa7a5ad4e21e99467d9bc9a856cd1b9091e6d"/>
    <w:p>
      <w:pPr>
        <w:pStyle w:val="Heading3"/>
      </w:pPr>
      <w:r>
        <w:t xml:space="preserve">6.3.1 When STOP motivates estimand revision, not just estimator</w:t>
      </w:r>
    </w:p>
    <w:p>
      <w:pPr>
        <w:pStyle w:val="FirstParagraph"/>
      </w:pPr>
      <w:r>
        <w:t xml:space="preserve">swapping</w:t>
      </w:r>
    </w:p>
    <w:p>
      <w:pPr>
        <w:pStyle w:val="BodyText"/>
      </w:pPr>
      <w:r>
        <w:t xml:space="preserve">A STOP or FLAG decision from the pre-outcome rule is not always a</w:t>
      </w:r>
      <w:r>
        <w:t xml:space="preserve"> </w:t>
      </w:r>
      <w:r>
        <w:t xml:space="preserve">signal to</w:t>
      </w:r>
      <w:r>
        <w:t xml:space="preserve"> </w:t>
      </w:r>
      <w:r>
        <w:rPr>
          <w:i/>
          <w:iCs/>
        </w:rPr>
        <w:t xml:space="preserve">change the estimator</w:t>
      </w:r>
      <w:r>
        <w:t xml:space="preserve">; sometimes it is a signal to</w:t>
      </w:r>
      <w:r>
        <w:t xml:space="preserve"> </w:t>
      </w:r>
      <w:r>
        <w:rPr>
          <w:i/>
          <w:iCs/>
        </w:rPr>
        <w:t xml:space="preserve">change the estimand</w:t>
      </w:r>
      <w:r>
        <w:t xml:space="preserve"> </w:t>
      </w:r>
      <w:r>
        <w:t xml:space="preserve">itself. The targeted-learning RWE roadmap</w:t>
      </w:r>
      <w:r>
        <w:t xml:space="preserve"> </w:t>
      </w:r>
      <w:r>
        <w:t xml:space="preserve">(Dang et al. 2023; Petersen and Laan 2014)</w:t>
      </w:r>
      <w:r>
        <w:t xml:space="preserve"> </w:t>
      </w:r>
      <w:r>
        <w:t xml:space="preserve">makes this explicit: if</w:t>
      </w:r>
      <w:r>
        <w:t xml:space="preserve"> </w:t>
      </w:r>
      <w:r>
        <w:t xml:space="preserve">the simulation reveals that no prespecified candidate can recover</w:t>
      </w:r>
      <w:r>
        <w:t xml:space="preserve"> </w:t>
      </w:r>
      <w:r>
        <w:t xml:space="preserve">the original target estimand under plausible threats, the honest</w:t>
      </w:r>
      <w:r>
        <w:t xml:space="preserve"> </w:t>
      </w:r>
      <w:r>
        <w:t xml:space="preserve">moves include narrowing the target population to where positivity</w:t>
      </w:r>
      <w:r>
        <w:t xml:space="preserve"> </w:t>
      </w:r>
      <w:r>
        <w:t xml:space="preserve">is supported, revising the treatment strategy to one whose</w:t>
      </w:r>
      <w:r>
        <w:t xml:space="preserve"> </w:t>
      </w:r>
      <w:r>
        <w:t xml:space="preserve">counterfactual is identifiable from the data, changing the</w:t>
      </w:r>
      <w:r>
        <w:t xml:space="preserve"> </w:t>
      </w:r>
      <w:r>
        <w:t xml:space="preserve">follow-up window, switching from a marginal to a matched or</w:t>
      </w:r>
      <w:r>
        <w:t xml:space="preserve"> </w:t>
      </w:r>
      <w:r>
        <w:t xml:space="preserve">overlap-restricted target, or changing the missingness strategy.</w:t>
      </w:r>
      <w:r>
        <w:t xml:space="preserve"> </w:t>
      </w:r>
      <w:r>
        <w:t xml:space="preserve">Each of these is an</w:t>
      </w:r>
      <w:r>
        <w:t xml:space="preserve"> </w:t>
      </w:r>
      <w:r>
        <w:rPr>
          <w:i/>
          <w:iCs/>
        </w:rPr>
        <w:t xml:space="preserve">estimand revision</w:t>
      </w:r>
      <w:r>
        <w:t xml:space="preserve">, recorded in the analysis</w:t>
      </w:r>
      <w:r>
        <w:t xml:space="preserve"> </w:t>
      </w:r>
      <w:r>
        <w:t xml:space="preserve">lock and decision log alongside the estimator changes that</w:t>
      </w:r>
      <w:r>
        <w:t xml:space="preserve"> </w:t>
      </w:r>
      <w:r>
        <w:t xml:space="preserve">prompted it. Reporting the revised estimand transparently is</w:t>
      </w:r>
      <w:r>
        <w:t xml:space="preserve"> </w:t>
      </w:r>
      <w:r>
        <w:t xml:space="preserve">preferable to reporting the original estimand with a documented</w:t>
      </w:r>
      <w:r>
        <w:t xml:space="preserve"> </w:t>
      </w:r>
      <w:r>
        <w:t xml:space="preserve">override.</w:t>
      </w:r>
    </w:p>
    <w:bookmarkEnd w:id="44"/>
    <w:bookmarkEnd w:id="45"/>
    <w:bookmarkStart w:id="47" w:name="sec-threat-matrix"/>
    <w:p>
      <w:pPr>
        <w:pStyle w:val="Heading2"/>
      </w:pPr>
      <w:r>
        <w:t xml:space="preserve">6.4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</w:t>
      </w:r>
      <w:r>
        <w:t xml:space="preserve"> </w:t>
      </w:r>
      <w:hyperlink w:anchor="tbl-threat-matrix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Threat-to-assumption matrix. For each scenario, the assumption nominally probed, the operationalisation, and the threats the scenario does NOT probe. Severity ranges must come from external validation evidence (see</w:t>
            </w:r>
            <w:r>
              <w:t xml:space="preserve"> </w:t>
            </w:r>
            <w:hyperlink w:anchor="sec-calibration">
              <w:r>
                <w:rPr>
                  <w:rStyle w:val="Hyperlink"/>
                </w:rPr>
                <w:t xml:space="preserve">Section 6.5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47"/>
    <w:bookmarkStart w:id="48" w:name="sec-calibration"/>
    <w:p>
      <w:pPr>
        <w:pStyle w:val="Heading2"/>
      </w:pPr>
      <w:r>
        <w:t xml:space="preserve">6.5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,</w:t>
      </w:r>
      <w:r>
        <w:t xml:space="preserve"> </w:t>
      </w:r>
      <w:hyperlink w:anchor="tbl-reg-align">
        <w:r>
          <w:rPr>
            <w:rStyle w:val="Hyperlink"/>
          </w:rPr>
          <w:t xml:space="preserve">Table 8</w:t>
        </w:r>
      </w:hyperlink>
      <w:r>
        <w:t xml:space="preserve">) and</w:t>
      </w:r>
      <w:r>
        <w:t xml:space="preserve"> </w:t>
      </w:r>
      <w:r>
        <w:t xml:space="preserve">in the limitations paragraph in the Discussion (</w:t>
      </w:r>
      <w:hyperlink w:anchor="sec-discussion">
        <w:r>
          <w:rPr>
            <w:rStyle w:val="Hyperlink"/>
          </w:rPr>
          <w:t xml:space="preserve">Section 12</w:t>
        </w:r>
      </w:hyperlink>
      <w:r>
        <w:t xml:space="preserve">).</w:t>
      </w:r>
    </w:p>
    <w:bookmarkEnd w:id="48"/>
    <w:bookmarkEnd w:id="49"/>
    <w:bookmarkStart w:id="55" w:name="sec-bridge"/>
    <w:p>
      <w:pPr>
        <w:pStyle w:val="Heading1"/>
      </w:pPr>
      <w:r>
        <w:t xml:space="preserve">7.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</w:t>
      </w:r>
      <w:r>
        <w:t xml:space="preserve"> </w:t>
      </w:r>
      <w:hyperlink w:anchor="tbl-reg-align">
        <w:r>
          <w:rPr>
            <w:rStyle w:val="Hyperlink"/>
          </w:rPr>
          <w:t xml:space="preserve">Table 8</w:t>
        </w:r>
      </w:hyperlink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0" w:name="X4870de5334a1d002935adfa59f8358a3c7029c6"/>
    <w:p>
      <w:pPr>
        <w:pStyle w:val="Heading2"/>
      </w:pPr>
      <w:r>
        <w:t xml:space="preserve">7.1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0"/>
    <w:bookmarkStart w:id="51" w:name="what-the-dq-supplement-adds"/>
    <w:p>
      <w:pPr>
        <w:pStyle w:val="Heading2"/>
      </w:pPr>
      <w:r>
        <w:t xml:space="preserve">7.2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the selected</w:t>
      </w:r>
      <w:r>
        <w:t xml:space="preserve"> </w:t>
      </w:r>
      <w:r>
        <w:t xml:space="preserve">candidate rises from near zero to 0.004, still within the</w:t>
      </w:r>
      <w:r>
        <w:t xml:space="preserve"> </w:t>
      </w:r>
      <w:r>
        <w:t xml:space="preserve">prespecified threshold of 0.010. The steeper threat is unmeasured</w:t>
      </w:r>
      <w:r>
        <w:t xml:space="preserve"> </w:t>
      </w:r>
      <w:r>
        <w:t xml:space="preserve">confounding: at OR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= OR</w:t>
      </w:r>
      <m:oMath>
        <m:sSub>
          <m:e>
            <m:r>
              <m:t>​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= 2.0 the same candidate’s bias</w:t>
      </w:r>
      <w:r>
        <w:t xml:space="preserve"> </w:t>
      </w:r>
      <w:r>
        <w:t xml:space="preserve">reaches 0.010, touching the threshold, and RMSE rises by 9 %</w:t>
      </w:r>
      <w:r>
        <w:t xml:space="preserve"> </w:t>
      </w:r>
      <w:r>
        <w:t xml:space="preserve">relative to the baseline plasmode.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positivity violation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</w:t>
      </w:r>
      <w:r>
        <w:t xml:space="preserve"> </w:t>
      </w:r>
      <w:hyperlink w:anchor="sec-divergence">
        <w:r>
          <w:rPr>
            <w:rStyle w:val="Hyperlink"/>
          </w:rPr>
          <w:t xml:space="preserve">Section 9.4</w:t>
        </w:r>
      </w:hyperlink>
      <w:r>
        <w:t xml:space="preserve"> </w:t>
      </w:r>
      <w:r>
        <w:t xml:space="preserve">exhibits a candidate grid</w:t>
      </w:r>
      <w:r>
        <w:t xml:space="preserve"> </w:t>
      </w:r>
      <w:r>
        <w:t xml:space="preserve">under which this rule changes the locked estimator.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1"/>
    <w:bookmarkStart w:id="52" w:name="position-relative-to-other-bias-analyses"/>
    <w:p>
      <w:pPr>
        <w:pStyle w:val="Heading2"/>
      </w:pPr>
      <w:r>
        <w:t xml:space="preserve">7.3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2"/>
    <w:bookmarkStart w:id="53" w:name="why-outcome-blind-matters-here"/>
    <w:p>
      <w:pPr>
        <w:pStyle w:val="Heading2"/>
      </w:pPr>
      <w:r>
        <w:t xml:space="preserve">7.4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plasmode generator and DQ stress test use</w:t>
      </w:r>
      <w:r>
        <w:t xml:space="preserve"> </w:t>
      </w:r>
      <w:r>
        <w:rPr>
          <w:b/>
          <w:bCs/>
        </w:rPr>
        <w:t xml:space="preserve">all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except the outcome</w:t>
      </w:r>
      <w:r>
        <w:t xml:space="preserve">: real baseline covariates</w:t>
      </w:r>
      <w:r>
        <w:t xml:space="preserve"> </w:t>
      </w:r>
      <m:oMath>
        <m:r>
          <m:t>W</m:t>
        </m:r>
      </m:oMath>
      <w:r>
        <w:t xml:space="preserve">, real treatment</w:t>
      </w:r>
      <w:r>
        <w:t xml:space="preserve"> </w:t>
      </w:r>
      <w:r>
        <w:t xml:space="preserve">assignment</w:t>
      </w:r>
      <w:r>
        <w:t xml:space="preserve"> </w:t>
      </w:r>
      <m:oMath>
        <m:r>
          <m:t>A</m:t>
        </m:r>
      </m:oMath>
      <w:r>
        <w:t xml:space="preserve">, real missingness indicators, real follow-up</w:t>
      </w:r>
      <w:r>
        <w:t xml:space="preserve"> </w:t>
      </w:r>
      <w:r>
        <w:t xml:space="preserve">intervals, but not the observed primary treatment-outcome</w:t>
      </w:r>
      <w:r>
        <w:t xml:space="preserve"> </w:t>
      </w:r>
      <w:r>
        <w:t xml:space="preserve">association. This phrasing, which we adopt from the FIORD</w:t>
      </w:r>
      <w:r>
        <w:t xml:space="preserve"> </w:t>
      </w:r>
      <w:r>
        <w:t xml:space="preserve">outcome-blind simulation literature</w:t>
      </w:r>
      <w:r>
        <w:t xml:space="preserve"> </w:t>
      </w:r>
      <w:r>
        <w:t xml:space="preserve">(Nance et al. 2026)</w:t>
      </w:r>
      <w:r>
        <w:t xml:space="preserve">, states the</w:t>
      </w:r>
      <w:r>
        <w:t xml:space="preserve"> </w:t>
      </w:r>
      <w:r>
        <w:t xml:space="preserve">admissibility condition directly. Every input to the candidate</w:t>
      </w:r>
      <w:r>
        <w:t xml:space="preserve"> </w:t>
      </w:r>
      <w:r>
        <w:t xml:space="preserve">evaluation is drawn from the study data except the comparative</w:t>
      </w:r>
      <w:r>
        <w:t xml:space="preserve"> </w:t>
      </w:r>
      <w:r>
        <w:t xml:space="preserve">quantity the analysis is supposed to estimate. Depending on</w:t>
      </w:r>
      <w:r>
        <w:t xml:space="preserve"> </w:t>
      </w:r>
      <w:r>
        <w:t xml:space="preserve">configured mode, the plasmode generator may use the marginal</w:t>
      </w:r>
      <w:r>
        <w:t xml:space="preserve"> </w:t>
      </w:r>
      <w:r>
        <w:t xml:space="preserve">outcome model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mode that sits in the</w:t>
      </w:r>
      <w:r>
        <w:t xml:space="preserve"> </w:t>
      </w:r>
      <w:r>
        <w:t xml:space="preserve">middle of the FIORD DGP spectrum), or it may take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from external pilot data, with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 never inspected</w:t>
      </w:r>
      <w:r>
        <w:t xml:space="preserve"> </w:t>
      </w:r>
      <w:r>
        <w:t xml:space="preserve">(Dang et al. 2023, 7)</w:t>
      </w:r>
      <w:r>
        <w:t xml:space="preserve">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 the</w:t>
      </w:r>
      <w:r>
        <w:t xml:space="preserve"> </w:t>
      </w:r>
      <w:r>
        <w:t xml:space="preserve">observed treatment-outcome association in the actual study data.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53"/>
    <w:bookmarkStart w:id="54" w:name="sec-guarantees"/>
    <w:p>
      <w:pPr>
        <w:pStyle w:val="Heading2"/>
      </w:pPr>
      <w:r>
        <w:t xml:space="preserve">7.5 What passing the screen does and does not establish</w:t>
      </w:r>
    </w:p>
    <w:p>
      <w:pPr>
        <w:pStyle w:val="FirstParagraph"/>
      </w:pPr>
      <w:r>
        <w:t xml:space="preserve">The screen is a heuristic, not a guarantee, and it is worth stating its</w:t>
      </w:r>
      <w:r>
        <w:t xml:space="preserve"> </w:t>
      </w:r>
      <w:r>
        <w:t xml:space="preserve">epistemic status precisely. Passing the DQ stress test establishes only</w:t>
      </w:r>
      <w:r>
        <w:t xml:space="preserve"> </w:t>
      </w:r>
      <w:r>
        <w:t xml:space="preserve">that,</w:t>
      </w:r>
      <w:r>
        <w:t xml:space="preserve"> </w:t>
      </w:r>
      <w:r>
        <w:rPr>
          <w:i/>
          <w:iCs/>
        </w:rPr>
        <w:t xml:space="preserve">under the analyst’s synthetic-outcome model and over the</w:t>
      </w:r>
      <w:r>
        <w:rPr>
          <w:i/>
          <w:iCs/>
        </w:rPr>
        <w:t xml:space="preserve"> </w:t>
      </w:r>
      <w:r>
        <w:rPr>
          <w:i/>
          <w:iCs/>
        </w:rPr>
        <w:t xml:space="preserve">prespecified range of each threat</w:t>
      </w:r>
      <w:r>
        <w:t xml:space="preserve">, the locked candidate maintained bias,</w:t>
      </w:r>
      <w:r>
        <w:t xml:space="preserve"> </w:t>
      </w:r>
      <w:r>
        <w:t xml:space="preserve">coverage, and SE calibration within the prespecified thresholds. It does</w:t>
      </w:r>
      <w:r>
        <w:t xml:space="preserve"> </w:t>
      </w:r>
      <w:r>
        <w:t xml:space="preserve">not establish that the identification assumptions hold, that the data are</w:t>
      </w:r>
      <w:r>
        <w:t xml:space="preserve"> </w:t>
      </w:r>
      <w:r>
        <w:t xml:space="preserve">fit for purpose, or that the realised estimator will behave as the</w:t>
      </w:r>
      <w:r>
        <w:t xml:space="preserve"> </w:t>
      </w:r>
      <w:r>
        <w:t xml:space="preserve">synthetic one did. Three caveats follow directly. First, the screen can</w:t>
      </w:r>
      <w:r>
        <w:t xml:space="preserve"> </w:t>
      </w:r>
      <w:r>
        <w:t xml:space="preserve">only score threats the analyst names: a confounder, a misclassification</w:t>
      </w:r>
      <w:r>
        <w:t xml:space="preserve"> </w:t>
      </w:r>
      <w:r>
        <w:t xml:space="preserve">pattern, or a missingness mechanism that is not anticipated, or is</w:t>
      </w:r>
      <w:r>
        <w:t xml:space="preserve"> </w:t>
      </w:r>
      <w:r>
        <w:t xml:space="preserve">specified at too mild a severity, is not detected, so a STOP is evidence</w:t>
      </w:r>
      <w:r>
        <w:t xml:space="preserve"> </w:t>
      </w:r>
      <w:r>
        <w:t xml:space="preserve">of fragility but a GO is not evidence of robustness. Second, the</w:t>
      </w:r>
      <w:r>
        <w:t xml:space="preserve"> </w:t>
      </w:r>
      <w:r>
        <w:t xml:space="preserve">conclusions are conditional on the synthetic-outcome model; if that model</w:t>
      </w:r>
      <w:r>
        <w:t xml:space="preserve"> </w:t>
      </w:r>
      <w:r>
        <w:t xml:space="preserve">misrepresents the covariate-outcome surface (for example by omitting</w:t>
      </w:r>
      <w:r>
        <w:t xml:space="preserve"> </w:t>
      </w:r>
      <w:r>
        <w:t xml:space="preserve">effect modification), the simulated operating characteristics can be</w:t>
      </w:r>
      <w:r>
        <w:t xml:space="preserve"> </w:t>
      </w:r>
      <w:r>
        <w:t xml:space="preserve">optimistic, which is why we report the screen’s calibration under a</w:t>
      </w:r>
      <w:r>
        <w:t xml:space="preserve"> </w:t>
      </w:r>
      <w:r>
        <w:t xml:space="preserve">misspecified model in</w:t>
      </w:r>
      <w:r>
        <w:t xml:space="preserve"> </w:t>
      </w:r>
      <w:hyperlink w:anchor="sec-gate-oc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and recommend fitting the</w:t>
      </w:r>
      <w:r>
        <w:t xml:space="preserve"> </w:t>
      </w:r>
      <w:r>
        <w:t xml:space="preserve">synthetic-outcome model with a SuperLearner library rather than a single</w:t>
      </w:r>
      <w:r>
        <w:t xml:space="preserve"> </w:t>
      </w:r>
      <w:r>
        <w:t xml:space="preserve">GLM. Third, the screen is a</w:t>
      </w:r>
      <w:r>
        <w:t xml:space="preserve"> </w:t>
      </w:r>
      <w:r>
        <w:rPr>
          <w:i/>
          <w:iCs/>
        </w:rPr>
        <w:t xml:space="preserve">pre-outcome</w:t>
      </w:r>
      <w:r>
        <w:t xml:space="preserve"> </w:t>
      </w:r>
      <w:r>
        <w:t xml:space="preserve">device; it complements, and does</w:t>
      </w:r>
      <w:r>
        <w:t xml:space="preserve"> </w:t>
      </w:r>
      <w:r>
        <w:t xml:space="preserve">not replace, the at-outcome negative-control check and the post-outcome</w:t>
      </w:r>
      <w:r>
        <w:t xml:space="preserve"> </w:t>
      </w:r>
      <w:r>
        <w:t xml:space="preserve">sensitivity analyses (E-value, quantitative bias analysis, causal-gap)</w:t>
      </w:r>
      <w:r>
        <w:t xml:space="preserve"> </w:t>
      </w:r>
      <w:r>
        <w:t xml:space="preserve">that interrogate the realised estimate. We therefore read a passing screen</w:t>
      </w:r>
      <w:r>
        <w:t xml:space="preserve"> </w:t>
      </w:r>
      <w:r>
        <w:t xml:space="preserve">as a necessary, prespecified, and reproducible filter, not as a</w:t>
      </w:r>
      <w:r>
        <w:t xml:space="preserve"> </w:t>
      </w:r>
      <w:r>
        <w:t xml:space="preserve">certificate of validity.</w:t>
      </w:r>
    </w:p>
    <w:bookmarkEnd w:id="54"/>
    <w:bookmarkEnd w:id="55"/>
    <w:bookmarkStart w:id="61" w:name="sec-implementation"/>
    <w:p>
      <w:pPr>
        <w:pStyle w:val="Heading1"/>
      </w:pPr>
      <w:r>
        <w:t xml:space="preserve">8.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56" w:name="a-worked-workflow"/>
    <w:p>
      <w:pPr>
        <w:pStyle w:val="Heading2"/>
      </w:pPr>
      <w:r>
        <w:t xml:space="preserve">8.1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BodyText"/>
      </w:pPr>
      <w:r>
        <w:t xml:space="preserve">Before Stage 1b, the package’s</w:t>
      </w:r>
      <w:r>
        <w:t xml:space="preserve"> </w:t>
      </w:r>
      <w:r>
        <w:rPr>
          <w:rStyle w:val="VerbatimChar"/>
        </w:rPr>
        <w:t xml:space="preserve">attrition_table()</w:t>
      </w:r>
      <w:r>
        <w:t xml:space="preserve"> </w:t>
      </w:r>
      <w:r>
        <w:t xml:space="preserve">provides a</w:t>
      </w:r>
      <w:r>
        <w:t xml:space="preserve"> </w:t>
      </w:r>
      <w:r>
        <w:t xml:space="preserve">code-level ledger of inclusion and exclusion criteria, producing</w:t>
      </w:r>
      <w:r>
        <w:t xml:space="preserve"> </w:t>
      </w:r>
      <w:r>
        <w:t xml:space="preserve">a CONSORT-style flow from the raw source table to the analytic</w:t>
      </w:r>
      <w:r>
        <w:t xml:space="preserve"> </w:t>
      </w:r>
      <w:r>
        <w:t xml:space="preserve">cohort. Recording attrition this way anchors the locked cohort</w:t>
      </w:r>
      <w:r>
        <w:t xml:space="preserve"> </w:t>
      </w:r>
      <w:r>
        <w:t xml:space="preserve">definition to its data-driven realisation and gives the Stage 1b</w:t>
      </w:r>
      <w:r>
        <w:t xml:space="preserve"> </w:t>
      </w:r>
      <w:r>
        <w:t xml:space="preserve">cohort-adequacy checkpoint a reproducible source.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 plasmode candidate selection + Stage 2c DQ stress test</w:t>
      </w:r>
      <w:r>
        <w:br/>
      </w:r>
      <w:r>
        <w:rPr>
          <w:rStyle w:val="CommentTok"/>
        </w:rPr>
        <w:t xml:space="preserve"># Candidate grid: GLM PS only (trunc = 0.01 and 0.05).</w:t>
      </w:r>
      <w:r>
        <w:br/>
      </w:r>
      <w:r>
        <w:rPr>
          <w:rStyle w:val="CommentTok"/>
        </w:rPr>
        <w:t xml:space="preserve"># SL.glmnet is excluded from the PS candidate grid because it</w:t>
      </w:r>
      <w:r>
        <w:br/>
      </w:r>
      <w:r>
        <w:rPr>
          <w:rStyle w:val="CommentTok"/>
        </w:rPr>
        <w:t xml:space="preserve"># produces runaway computation on the near-positivity-violation</w:t>
      </w:r>
      <w:r>
        <w:br/>
      </w:r>
      <w:r>
        <w:rPr>
          <w:rStyle w:val="CommentTok"/>
        </w:rPr>
        <w:t xml:space="preserve"># synthetic designs that the DQ stress test generates; GLM and</w:t>
      </w:r>
      <w:r>
        <w:br/>
      </w:r>
      <w:r>
        <w:rPr>
          <w:rStyle w:val="CommentTok"/>
        </w:rPr>
        <w:t xml:space="preserve"># regularised PS are near-equivalent on this DGP (@sec-simulation).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56"/>
    <w:bookmarkStart w:id="57" w:name="inside-run_plasmode_dq_stress"/>
    <w:p>
      <w:pPr>
        <w:pStyle w:val="Heading2"/>
      </w:pPr>
      <w:r>
        <w:t xml:space="preserve">8.2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57"/>
    <w:bookmarkStart w:id="58" w:name="cumulative-risk-workflow-considerations"/>
    <w:p>
      <w:pPr>
        <w:pStyle w:val="Heading2"/>
      </w:pPr>
      <w:r>
        <w:t xml:space="preserve">8.3 Cumulative-risk workflow considerations</w:t>
      </w:r>
    </w:p>
    <w:p>
      <w:pPr>
        <w:pStyle w:val="FirstParagraph"/>
      </w:pPr>
      <w:r>
        <w:t xml:space="preserve">cleanTMLE provides software support for several analytic considerations</w:t>
      </w:r>
      <w:r>
        <w:t xml:space="preserve"> </w:t>
      </w:r>
      <w:r>
        <w:t xml:space="preserve">that arise in cumulative-risk pharmacoepidemiology workflows.</w:t>
      </w:r>
    </w:p>
    <w:p>
      <w:pPr>
        <w:pStyle w:val="BodyText"/>
      </w:pPr>
      <w:r>
        <w:rPr>
          <w:i/>
          <w:iCs/>
        </w:rPr>
        <w:t xml:space="preserve">Model specification grammar.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identify_*()</w:t>
      </w:r>
      <w:r>
        <w:t xml:space="preserve"> </w:t>
      </w:r>
      <w:r>
        <w:t xml:space="preserve">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identify_treatment()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identify_outcome()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identify_censoring()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identify_competing_risk()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identify_subject()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identify_interval()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identify_missing()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specify_models()</w:t>
      </w:r>
      <w:r>
        <w:t xml:space="preserve"> </w:t>
      </w:r>
      <w:r>
        <w:t xml:space="preserve">constructor allow</w:t>
      </w:r>
      <w:r>
        <w:t xml:space="preserve"> </w:t>
      </w:r>
      <w:r>
        <w:t xml:space="preserve">analysts to declare eligibility, treatment, outcome, censoring,</w:t>
      </w:r>
      <w:r>
        <w:t xml:space="preserve"> </w:t>
      </w:r>
      <w:r>
        <w:t xml:space="preserve">competing-risk, follow-up-interval, and intercurrent-event components</w:t>
      </w:r>
      <w:r>
        <w:t xml:space="preserve"> </w:t>
      </w:r>
      <w:r>
        <w:t xml:space="preserve">as code objects rather than prose. This lets the analysis lock</w:t>
      </w:r>
      <w:r>
        <w:t xml:space="preserve"> </w:t>
      </w:r>
      <w:r>
        <w:t xml:space="preserve">fingerprint the cohort definition together with the estimator.</w:t>
      </w:r>
    </w:p>
    <w:p>
      <w:pPr>
        <w:pStyle w:val="BodyText"/>
      </w:pPr>
      <w:r>
        <w:rPr>
          <w:i/>
          <w:iCs/>
        </w:rPr>
        <w:t xml:space="preserve">Cumulative-risk reporting.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compact table of cumulative risks at clinically meaningful follow-up</w:t>
      </w:r>
      <w:r>
        <w:t xml:space="preserve"> </w:t>
      </w:r>
      <w:r>
        <w:t xml:space="preserve">times, paired with risk-difference and risk-ratio summaries; the</w:t>
      </w:r>
      <w:r>
        <w:t xml:space="preserve"> </w:t>
      </w:r>
      <w:r>
        <w:rPr>
          <w:rStyle w:val="VerbatimChar"/>
        </w:rPr>
        <w:t xml:space="preserve">plot.cumrisk()</w:t>
      </w:r>
      <w:r>
        <w:t xml:space="preserve"> </w:t>
      </w:r>
      <w:r>
        <w:t xml:space="preserve">method renders the same content visually. The</w:t>
      </w:r>
      <w:r>
        <w:t xml:space="preserve"> </w:t>
      </w:r>
      <w:r>
        <w:t xml:space="preserve">package emphasises absolute risks at prespecified times rather than</w:t>
      </w:r>
      <w:r>
        <w:t xml:space="preserve"> </w:t>
      </w:r>
      <w:r>
        <w:t xml:space="preserve">ratio-only summaries.</w:t>
      </w:r>
    </w:p>
    <w:p>
      <w:pPr>
        <w:pStyle w:val="BodyText"/>
      </w:pPr>
      <w:r>
        <w:rPr>
          <w:i/>
          <w:iCs/>
        </w:rPr>
        <w:t xml:space="preserve">Censoring and missingness weights as a first-class analytic object.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carries inverse-probability-of-censoring weights</w:t>
      </w:r>
      <w:r>
        <w:t xml:space="preserve"> </w:t>
      </w:r>
      <w:r>
        <w:t xml:space="preserve">through the targeting step, and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exposes</w:t>
      </w:r>
      <w:r>
        <w:t xml:space="preserve"> </w:t>
      </w:r>
      <w:r>
        <w:t xml:space="preserve">effective sample size, weight percentiles, the maximum weight, and</w:t>
      </w:r>
      <w:r>
        <w:t xml:space="preserve"> </w:t>
      </w:r>
      <w:r>
        <w:t xml:space="preserve">prespecified instability thresholds so that weight behaviour is</w:t>
      </w:r>
      <w:r>
        <w:t xml:space="preserve"> </w:t>
      </w:r>
      <w:r>
        <w:t xml:space="preserve">auditable alongside the point estimate rather than buried inside a</w:t>
      </w:r>
      <w:r>
        <w:t xml:space="preserve"> </w:t>
      </w:r>
      <w:r>
        <w:t xml:space="preserve">nuisance fit.</w:t>
      </w:r>
    </w:p>
    <w:p>
      <w:pPr>
        <w:pStyle w:val="BodyText"/>
      </w:pPr>
      <w:r>
        <w:rPr>
          <w:i/>
          <w:iCs/>
        </w:rPr>
        <w:t xml:space="preserve">Event-process classification.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distinguish event of interest,</w:t>
      </w:r>
      <w:r>
        <w:t xml:space="preserve"> </w:t>
      </w:r>
      <w:r>
        <w:t xml:space="preserve">competing event, censoring, treatment discontinuation or switching,</w:t>
      </w:r>
      <w:r>
        <w:t xml:space="preserve"> </w:t>
      </w:r>
      <w:r>
        <w:t xml:space="preserve">transfer-driven exclusions, and administrative end of follow-up,</w:t>
      </w:r>
      <w:r>
        <w:t xml:space="preserve"> </w:t>
      </w:r>
      <w:r>
        <w:t xml:space="preserve">and check component-vs-composite coherence so that follow-up</w:t>
      </w:r>
      <w:r>
        <w:t xml:space="preserve"> </w:t>
      </w:r>
      <w:r>
        <w:t xml:space="preserve">accounting is explicit rather than implicit. These helpers record</w:t>
      </w:r>
      <w:r>
        <w:t xml:space="preserve"> </w:t>
      </w:r>
      <w:r>
        <w:t xml:space="preserve">and check event-process structure; v0.1 does not yet estimate</w:t>
      </w:r>
      <w:r>
        <w:t xml:space="preserve"> </w:t>
      </w:r>
      <w:r>
        <w:t xml:space="preserve">native competing-risk cumulative-incidence estimands.</w:t>
      </w:r>
    </w:p>
    <w:p>
      <w:pPr>
        <w:pStyle w:val="BodyText"/>
      </w:pPr>
      <w:r>
        <w:rPr>
          <w:i/>
          <w:iCs/>
        </w:rPr>
        <w:t xml:space="preserve">Hazard-ratio de-emphasis.</w:t>
      </w:r>
      <w:r>
        <w:t xml:space="preserve"> </w:t>
      </w:r>
      <w:r>
        <w:t xml:space="preserve">Cumulative risks, risk differences,</w:t>
      </w:r>
      <w:r>
        <w:t xml:space="preserve"> </w:t>
      </w:r>
      <w:r>
        <w:t xml:space="preserve">and risk ratios at clinically meaningful time points are more</w:t>
      </w:r>
      <w:r>
        <w:t xml:space="preserve"> </w:t>
      </w:r>
      <w:r>
        <w:t xml:space="preserve">directly aligned with counterfactual estimands in many RWE</w:t>
      </w:r>
      <w:r>
        <w:t xml:space="preserve"> </w:t>
      </w:r>
      <w:r>
        <w:t xml:space="preserve">settings. Hazard ratios are treated as secondary unless the</w:t>
      </w:r>
      <w:r>
        <w:t xml:space="preserve"> </w:t>
      </w:r>
      <w:r>
        <w:t xml:space="preserve">estimand is explicitly defined on the hazard scale and a</w:t>
      </w:r>
      <w:r>
        <w:t xml:space="preserve"> </w:t>
      </w:r>
      <w:r>
        <w:t xml:space="preserve">proportional-hazards interpretation is scientifically justified.</w:t>
      </w:r>
    </w:p>
    <w:bookmarkEnd w:id="58"/>
    <w:bookmarkStart w:id="59" w:name="X0dca275365b1ea9fc0b3ffe97cd757b2bc51779"/>
    <w:p>
      <w:pPr>
        <w:pStyle w:val="Heading2"/>
      </w:pPr>
      <w:r>
        <w:t xml:space="preserve">8.4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IPTW weights are</w:t>
      </w:r>
      <w:r>
        <w:t xml:space="preserve"> </w:t>
      </w:r>
      <w:r>
        <w:t xml:space="preserve">stabilised by default in cleanTMLE; effective sample size is</w:t>
      </w:r>
      <w:r>
        <w:t xml:space="preserve"> </w:t>
      </w:r>
      <w:r>
        <w:t xml:space="preserve">reported using the Kish formula on the stabilised weights so that</w:t>
      </w:r>
      <w:r>
        <w:t xml:space="preserve"> </w:t>
      </w:r>
      <w:r>
        <w:t xml:space="preserve">ESS is comparable across truncation candidates and across the</w:t>
      </w:r>
      <w:r>
        <w:t xml:space="preserve"> </w:t>
      </w:r>
      <w:r>
        <w:t xml:space="preserve">treatment- and censoring-weight passes. Extreme observations are</w:t>
      </w:r>
      <w:r>
        <w:t xml:space="preserve"> </w:t>
      </w:r>
      <w:r>
        <w:t xml:space="preserve">listed via</w:t>
      </w:r>
      <w:r>
        <w:t xml:space="preserve"> </w:t>
      </w:r>
      <w:r>
        <w:rPr>
          <w:rStyle w:val="VerbatimChar"/>
        </w:rPr>
        <w:t xml:space="preserve">extreme_weights()</w:t>
      </w:r>
      <w:r>
        <w:t xml:space="preserve"> </w:t>
      </w:r>
      <w:r>
        <w:t xml:space="preserve">so the top-percentile units are</w:t>
      </w:r>
      <w:r>
        <w:t xml:space="preserve"> </w:t>
      </w:r>
      <w:r>
        <w:t xml:space="preserve">visible alongside the summary distribution.</w:t>
      </w:r>
    </w:p>
    <w:p>
      <w:pPr>
        <w:pStyle w:val="BodyText"/>
      </w:pPr>
      <w:r>
        <w:t xml:space="preserve">For covariate balance, the recommended display is a three-way</w:t>
      </w:r>
      <w:r>
        <w:t xml:space="preserve"> </w:t>
      </w:r>
      <w:r>
        <w:t xml:space="preserve">Love plot showing absolute standardised mean differences in the</w:t>
      </w:r>
      <w:r>
        <w:t xml:space="preserve"> </w:t>
      </w:r>
      <w:r>
        <w:t xml:space="preserve">unweighted cohort, after matching, and after stabilised IPTW</w:t>
      </w:r>
      <w:r>
        <w:t xml:space="preserve"> </w:t>
      </w:r>
      <w:r>
        <w:t xml:space="preserve">(</w:t>
      </w:r>
      <w:r>
        <w:rPr>
          <w:rStyle w:val="VerbatimChar"/>
        </w:rPr>
        <w:t xml:space="preserve">love_plot_threeway()</w:t>
      </w:r>
      <w:r>
        <w:t xml:space="preserve"> </w:t>
      </w:r>
      <w:r>
        <w:t xml:space="preserve">consumes a lock and the matched / IPTW</w:t>
      </w:r>
      <w:r>
        <w:t xml:space="preserve"> </w:t>
      </w:r>
      <w:r>
        <w:t xml:space="preserve">weights). Plotting the three on a single axis makes it visible</w:t>
      </w:r>
      <w:r>
        <w:t xml:space="preserve"> </w:t>
      </w:r>
      <w:r>
        <w:t xml:space="preserve">which covariates remain imbalanced under which weighting strategy</w:t>
      </w:r>
      <w:r>
        <w:t xml:space="preserve"> </w:t>
      </w:r>
      <w:r>
        <w:t xml:space="preserve">and supports the estimator-vs-estimand distinction recorded in the</w:t>
      </w:r>
      <w:r>
        <w:t xml:space="preserve"> </w:t>
      </w:r>
      <w:r>
        <w:t xml:space="preserve">candidate lock.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59"/>
    <w:bookmarkStart w:id="60" w:name="Xf50b5df1c7478f84a38ff2d616f12345ba7582f"/>
    <w:p>
      <w:pPr>
        <w:pStyle w:val="Heading2"/>
      </w:pPr>
      <w:r>
        <w:t xml:space="preserve">8.5 Reporting cumulative risks rather than hazard ratios</w:t>
      </w:r>
    </w:p>
    <w:p>
      <w:pPr>
        <w:pStyle w:val="FirstParagraph"/>
      </w:pPr>
      <w:r>
        <w:t xml:space="preserve">Cumulative risks, risk differences, and risk ratios at clinically</w:t>
      </w:r>
      <w:r>
        <w:t xml:space="preserve"> </w:t>
      </w:r>
      <w:r>
        <w:t xml:space="preserve">meaningful time points are more directly aligned with counterfactual</w:t>
      </w:r>
      <w:r>
        <w:t xml:space="preserve"> </w:t>
      </w:r>
      <w:r>
        <w:t xml:space="preserve">estimands in many RWE settings: each corresponds to a contrast of</w:t>
      </w:r>
      <w:r>
        <w:t xml:space="preserve"> </w:t>
      </w:r>
      <w:r>
        <w:t xml:space="preserve">counterfactual risks at a clinically interpretable horizon, with</w:t>
      </w:r>
      <w:r>
        <w:t xml:space="preserve"> </w:t>
      </w:r>
      <w:r>
        <w:t xml:space="preserve">no implicit averaging across a follow-up window during which the</w:t>
      </w:r>
      <w:r>
        <w:t xml:space="preserve"> </w:t>
      </w:r>
      <w:r>
        <w:t xml:space="preserve">hazard ratio may not be constant. Hazard ratios should be treated</w:t>
      </w:r>
      <w:r>
        <w:t xml:space="preserve"> </w:t>
      </w:r>
      <w:r>
        <w:t xml:space="preserve">as secondary unless the estimand is explicitly defined on the</w:t>
      </w:r>
      <w:r>
        <w:t xml:space="preserve"> </w:t>
      </w:r>
      <w:r>
        <w:t xml:space="preserve">hazard scale and a proportional-hazards interpretation is</w:t>
      </w:r>
      <w:r>
        <w:t xml:space="preserve"> </w:t>
      </w:r>
      <w:r>
        <w:t xml:space="preserve">scientifically justified for the question at hand. cleanTMLE</w:t>
      </w:r>
      <w:r>
        <w:t xml:space="preserve"> </w:t>
      </w:r>
      <w:r>
        <w:t xml:space="preserve">reflects this ordering: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single structured table of cumulative risks, contrasts, and event</w:t>
      </w:r>
      <w:r>
        <w:t xml:space="preserve"> </w:t>
      </w:r>
      <w:r>
        <w:t xml:space="preserve">counts at the prespecified follow-up time, and hazard-ratio</w:t>
      </w:r>
      <w:r>
        <w:t xml:space="preserve"> </w:t>
      </w:r>
      <w:r>
        <w:t xml:space="preserve">helpers are provided only as secondary analyses with an explicit</w:t>
      </w:r>
      <w:r>
        <w:t xml:space="preserve"> </w:t>
      </w:r>
      <w:r>
        <w:t xml:space="preserve">hazard-scale estimand declaration.</w:t>
      </w:r>
    </w:p>
    <w:bookmarkEnd w:id="60"/>
    <w:bookmarkEnd w:id="61"/>
    <w:bookmarkStart w:id="98" w:name="sec-simulation"/>
    <w:p>
      <w:pPr>
        <w:pStyle w:val="Heading1"/>
      </w:pPr>
      <w:r>
        <w:t xml:space="preserve">9. Simulation Study</w:t>
      </w:r>
    </w:p>
    <w:bookmarkStart w:id="62" w:name="design"/>
    <w:p>
      <w:pPr>
        <w:pStyle w:val="Heading2"/>
      </w:pPr>
      <w:r>
        <w:t xml:space="preserve">9.1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two paired</w:t>
      </w:r>
      <w:r>
        <w:t xml:space="preserve"> </w:t>
      </w:r>
      <w:r>
        <w:t xml:space="preserve">treatment-ascertainment (sens, spec) cells (0.95, 0.99) and</w:t>
      </w:r>
      <w:r>
        <w:t xml:space="preserve"> </w:t>
      </w:r>
      <w:r>
        <w:t xml:space="preserve">(0.90, 0.95); the same two paired cells for outcome ascertainment;</w:t>
      </w:r>
      <w:r>
        <w:t xml:space="preserve"> </w:t>
      </w:r>
      <w:r>
        <w:t xml:space="preserve">and two paired unmeasured-confounder strengths</w:t>
      </w:r>
      <w:r>
        <w:t xml:space="preserve"> </w:t>
      </w:r>
      <w:r>
        <w:t xml:space="preserve">(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nor/>
                    <m:sty m:val="p"/>
                  </m:rPr>
                  <m:t>OR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nor/>
                    <m:sty m:val="p"/>
                  </m:rPr>
                  <m:t>OR</m:t>
                </m:r>
              </m:e>
              <m:sub>
                <m:r>
                  <m:t>Y</m:t>
                </m:r>
              </m:sub>
            </m:sSub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r>
              <m:t>1.5</m:t>
            </m:r>
            <m:r>
              <m:rPr>
                <m:sty m:val="p"/>
              </m:rPr>
              <m:t>,</m:t>
            </m:r>
            <m:r>
              <m:t>1.5</m:t>
            </m:r>
          </m:e>
        </m:d>
        <m:r>
          <m:rPr>
            <m:sty m:val="p"/>
          </m:rPr>
          <m:t>,</m:t>
        </m:r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2.0</m:t>
            </m:r>
            <m:r>
              <m:rPr>
                <m:sty m:val="p"/>
              </m:rPr>
              <m:t>,</m:t>
            </m:r>
            <m:r>
              <m:t>2.0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nine severity cells per Monte Carlo scenario. The PS candidate</w:t>
      </w:r>
      <w:r>
        <w:t xml:space="preserve"> </w:t>
      </w:r>
      <w:r>
        <w:t xml:space="preserve">grid comprises two GLM-based specifications varying the truncation</w:t>
      </w:r>
      <w:r>
        <w:t xml:space="preserve"> </w:t>
      </w:r>
      <w:r>
        <w:t xml:space="preserve">threshold (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}</m:t>
        </m:r>
      </m:oMath>
      <w:r>
        <w:t xml:space="preserve">); regularised-learner PS</w:t>
      </w:r>
      <w:r>
        <w:t xml:space="preserve"> </w:t>
      </w:r>
      <w:r>
        <w:t xml:space="preserve">candidates are excluded from the stress-test grid because</w:t>
      </w:r>
      <w:r>
        <w:t xml:space="preserve"> </w:t>
      </w:r>
      <w:r>
        <w:t xml:space="preserve">SL.glmnet produces runaway computation on the near-positivity-</w:t>
      </w:r>
      <w:r>
        <w:t xml:space="preserve"> </w:t>
      </w:r>
      <w:r>
        <w:t xml:space="preserve">violation designs generated for Scenario B, and GLM and regularised</w:t>
      </w:r>
      <w:r>
        <w:t xml:space="preserve"> </w:t>
      </w:r>
      <w:r>
        <w:t xml:space="preserve">PS produce near-identical plasmode metrics on this DGP (see</w:t>
      </w:r>
      <w:r>
        <w:t xml:space="preserve"> </w:t>
      </w:r>
      <w:hyperlink w:anchor="sec-limitations">
        <w:r>
          <w:rPr>
            <w:rStyle w:val="Hyperlink"/>
          </w:rPr>
          <w:t xml:space="preserve">Section 12.4</w:t>
        </w:r>
      </w:hyperlink>
      <w:r>
        <w:t xml:space="preserve">).</w:t>
      </w:r>
    </w:p>
    <w:p>
      <w:pPr>
        <w:pStyle w:val="BodyText"/>
      </w:pPr>
      <w:r>
        <w:t xml:space="preserve">We report 200 Monte Carlo replicates per scenario and give the Monte</w:t>
      </w:r>
      <w:r>
        <w:t xml:space="preserve"> </w:t>
      </w:r>
      <w:r>
        <w:t xml:space="preserve">Carlo standard error of each coverage estimate alongside it; coverage</w:t>
      </w:r>
      <w:r>
        <w:t xml:space="preserve"> </w:t>
      </w:r>
      <w:r>
        <w:t xml:space="preserve">differences within roughly</w:t>
      </w:r>
      <w:r>
        <w:t xml:space="preserve"> </w:t>
      </w:r>
      <m:oMath>
        <m:r>
          <m:rPr>
            <m:sty m:val="p"/>
          </m:rPr>
          <m:t>±</m:t>
        </m:r>
        <m:r>
          <m:t>0.03</m:t>
        </m:r>
      </m:oMath>
      <w:r>
        <w:t xml:space="preserve"> </w:t>
      </w:r>
      <w:r>
        <w:t xml:space="preserve">of nominal should be read as</w:t>
      </w:r>
      <w:r>
        <w:t xml:space="preserve"> </w:t>
      </w:r>
      <w:r>
        <w:t xml:space="preserve">compatible with the nominal level at this replicate count. Two control scenarios complement the three</w:t>
      </w:r>
      <w:r>
        <w:t xml:space="preserve"> </w:t>
      </w:r>
      <w:r>
        <w:t xml:space="preserve">above and are exercised in the gate operating-characteristics</w:t>
      </w:r>
      <w:r>
        <w:t xml:space="preserve"> </w:t>
      </w:r>
      <w:r>
        <w:t xml:space="preserve">meta-simulation of</w:t>
      </w:r>
      <w:r>
        <w:t xml:space="preserve"> </w:t>
      </w:r>
      <w:hyperlink w:anchor="sec-gate-oc">
        <w:r>
          <w:rPr>
            <w:rStyle w:val="Hyperlink"/>
          </w:rPr>
          <w:t xml:space="preserve">Section 10</w:t>
        </w:r>
      </w:hyperlink>
      <w:r>
        <w:t xml:space="preserve">: a</w:t>
      </w:r>
      <w:r>
        <w:t xml:space="preserve"> </w:t>
      </w:r>
      <w:r>
        <w:rPr>
          <w:i/>
          <w:iCs/>
        </w:rPr>
        <w:t xml:space="preserve">null</w:t>
      </w:r>
      <w:r>
        <w:t xml:space="preserve"> </w:t>
      </w:r>
      <w:r>
        <w:t xml:space="preserve">data-generating process with no</w:t>
      </w:r>
      <w:r>
        <w:t xml:space="preserve"> </w:t>
      </w:r>
      <w:r>
        <w:t xml:space="preserve">unmeasured confounding (the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cell), under which the oracle verdict</w:t>
      </w:r>
      <w:r>
        <w:t xml:space="preserve"> </w:t>
      </w:r>
      <w:r>
        <w:t xml:space="preserve">is GO so the screen’s STOP rate estimates its false-STOP rate; and a</w:t>
      </w:r>
      <w:r>
        <w:t xml:space="preserve"> </w:t>
      </w:r>
      <w:r>
        <w:rPr>
          <w:i/>
          <w:iCs/>
        </w:rPr>
        <w:t xml:space="preserve">positive control</w:t>
      </w:r>
      <w:r>
        <w:t xml:space="preserve"> </w:t>
      </w:r>
      <w:r>
        <w:t xml:space="preserve">in which strong but fully measured confounding is</w:t>
      </w:r>
      <w:r>
        <w:t xml:space="preserve"> </w:t>
      </w:r>
      <w:r>
        <w:t xml:space="preserve">removed by adjustment, under which the adjusted estimators should recover</w:t>
      </w:r>
      <w:r>
        <w:t xml:space="preserve"> </w:t>
      </w:r>
      <w:r>
        <w:t xml:space="preserve">the truth while the crude comparison does not.</w:t>
      </w:r>
    </w:p>
    <w:bookmarkEnd w:id="62"/>
    <w:bookmarkStart w:id="82" w:name="monte-carlo-results"/>
    <w:p>
      <w:pPr>
        <w:pStyle w:val="Heading2"/>
      </w:pPr>
      <w:r>
        <w:t xml:space="preserve">9.2 Monte Carlo results</w:t>
      </w:r>
    </w:p>
    <w:bookmarkStart w:id="63" w:name="scenario-a-good-overlap-true-rd--0.02979"/>
    <w:p>
      <w:pPr>
        <w:pStyle w:val="Heading3"/>
      </w:pPr>
      <w:r>
        <w:t xml:space="preserve">9.2.1 Scenario A: Good Overlap (true RD = -0.02979)</w:t>
      </w:r>
    </w:p>
    <w:p>
      <w:pPr>
        <w:pStyle w:val="TableCaption"/>
      </w:pPr>
      <w:r>
        <w:t xml:space="preserve">Scenario A: Good Overlap. The g_value column is the additive bias that would push the 95% CI across zero (Gruber 2023 RWE p.5); smaller values mean the conclusion is more easily flipped by a postulated bias.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. The g_value column is the additive bias that would push the 95% CI across zero (Gruber 2023 RWE p.5); smaller values mean the conclusion is more easily flipped by a postulated bias."/>
      </w:tblPr>
      <w:tblGrid>
        <w:gridCol w:w="757"/>
        <w:gridCol w:w="344"/>
        <w:gridCol w:w="619"/>
        <w:gridCol w:w="619"/>
        <w:gridCol w:w="619"/>
        <w:gridCol w:w="550"/>
        <w:gridCol w:w="550"/>
        <w:gridCol w:w="826"/>
        <w:gridCol w:w="550"/>
        <w:gridCol w:w="619"/>
        <w:gridCol w:w="688"/>
        <w:gridCol w:w="619"/>
        <w:gridCol w:w="5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g_value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3"/>
    <w:bookmarkStart w:id="64" w:name="X539d2e41b20619841b5f484f160273f03ef61dd"/>
    <w:p>
      <w:pPr>
        <w:pStyle w:val="Heading3"/>
      </w:pPr>
      <w:r>
        <w:t xml:space="preserve">9.2.2 Scenario B: Marginal Overlap (true RD = -0.02979)</w:t>
      </w:r>
    </w:p>
    <w:p>
      <w:pPr>
        <w:pStyle w:val="TableCaption"/>
      </w:pPr>
      <w:r>
        <w:t xml:space="preserve">Scenario B: Marginal Overlap. The g_value column is the additive bias that would push the 95% CI across zero (Gruber 2023 RWE p.5); smaller values mean the conclusion is more easily flipped by a postulated bias.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. The g_value column is the additive bias that would push the 95% CI across zero (Gruber 2023 RWE p.5); smaller values mean the conclusion is more easily flipped by a postulated bias."/>
      </w:tblPr>
      <w:tblGrid>
        <w:gridCol w:w="757"/>
        <w:gridCol w:w="344"/>
        <w:gridCol w:w="619"/>
        <w:gridCol w:w="619"/>
        <w:gridCol w:w="619"/>
        <w:gridCol w:w="550"/>
        <w:gridCol w:w="550"/>
        <w:gridCol w:w="826"/>
        <w:gridCol w:w="550"/>
        <w:gridCol w:w="619"/>
        <w:gridCol w:w="688"/>
        <w:gridCol w:w="619"/>
        <w:gridCol w:w="5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g_value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4"/>
    <w:bookmarkStart w:id="65" w:name="X5abe8fbf009ebf57dedb1ebf41d3907d23035c8"/>
    <w:p>
      <w:pPr>
        <w:pStyle w:val="Heading3"/>
      </w:pPr>
      <w:r>
        <w:t xml:space="preserve">9.2.3 Scenario C: Unmeasured Confounding (true RD = -0.03347)</w:t>
      </w:r>
    </w:p>
    <w:p>
      <w:pPr>
        <w:pStyle w:val="TableCaption"/>
      </w:pPr>
      <w:r>
        <w:t xml:space="preserve">Scenario C: Unmeasured Confounding. The g_value column is the additive bias that would push the 95% CI across zero (Gruber 2023 RWE p.5); smaller values mean the conclusion is more easily flipped by a postulated bias.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. The g_value column is the additive bias that would push the 95% CI across zero (Gruber 2023 RWE p.5); smaller values mean the conclusion is more easily flipped by a postulated bias."/>
      </w:tblPr>
      <w:tblGrid>
        <w:gridCol w:w="764"/>
        <w:gridCol w:w="347"/>
        <w:gridCol w:w="625"/>
        <w:gridCol w:w="555"/>
        <w:gridCol w:w="625"/>
        <w:gridCol w:w="555"/>
        <w:gridCol w:w="555"/>
        <w:gridCol w:w="833"/>
        <w:gridCol w:w="555"/>
        <w:gridCol w:w="625"/>
        <w:gridCol w:w="694"/>
        <w:gridCol w:w="625"/>
        <w:gridCol w:w="5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g_value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5"/>
    <w:bookmarkStart w:id="79" w:name="interpretation"/>
    <w:p>
      <w:pPr>
        <w:pStyle w:val="Heading3"/>
      </w:pPr>
      <w:r>
        <w:t xml:space="preserve">9.2.4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under a</w:t>
      </w:r>
      <w:r>
        <w:t xml:space="preserve"> </w:t>
      </w:r>
      <w:r>
        <w:t xml:space="preserve">prespecified data-generating process that encodes an identification</w:t>
      </w:r>
      <w:r>
        <w:t xml:space="preserve"> </w:t>
      </w:r>
      <w:r>
        <w:t xml:space="preserve">failure.</w:t>
      </w:r>
    </w:p>
    <w:p>
      <w:pPr>
        <w:pStyle w:val="BodyText"/>
      </w:pPr>
      <w:r>
        <w:t xml:space="preserve">The workflow shows a specific thing here. A STOP decision is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of prespecified operating-characteristic thresholds under</w:t>
      </w:r>
      <w:r>
        <w:rPr>
          <w:b/>
          <w:bCs/>
        </w:rPr>
        <w:t xml:space="preserve"> </w:t>
      </w:r>
      <w:r>
        <w:rPr>
          <w:b/>
          <w:bCs/>
        </w:rPr>
        <w:t xml:space="preserve">the simulated DGP</w:t>
      </w:r>
      <w:r>
        <w:t xml:space="preserve">, not</w:t>
      </w:r>
      <w:r>
        <w:t xml:space="preserve"> </w:t>
      </w:r>
      <w:r>
        <w:rPr>
          <w:b/>
          <w:bCs/>
        </w:rPr>
        <w:t xml:space="preserve">detected real-data bias</w:t>
      </w:r>
      <w:r>
        <w:t xml:space="preserve">. The clarity of the STOP decision in</w:t>
      </w:r>
      <w:r>
        <w:t xml:space="preserve"> </w:t>
      </w:r>
      <w:r>
        <w:t xml:space="preserve">Scenario C depends on the analyst having anticipated the threat</w:t>
      </w:r>
      <w:r>
        <w:t xml:space="preserve"> </w:t>
      </w:r>
      <w:r>
        <w:t xml:space="preserve">(unmeasured confounding) and having encoded a corresponding latent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scenario in the locked DGP; the package does not infer the</w:t>
      </w:r>
      <w:r>
        <w:t xml:space="preserve"> </w:t>
      </w:r>
      <w:r>
        <w:t xml:space="preserve">threat from the realised data, and a STOP under a stress scenario</w:t>
      </w:r>
      <w:r>
        <w:t xml:space="preserve"> </w:t>
      </w:r>
      <w:r>
        <w:t xml:space="preserve">that the analyst chose to include is a different claim from</w:t>
      </w:r>
      <w:r>
        <w:t xml:space="preserve"> </w:t>
      </w:r>
      <w:r>
        <w:t xml:space="preserve">“this</w:t>
      </w:r>
      <w:r>
        <w:t xml:space="preserve"> </w:t>
      </w:r>
      <w:r>
        <w:t xml:space="preserve">study has unmeasured confounding”</w:t>
      </w:r>
      <w:r>
        <w:t xml:space="preserve">. The same distinction applies in</w:t>
      </w:r>
      <w:r>
        <w:t xml:space="preserve"> </w:t>
      </w:r>
      <w:r>
        <w:t xml:space="preserve">reverse: a GO decision does not imply that the realised data are</w:t>
      </w:r>
      <w:r>
        <w:t xml:space="preserve"> </w:t>
      </w:r>
      <w:r>
        <w:t xml:space="preserve">free of the threat, only that, under the prespecified DGP and the</w:t>
      </w:r>
      <w:r>
        <w:t xml:space="preserve"> </w:t>
      </w:r>
      <w:r>
        <w:t xml:space="preserve">locked thresholds, the candidate estimator does not fail.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</w:t>
      </w:r>
      <w:r>
        <w:t xml:space="preserve"> </w:t>
      </w:r>
      <w:r>
        <w:rPr>
          <w:b/>
          <w:bCs/>
        </w:rPr>
        <w:t xml:space="preserve">variance-estimator selection</w:t>
      </w:r>
      <w:r>
        <w:t xml:space="preserve">, the</w:t>
      </w:r>
      <w:r>
        <w:t xml:space="preserve"> </w:t>
      </w:r>
      <w:r>
        <w:t xml:space="preserve">second stage of FIORD’s two-stage selector</w:t>
      </w:r>
      <w:r>
        <w:t xml:space="preserve"> </w:t>
      </w:r>
      <w:r>
        <w:t xml:space="preserve">(Nance et al. 2026)</w:t>
      </w:r>
      <w:r>
        <w:t xml:space="preserve">, which</w:t>
      </w:r>
      <w:r>
        <w:t xml:space="preserve"> </w:t>
      </w:r>
      <w:r>
        <w:t xml:space="preserve">interacts with the DGP in ways that the point-estimator comparison</w:t>
      </w:r>
      <w:r>
        <w:t xml:space="preserve"> </w:t>
      </w:r>
      <w:r>
        <w:t xml:space="preserve">does not reveal.</w:t>
      </w:r>
      <w:r>
        <w:t xml:space="preserve"> </w:t>
      </w:r>
      <w:hyperlink w:anchor="tbl-boot-varia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reports a targeted 100-replicate variance comparison for</w:t>
      </w:r>
      <w:r>
        <w:t xml:space="preserve"> </w:t>
      </w:r>
      <w:r>
        <w:t xml:space="preserve">IPTW and Match_TMLE across three overlap regimes. Overlap regime C has minimal</w:t>
      </w:r>
      <w:r>
        <w:t xml:space="preserve"> </w:t>
      </w:r>
      <w:r>
        <w:t xml:space="preserve">PS spread (very good overlap); overlap regime A has moderate PS spread (good</w:t>
      </w:r>
      <w:r>
        <w:t xml:space="preserve"> </w:t>
      </w:r>
      <w:r>
        <w:t xml:space="preserve">overlap); overlap regime B has wide PS spread (marginal overlap). These regimes</w:t>
      </w:r>
      <w:r>
        <w:t xml:space="preserve"> </w:t>
      </w:r>
      <w:r>
        <w:t xml:space="preserve">are distinct from the main simulation scenarios A, B, and C described in</w:t>
      </w:r>
      <w:r>
        <w:t xml:space="preserve"> 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. For each replicate both the IF-based and nonparametric</w:t>
      </w:r>
      <w:r>
        <w:t xml:space="preserve"> </w:t>
      </w:r>
      <w:r>
        <w:t xml:space="preserve">bootstrap (B = 200 draws, GLM PS) SE are computed; the table reports mean</w:t>
      </w:r>
      <w:r>
        <w:t xml:space="preserve"> </w:t>
      </w:r>
      <w:r>
        <w:t xml:space="preserve">SE/SD ratios and 95% CI coverage under each method.</w:t>
      </w:r>
    </w:p>
    <w:p>
      <w:pPr>
        <w:pStyle w:val="BodyText"/>
      </w:pPr>
      <w:r>
        <w:t xml:space="preserve">Under very good overlap (regime C), both IPTW and Match_TMLE are approximately</w:t>
      </w:r>
      <w:r>
        <w:t xml:space="preserve"> </w:t>
      </w:r>
      <w:r>
        <w:t xml:space="preserve">calibrated (0.95 IF-coverage for Match_TMLE, Monte Carlo</w:t>
      </w:r>
      <w:r>
        <w:t xml:space="preserve"> </w:t>
      </w:r>
      <w:r>
        <w:t xml:space="preserve">SE 0.02), and the bootstrap does not improve either.</w:t>
      </w:r>
      <w:r>
        <w:t xml:space="preserve"> </w:t>
      </w:r>
      <w:r>
        <w:t xml:space="preserve">When PS spread is minimal the matching-draw variance is smaller relative to the</w:t>
      </w:r>
      <w:r>
        <w:t xml:space="preserve"> </w:t>
      </w:r>
      <w:r>
        <w:t xml:space="preserve">outcome variance, so the IF-SE is adequate. This is the setting where oracle</w:t>
      </w:r>
      <w:r>
        <w:t xml:space="preserve"> </w:t>
      </w:r>
      <w:r>
        <w:t xml:space="preserve">selection would identify the two methods as equivalent.</w:t>
      </w:r>
    </w:p>
    <w:p>
      <w:pPr>
        <w:pStyle w:val="BodyText"/>
      </w:pPr>
      <w:r>
        <w:t xml:space="preserve">Under good overlap (regime A), IPTW achieves se_sd_ratio_if ≈</w:t>
      </w:r>
      <w:r>
        <w:t xml:space="preserve"> </w:t>
      </w:r>
      <w:r>
        <w:t xml:space="preserve">0.98, coverage_if =</w:t>
      </w:r>
      <w:r>
        <w:t xml:space="preserve"> </w:t>
      </w:r>
      <w:r>
        <w:t xml:space="preserve">0.94. Match_TMLE is anti-conservative: the IF-based</w:t>
      </w:r>
      <w:r>
        <w:t xml:space="preserve"> </w:t>
      </w:r>
      <w:r>
        <w:t xml:space="preserve">SE undercovers at 0.89 (Monte Carlo SE</w:t>
      </w:r>
      <w:r>
        <w:t xml:space="preserve"> </w:t>
      </w:r>
      <w:r>
        <w:t xml:space="preserve">0.03), so the 95% interval fails in roughly one</w:t>
      </w:r>
      <w:r>
        <w:t xml:space="preserve"> </w:t>
      </w:r>
      <w:r>
        <w:t xml:space="preserve">replicate in 9. The paired-difference SE</w:t>
      </w:r>
      <w:r>
        <w:t xml:space="preserve"> </w:t>
      </w:r>
      <w:r>
        <w:t xml:space="preserve">conditions on the fixed matched dataset and ignores the matching-draw</w:t>
      </w:r>
      <w:r>
        <w:t xml:space="preserve"> </w:t>
      </w:r>
      <w:r>
        <w:t xml:space="preserve">variance, the variability from which controls are selected when the data are</w:t>
      </w:r>
      <w:r>
        <w:t xml:space="preserve"> </w:t>
      </w:r>
      <w:r>
        <w:t xml:space="preserve">resampled. In this regime the full-pipeline bootstrap raises coverage to</w:t>
      </w:r>
      <w:r>
        <w:t xml:space="preserve"> </w:t>
      </w:r>
      <w:r>
        <w:t xml:space="preserve">0.95 (Monte Carlo SE 0.02).</w:t>
      </w:r>
      <w:r>
        <w:t xml:space="preserve"> </w:t>
      </w:r>
      <w:r>
        <w:t xml:space="preserve">This is the setting where</w:t>
      </w:r>
      <w:r>
        <w:t xml:space="preserve"> </w:t>
      </w:r>
      <w:r>
        <w:rPr>
          <w:rStyle w:val="VerbatimChar"/>
        </w:rPr>
        <w:t xml:space="preserve">select_variance_method()</w:t>
      </w:r>
      <w:r>
        <w:t xml:space="preserve"> </w:t>
      </w:r>
      <w:r>
        <w:t xml:space="preserve">oracle coverage selection</w:t>
      </w:r>
      <w:r>
        <w:t xml:space="preserve"> </w:t>
      </w:r>
      <w:r>
        <w:t xml:space="preserve">would favour the bootstrap over the IF-based SE.</w:t>
      </w:r>
    </w:p>
    <w:p>
      <w:pPr>
        <w:pStyle w:val="BodyText"/>
      </w:pPr>
      <w:r>
        <w:t xml:space="preserve">Under marginal overlap the pattern reverses for IPTW. The</w:t>
      </w:r>
      <w:r>
        <w:t xml:space="preserve"> </w:t>
      </w:r>
      <w:r>
        <w:t xml:space="preserve">IF-based variance treats the propensity score as known and not</w:t>
      </w:r>
      <w:r>
        <w:t xml:space="preserve"> </w:t>
      </w:r>
      <w:r>
        <w:t xml:space="preserve">estimated</w:t>
      </w:r>
      <w:r>
        <w:t xml:space="preserve"> </w:t>
      </w:r>
      <w:r>
        <w:t xml:space="preserve">(J. M. Robins and Rotnitzky 1992)</w:t>
      </w:r>
      <w:r>
        <w:t xml:space="preserve">, and the wider PS range amplifies this effect</w:t>
      </w:r>
      <w:r>
        <w:t xml:space="preserve"> </w:t>
      </w:r>
      <w:r>
        <w:t xml:space="preserve">(se_sd_ratio_if = 1.23, coverage_if =</w:t>
      </w:r>
      <w:r>
        <w:t xml:space="preserve"> </w:t>
      </w:r>
      <w:r>
        <w:t xml:space="preserve">0.98, Monte Carlo SE 0.01).</w:t>
      </w:r>
      <w:r>
        <w:t xml:space="preserve"> </w:t>
      </w:r>
      <w:r>
        <w:t xml:space="preserve">The bootstrap does not correct this conservatism, and both bootstrap and IF</w:t>
      </w:r>
      <w:r>
        <w:t xml:space="preserve"> </w:t>
      </w:r>
      <w:r>
        <w:t xml:space="preserve">coverage remain near 0.98. The reason is structural. PS-estimation</w:t>
      </w:r>
      <w:r>
        <w:t xml:space="preserve"> </w:t>
      </w:r>
      <w:r>
        <w:t xml:space="preserve">uncertainty that inflates the IF-SE is a property of the estimation</w:t>
      </w:r>
      <w:r>
        <w:t xml:space="preserve"> </w:t>
      </w:r>
      <w:r>
        <w:t xml:space="preserve">problem; estimated nuisance parameters introduce additional variability that</w:t>
      </w:r>
      <w:r>
        <w:t xml:space="preserve"> </w:t>
      </w:r>
      <w:r>
        <w:t xml:space="preserve">the IF does not capture when it treats the score as fixed. Correcting this</w:t>
      </w:r>
      <w:r>
        <w:t xml:space="preserve"> </w:t>
      </w:r>
      <w:r>
        <w:t xml:space="preserve">requires an M-estimator or sandwich variance that jointly accounts for PS</w:t>
      </w:r>
      <w:r>
        <w:t xml:space="preserve"> </w:t>
      </w:r>
      <w:r>
        <w:t xml:space="preserve">estimation and outcome weighting</w:t>
      </w:r>
      <w:r>
        <w:t xml:space="preserve"> </w:t>
      </w:r>
      <w:r>
        <w:t xml:space="preserve">(Stefanski and Boos 2002)</w:t>
      </w:r>
      <w:r>
        <w:t xml:space="preserve">, not resampling.</w:t>
      </w:r>
      <w:r>
        <w:t xml:space="preserve"> </w:t>
      </w:r>
      <w:r>
        <w:t xml:space="preserve">Match_TMLE, by contrast, is well-calibrated in this regime (se_sd_ratio_if =</w:t>
      </w:r>
      <w:r>
        <w:t xml:space="preserve"> </w:t>
      </w:r>
      <w:r>
        <w:t xml:space="preserve">1.04, coverage_if = 0.97).</w:t>
      </w:r>
      <w:r>
        <w:t xml:space="preserve"> </w:t>
      </w:r>
      <w:r>
        <w:t xml:space="preserve">A likely explanation is that the nearest-neighbour caliper self-selects a</w:t>
      </w:r>
      <w:r>
        <w:t xml:space="preserve"> </w:t>
      </w:r>
      <w:r>
        <w:t xml:space="preserve">sub-population with better effective overlap, where the i.i.d. assumption</w:t>
      </w:r>
      <w:r>
        <w:t xml:space="preserve"> </w:t>
      </w:r>
      <w:r>
        <w:t xml:space="preserve">underlying the IF-SE is approximately satisfied. For Match_TMLE under marginal</w:t>
      </w:r>
      <w:r>
        <w:t xml:space="preserve"> </w:t>
      </w:r>
      <w:r>
        <w:t xml:space="preserve">overlap and for IPTW in both regimes, the bootstrap provides no material</w:t>
      </w:r>
      <w:r>
        <w:t xml:space="preserve"> </w:t>
      </w:r>
      <w:r>
        <w:t xml:space="preserve">improvement.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boot-varianc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IF-based versus bootstrap variance for IPTW and Match_TMLE across three overlap regimes (C: very good, A: good, B: marginal), 100 MC replicates per regime, B = 200 bootstrap draws. se_sd_ratio is the mean SE divided by the empirical SD of the point estimate; values above 1 indicate conservative (overcovering) inference, values below 1 indicate anti-conservative (undercovering) inference. Coverage cells report the proportion with its binomial Monte Carlo standard error in parentheses; at 100 replicates this standard error is about 0.02 to 0.03, so coverage differences smaller than roughly 0.05 are compatible with no difference.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69"/>
              <w:gridCol w:w="926"/>
              <w:gridCol w:w="674"/>
              <w:gridCol w:w="926"/>
              <w:gridCol w:w="1179"/>
              <w:gridCol w:w="1095"/>
              <w:gridCol w:w="13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Emp.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SE/SD (IF)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Coverage (IF)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SE/SD (boot)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Coverage (boot)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C: Very Good Overlap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IPTW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(0.02)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(0.02)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C: Very Good Overlap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Match_TMLE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 (0.02)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 (0.02)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A: Good Overlap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IPTW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(0.02)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 (0.03)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A: Good Overlap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Match_TMLE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 (0.03)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 (0.02)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 Marginal Overlap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IPTW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 (0.01)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 Marginal Overlap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Match_TMLE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0.97 (0.02)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 (0.01)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key practical implication is estimator- and scenario-specific.</w:t>
      </w:r>
      <w:r>
        <w:t xml:space="preserve"> </w:t>
      </w:r>
      <w:r>
        <w:t xml:space="preserve">Abadie and Imbens (2008)</w:t>
      </w:r>
      <w:r>
        <w:t xml:space="preserve"> </w:t>
      </w:r>
      <w:r>
        <w:t xml:space="preserve">establish a negative result for matching estimators: the</w:t>
      </w:r>
      <w:r>
        <w:t xml:space="preserve"> </w:t>
      </w:r>
      <w:r>
        <w:t xml:space="preserve">standard nonparametric bootstrap does not consistently estimate the variance</w:t>
      </w:r>
      <w:r>
        <w:t xml:space="preserve"> </w:t>
      </w:r>
      <w:r>
        <w:t xml:space="preserve">of a nearest-neighbour matching estimator with a fixed number of matches. The</w:t>
      </w:r>
      <w:r>
        <w:t xml:space="preserve"> </w:t>
      </w:r>
      <w:r>
        <w:t xml:space="preserve">procedure used here re-runs the full matching pipeline on each resample, which</w:t>
      </w:r>
      <w:r>
        <w:t xml:space="preserve"> </w:t>
      </w:r>
      <w:r>
        <w:t xml:space="preserve">differs from the fixed-match estimator they analyse, so we report its</w:t>
      </w:r>
      <w:r>
        <w:t xml:space="preserve"> </w:t>
      </w:r>
      <w:r>
        <w:t xml:space="preserve">behaviour as an empirical finding and do not claim it inherits a consistency</w:t>
      </w:r>
      <w:r>
        <w:t xml:space="preserve"> </w:t>
      </w:r>
      <w:r>
        <w:t xml:space="preserve">guarantee. The oracle coverage evidence under good overlap, where the</w:t>
      </w:r>
      <w:r>
        <w:t xml:space="preserve"> </w:t>
      </w:r>
      <w:r>
        <w:t xml:space="preserve">re-matching bootstrap raises Match_TMLE coverage from</w:t>
      </w:r>
      <w:r>
        <w:t xml:space="preserve"> </w:t>
      </w:r>
      <w:r>
        <w:t xml:space="preserve">0.89 to 0.95, supports using it in</w:t>
      </w:r>
      <w:r>
        <w:t xml:space="preserve"> </w:t>
      </w:r>
      <w:r>
        <w:t xml:space="preserve">that setting, and</w:t>
      </w:r>
      <w:r>
        <w:t xml:space="preserve"> </w:t>
      </w:r>
      <w:r>
        <w:rPr>
          <w:rStyle w:val="VerbatimChar"/>
        </w:rPr>
        <w:t xml:space="preserve">bootstrap_rd_variance()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estimator = "match_tmle"</w:t>
      </w:r>
      <w:r>
        <w:t xml:space="preserve"> </w:t>
      </w:r>
      <w:r>
        <w:t xml:space="preserve">implements it. These coverage estimates rest on 100 replicates, so they carry</w:t>
      </w:r>
      <w:r>
        <w:t xml:space="preserve"> </w:t>
      </w:r>
      <w:r>
        <w:t xml:space="preserve">Monte Carlo standard errors near 0.02 to 0.03, and a higher-replication</w:t>
      </w:r>
      <w:r>
        <w:t xml:space="preserve"> </w:t>
      </w:r>
      <w:r>
        <w:t xml:space="preserve">confirmation is a useful follow-up. Under marginal overlap, where the caliper</w:t>
      </w:r>
      <w:r>
        <w:t xml:space="preserve"> </w:t>
      </w:r>
      <w:r>
        <w:t xml:space="preserve">restricts the matched cohort to a well-overlapped sub-population, the</w:t>
      </w:r>
      <w:r>
        <w:t xml:space="preserve"> </w:t>
      </w:r>
      <w:r>
        <w:t xml:space="preserve">matching-draw variance is less severe and the IF-SE is approximately</w:t>
      </w:r>
      <w:r>
        <w:t xml:space="preserve"> </w:t>
      </w:r>
      <w:r>
        <w:t xml:space="preserve">calibrated, so oracle selection would identify the two methods as equivalent</w:t>
      </w:r>
      <w:r>
        <w:t xml:space="preserve"> </w:t>
      </w:r>
      <w:r>
        <w:t xml:space="preserve">there. For IPTW, neither variance method removes the conservatism from treating</w:t>
      </w:r>
      <w:r>
        <w:t xml:space="preserve"> </w:t>
      </w:r>
      <w:r>
        <w:t xml:space="preserve">the propensity score as known; analysts who require exact IPTW variance</w:t>
      </w:r>
      <w:r>
        <w:t xml:space="preserve"> </w:t>
      </w:r>
      <w:r>
        <w:t xml:space="preserve">calibration should consider an M-estimator that jointly models PS estimation</w:t>
      </w:r>
      <w:r>
        <w:t xml:space="preserve"> </w:t>
      </w:r>
      <w:r>
        <w:t xml:space="preserve">and outcome weighting.</w:t>
      </w:r>
      <w:r>
        <w:t xml:space="preserve"> </w:t>
      </w:r>
      <w:r>
        <w:rPr>
          <w:rStyle w:val="VerbatimChar"/>
        </w:rPr>
        <w:t xml:space="preserve">select_variance_method()</w:t>
      </w:r>
      <w:r>
        <w:t xml:space="preserve"> </w:t>
      </w:r>
      <w:r>
        <w:t xml:space="preserve">addresses this by using</w:t>
      </w:r>
      <w:r>
        <w:t xml:space="preserve"> </w:t>
      </w:r>
      <w:r>
        <w:t xml:space="preserve">oracle coverage on plasmode-generated synthetic data to identify, for the</w:t>
      </w:r>
      <w:r>
        <w:t xml:space="preserve"> </w:t>
      </w:r>
      <w:r>
        <w:t xml:space="preserve">study’s specific DGP and sample size, which variance method achieves nominal</w:t>
      </w:r>
      <w:r>
        <w:t xml:space="preserve"> </w:t>
      </w:r>
      <w:r>
        <w:t xml:space="preserve">coverage.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68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1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4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" title="" id="77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fores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</w:t>
      </w:r>
    </w:p>
    <w:bookmarkEnd w:id="79"/>
    <w:bookmarkStart w:id="81" w:name="X9f3d771c12b7522987e43688a0799e90a159038"/>
    <w:p>
      <w:pPr>
        <w:pStyle w:val="Heading3"/>
      </w:pPr>
      <w:r>
        <w:t xml:space="preserve">9.2.5 Traditional workflow vs outcome-blind staged workflow</w:t>
      </w:r>
    </w:p>
    <w:p>
      <w:pPr>
        <w:pStyle w:val="FirstParagraph"/>
      </w:pPr>
      <w:r>
        <w:t xml:space="preserve">The same simulation data answer a different question if we read them as a workflow-vs-workflow contrast rather than an estimator-vs-estimator contrast. The decision-rule table below summarises what a traditional analyst would have reported under each scenario versus what the prespecified staged decision rule returns. The estimates and CIs are unchanged; only the decision-rule overlay is new.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workflow-contras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Decision-rule overlay on the three simulation scenarios. The estimator fits are held fixed; only the prespecified decision applied before outcome access differs.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Traditional pipeline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Outcome-blind workflow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they differ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A. Good overlap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 prespecified TMLE; report a non-null effect; SE / SD ratio near 1; coverage at nominal 95 %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GO</w:t>
                  </w:r>
                  <w:r>
                    <w:t xml:space="preserve">; same point estimate and CI as the traditional pipeline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practical 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B. Marginal overlap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 prespecified TMLE; report. IPTW IF-SE is conservative (SE/SD ≈ 1.23) because the PS is treated as known; matched-TMLE IF-SE is approximately calibrated (SE/SD ≈ 1.04) in this scenario. Many reviewers will not catch the IPTW over-coverage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GO with FLAG</w:t>
                  </w:r>
                  <w:r>
                    <w:t xml:space="preserve"> </w:t>
                  </w:r>
                  <w:r>
                    <w:t xml:space="preserve">on IPTW variance calibration; the workflow surfaces this before unblinding and reports the matched-TMLE bootstrap coverage alongside the influence-function coverage so the better-calibrated method is chosen empirically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workflow surfaces the variance calibration issue as part of the dossier; the traditional pipeline relies on the reviewer to catch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C. Unmeasured confounding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 prespecified TMLE; report a biased non-null estimate (mean bias 0.007, coverage 0.93). Without an external probe, this estimate would be published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STOP</w:t>
                  </w:r>
                  <w:r>
                    <w:t xml:space="preserve"> </w:t>
                  </w:r>
                  <w:r>
                    <w:t xml:space="preserve">under the prespecified unmeasured-U DQ scenario; the locked analysis does not run as planned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workflow blocks publication of the biased estimate; the traditional pipeline does not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The contrast is clearest in Scenario C: both pipelines have identical fits because the same nuisance models are used, but the workflow’s prespecified rule refuses to authorise the Stage 4 analysis once the unmeasured-U row of the DQ stress test exceeds the locked bias threshold. The traditional pipeline has no equivalent block.</w:t>
      </w:r>
    </w:p>
    <w:p>
      <w:pPr>
        <w:pStyle w:val="BodyText"/>
      </w:pPr>
      <w:r>
        <w:t xml:space="preserve">The workflow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invent free bias reduction. In Scenario C the TMLE bias is the same under both pipelines (0.007); the workflow’s contribution is the decision rule, not a different estimator.</w:t>
      </w:r>
    </w:p>
    <w:p>
      <w:pPr>
        <w:pStyle w:val="BodyText"/>
      </w:pPr>
      <w:r>
        <w:t xml:space="preserve">A note on what the simulation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show: it does not compare a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fixed-library TMLE against a</w:t>
      </w:r>
      <w:r>
        <w:t xml:space="preserve"> </w:t>
      </w:r>
      <w:r>
        <w:rPr>
          <w:i/>
          <w:iCs/>
        </w:rPr>
        <w:t xml:space="preserve">plasmode-selected</w:t>
      </w:r>
      <w:r>
        <w:t xml:space="preserve"> </w:t>
      </w:r>
      <w:r>
        <w:t xml:space="preserve">TMLE under varied DGPs (the workflow-contrast-C question). That comparison is reported in a standalone analysis (see</w:t>
      </w:r>
      <w:r>
        <w:t xml:space="preserve"> </w:t>
      </w:r>
      <w:r>
        <w:rPr>
          <w:rStyle w:val="VerbatimChar"/>
        </w:rPr>
        <w:t xml:space="preserve">reports/workflow_contrast_c.qmd</w:t>
      </w:r>
      <w:r>
        <w:t xml:space="preserve"> </w:t>
      </w:r>
      <w:r>
        <w:t xml:space="preserve">in the project repository).</w:t>
      </w:r>
    </w:p>
    <w:bookmarkEnd w:id="81"/>
    <w:bookmarkEnd w:id="82"/>
    <w:bookmarkStart w:id="91" w:name="plasmode-dq-stress-test-results"/>
    <w:p>
      <w:pPr>
        <w:pStyle w:val="Heading2"/>
      </w:pPr>
      <w:r>
        <w:t xml:space="preserve">9.3 Plasmode DQ stress-test results</w:t>
      </w:r>
    </w:p>
    <w:bookmarkStart w:id="83" w:name="scenario-a-good-overlap"/>
    <w:p>
      <w:pPr>
        <w:pStyle w:val="Heading3"/>
      </w:pPr>
      <w:r>
        <w:t xml:space="preserve">9.3.1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aggressive</w:t>
      </w:r>
    </w:p>
    <w:p>
      <w:pPr>
        <w:pStyle w:val="TableCaption"/>
      </w:pPr>
      <w:r>
        <w:t xml:space="preserve">DQ degradation: Scenario A: Good Overlap (candidate: aggressive)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aggressive)"/>
      </w:tblPr>
      <w:tblGrid>
        <w:gridCol w:w="214"/>
        <w:gridCol w:w="1141"/>
        <w:gridCol w:w="1284"/>
        <w:gridCol w:w="998"/>
        <w:gridCol w:w="998"/>
        <w:gridCol w:w="784"/>
        <w:gridCol w:w="927"/>
        <w:gridCol w:w="927"/>
        <w:gridCol w:w="64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OR_trt3.0_out3.0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OR_trt4.0_out4.0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OR_trt6.0_out6.0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OR_trt8.0_out8.0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</w:tbl>
    <w:bookmarkEnd w:id="83"/>
    <w:bookmarkStart w:id="84" w:name="scenario-b-marginal-overlap"/>
    <w:p>
      <w:pPr>
        <w:pStyle w:val="Heading3"/>
      </w:pPr>
      <w:r>
        <w:t xml:space="preserve">9.3.2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robust</w:t>
      </w:r>
    </w:p>
    <w:p>
      <w:pPr>
        <w:pStyle w:val="TableCaption"/>
      </w:pPr>
      <w:r>
        <w:t xml:space="preserve">DQ degradation: Scenario B: Marginal Overlap (candidate: robust)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robust)"/>
      </w:tblPr>
      <w:tblGrid>
        <w:gridCol w:w="214"/>
        <w:gridCol w:w="1141"/>
        <w:gridCol w:w="1284"/>
        <w:gridCol w:w="998"/>
        <w:gridCol w:w="998"/>
        <w:gridCol w:w="784"/>
        <w:gridCol w:w="927"/>
        <w:gridCol w:w="927"/>
        <w:gridCol w:w="64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OR_trt3.0_out3.0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OR_trt4.0_out4.0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OR_trt6.0_out6.0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OR_trt8.0_out8.0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</w:t>
            </w:r>
          </w:p>
        </w:tc>
      </w:tr>
    </w:tbl>
    <w:bookmarkEnd w:id="84"/>
    <w:bookmarkStart w:id="85" w:name="scenario-c-unmeasured-confounding"/>
    <w:p>
      <w:pPr>
        <w:pStyle w:val="Heading3"/>
      </w:pPr>
      <w:r>
        <w:t xml:space="preserve">9.3.3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aggressive</w:t>
      </w:r>
    </w:p>
    <w:p>
      <w:pPr>
        <w:pStyle w:val="TableCaption"/>
      </w:pPr>
      <w:r>
        <w:t xml:space="preserve">DQ degradation: Scenario C: Unmeasured Confounding (candidate: aggressive)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aggressive)"/>
      </w:tblPr>
      <w:tblGrid>
        <w:gridCol w:w="214"/>
        <w:gridCol w:w="1141"/>
        <w:gridCol w:w="1284"/>
        <w:gridCol w:w="998"/>
        <w:gridCol w:w="998"/>
        <w:gridCol w:w="784"/>
        <w:gridCol w:w="927"/>
        <w:gridCol w:w="927"/>
        <w:gridCol w:w="64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OR_trt3.0_out3.0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OR_trt4.0_out4.0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OR_trt6.0_out6.0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OR_trt8.0_out8.0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slope_x4.0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</w:tbl>
    <w:bookmarkEnd w:id="85"/>
    <w:bookmarkStart w:id="89" w:name="reading-the-degradation-gradient"/>
    <w:p>
      <w:pPr>
        <w:pStyle w:val="Heading3"/>
      </w:pPr>
      <w:r>
        <w:t xml:space="preserve">9.3.4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hyperlink w:anchor="sec-limitations">
        <w:r>
          <w:rPr>
            <w:rStyle w:val="Hyperlink"/>
          </w:rPr>
          <w:t xml:space="preserve">Section 12.4</w:t>
        </w:r>
      </w:hyperlink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7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9"/>
    <w:bookmarkStart w:id="90" w:name="X5279e1ced4d2fe9dcc6c52ed678abd8f92e4cc2"/>
    <w:p>
      <w:pPr>
        <w:pStyle w:val="Heading3"/>
      </w:pPr>
      <w:r>
        <w:t xml:space="preserve">9.3.5 FIORD two-stage selector on the cached plasmode</w:t>
      </w:r>
    </w:p>
    <w:p>
      <w:pPr>
        <w:pStyle w:val="FirstParagraph"/>
      </w:pPr>
      <w:r>
        <w:t xml:space="preserve">Applied to the cached</w:t>
      </w:r>
      <w:r>
        <w:t xml:space="preserve"> </w:t>
      </w:r>
      <w:r>
        <w:rPr>
          <w:rStyle w:val="VerbatimChar"/>
        </w:rPr>
        <w:t xml:space="preserve">plasmode_*.csv</w:t>
      </w:r>
      <w:r>
        <w:t xml:space="preserve"> </w:t>
      </w:r>
      <w:r>
        <w:t xml:space="preserve">candidate-evaluation tables, the FIORD two-stage selector first screens candidates whose oracle coverage is within</w:t>
      </w:r>
      <w:r>
        <w:t xml:space="preserve"> </w:t>
      </w:r>
      <w:r>
        <w:rPr>
          <w:rStyle w:val="VerbatimChar"/>
        </w:rPr>
        <w:t xml:space="preserve">fiord_coverage_tol = 0.02</w:t>
      </w:r>
      <w:r>
        <w:t xml:space="preserve"> </w:t>
      </w:r>
      <w:r>
        <w:t xml:space="preserve">of the nominal 0.95, then picks the candidate with the smallest mean SE among the survivors. The single-step</w:t>
      </w:r>
      <w:r>
        <w:t xml:space="preserve"> </w:t>
      </w:r>
      <w:r>
        <w:rPr>
          <w:rStyle w:val="VerbatimChar"/>
        </w:rPr>
        <w:t xml:space="preserve">rule = "min_rmse"</w:t>
      </w:r>
      <w:r>
        <w:t xml:space="preserve"> </w:t>
      </w:r>
      <w:r>
        <w:t xml:space="preserve">rule that the manuscript currently uses does not separate the two stages and can choose a candidate whose coverage is on the edge of acceptable but whose RMSE is technically smallest.</w:t>
      </w:r>
    </w:p>
    <w:p>
      <w:pPr>
        <w:pStyle w:val="TableCaption"/>
      </w:pPr>
      <w:r>
        <w:t xml:space="preserve">Single-step minimax (current cleanTMLE default) vs FIORD two-stage selector on the cached plasmode candidate metrics, by scenario. When the two columns disagree, the FIORD selector is choosing a candidate that achieves nominal oracle coverage at a slightly higher RMSE.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ingle-step minimax (current cleanTMLE default) vs FIORD two-stage selector on the cached plasmode candidate metrics, by scenario. When the two columns disagree, the FIORD selector is choosing a candidate that achieves nominal oracle coverage at a slightly higher RMSE."/>
      </w:tblPr>
      <w:tblGrid>
        <w:gridCol w:w="1795"/>
        <w:gridCol w:w="2217"/>
        <w:gridCol w:w="39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single_step_min_rmse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fiord_two_stage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good_overlap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(no candidate within tol)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marginal_overlap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(no candidate within tol)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unmeasured_conf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(no candidate within tol)</w:t>
            </w:r>
          </w:p>
        </w:tc>
      </w:tr>
    </w:tbl>
    <w:p>
      <w:pPr>
        <w:pStyle w:val="BodyText"/>
      </w:pPr>
      <w:r>
        <w:t xml:space="preserve">With the two-candidate GLM-only grid used in</w:t>
      </w:r>
      <w:r>
        <w:t xml:space="preserve"> 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, the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candidates differ by less than 0.001 in</w:t>
      </w:r>
      <w:r>
        <w:t xml:space="preserve"> </w:t>
      </w:r>
      <w:r>
        <w:t xml:space="preserve">RMSE across scenarios, so both selectors choose the same candidate</w:t>
      </w:r>
      <w:r>
        <w:t xml:space="preserve"> </w:t>
      </w:r>
      <w:r>
        <w:t xml:space="preserve">in every cell. This grid is too narrow to exercise the contrast</w:t>
      </w:r>
      <w:r>
        <w:t xml:space="preserve"> </w:t>
      </w:r>
      <w:r>
        <w:t xml:space="preserve">between the two rules. The FIORD coverage screen remains informative</w:t>
      </w:r>
      <w:r>
        <w:t xml:space="preserve"> </w:t>
      </w:r>
      <w:r>
        <w:t xml:space="preserve">as a diagnostic. Under marginal overlap (Scenario B) neither</w:t>
      </w:r>
      <w:r>
        <w:t xml:space="preserve"> </w:t>
      </w:r>
      <w:r>
        <w:t xml:space="preserve">candidate achieves oracle coverage within the 0.02 tolerance of</w:t>
      </w:r>
      <w:r>
        <w:t xml:space="preserve"> </w:t>
      </w:r>
      <w:r>
        <w:t xml:space="preserve">nominal, which the table flags as</w:t>
      </w:r>
      <w:r>
        <w:t xml:space="preserve"> </w:t>
      </w:r>
      <w:r>
        <w:t xml:space="preserve">“no candidate within tol”</w:t>
      </w:r>
      <w:r>
        <w:t xml:space="preserve">, a</w:t>
      </w:r>
      <w:r>
        <w:t xml:space="preserve"> </w:t>
      </w:r>
      <w:r>
        <w:t xml:space="preserve">property of the near-positivity DGP at this replicate count. The</w:t>
      </w:r>
      <w:r>
        <w:t xml:space="preserve"> </w:t>
      </w:r>
      <w:r>
        <w:t xml:space="preserve">contrast between</w:t>
      </w:r>
      <w:r>
        <w:t xml:space="preserve"> </w:t>
      </w:r>
      <w:r>
        <w:rPr>
          <w:rStyle w:val="VerbatimChar"/>
        </w:rPr>
        <w:t xml:space="preserve">min_rmse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min_max_rmse</w:t>
      </w:r>
      <w:r>
        <w:t xml:space="preserve"> </w:t>
      </w:r>
      <w:r>
        <w:t xml:space="preserve">becomes substantive</w:t>
      </w:r>
      <w:r>
        <w:t xml:space="preserve"> </w:t>
      </w:r>
      <w:r>
        <w:t xml:space="preserve">when the candidate grid separates the candidates, which the</w:t>
      </w:r>
      <w:r>
        <w:t xml:space="preserve"> </w:t>
      </w:r>
      <w:r>
        <w:t xml:space="preserve">constructed demonstration in</w:t>
      </w:r>
      <w:r>
        <w:t xml:space="preserve"> </w:t>
      </w:r>
      <w:hyperlink w:anchor="sec-divergence">
        <w:r>
          <w:rPr>
            <w:rStyle w:val="Hyperlink"/>
          </w:rPr>
          <w:t xml:space="preserve">Section 9.4</w:t>
        </w:r>
      </w:hyperlink>
      <w:r>
        <w:t xml:space="preserve"> </w:t>
      </w:r>
      <w:r>
        <w:t xml:space="preserve">exhibits.</w:t>
      </w:r>
    </w:p>
    <w:bookmarkEnd w:id="90"/>
    <w:bookmarkEnd w:id="91"/>
    <w:bookmarkStart w:id="96" w:name="sec-divergence"/>
    <w:p>
      <w:pPr>
        <w:pStyle w:val="Heading2"/>
      </w:pPr>
      <w:r>
        <w:t xml:space="preserve">9.4 Demonstrating that the minimax rule changes the decision</w:t>
      </w:r>
    </w:p>
    <w:p>
      <w:pPr>
        <w:pStyle w:val="FirstParagraph"/>
      </w:pPr>
      <w:r>
        <w:t xml:space="preserve">The grid above does not separate the candidates, so it cannot show the</w:t>
      </w:r>
      <w:r>
        <w:t xml:space="preserve"> </w:t>
      </w:r>
      <w:r>
        <w:rPr>
          <w:rStyle w:val="VerbatimChar"/>
        </w:rPr>
        <w:t xml:space="preserve">min_max_rmse</w:t>
      </w:r>
      <w:r>
        <w:t xml:space="preserve"> </w:t>
      </w:r>
      <w:r>
        <w:t xml:space="preserve">rule selecting a different candidate from</w:t>
      </w:r>
      <w:r>
        <w:t xml:space="preserve"> </w:t>
      </w:r>
      <w:r>
        <w:rPr>
          <w:rStyle w:val="VerbatimChar"/>
        </w:rPr>
        <w:t xml:space="preserve">min_rmse</w:t>
      </w:r>
      <w:r>
        <w:t xml:space="preserve">. We</w:t>
      </w:r>
      <w:r>
        <w:t xml:space="preserve"> </w:t>
      </w:r>
      <w:r>
        <w:t xml:space="preserve">therefore report a constructed demonstration whose purpose is existence: it</w:t>
      </w:r>
      <w:r>
        <w:t xml:space="preserve"> </w:t>
      </w:r>
      <w:r>
        <w:t xml:space="preserve">shows that realistic threat configurations exist under which the two rules</w:t>
      </w:r>
      <w:r>
        <w:t xml:space="preserve"> </w:t>
      </w:r>
      <w:r>
        <w:t xml:space="preserve">diverge. The severities were chosen to exhibit the mechanism, so the</w:t>
      </w:r>
      <w:r>
        <w:t xml:space="preserve"> </w:t>
      </w:r>
      <w:r>
        <w:t xml:space="preserve">demonstration establishes that divergence is possible rather than that it is</w:t>
      </w:r>
      <w:r>
        <w:t xml:space="preserve"> </w:t>
      </w:r>
      <w:r>
        <w:t xml:space="preserve">generic. The whole sweep runs through the package functions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near_positivity</w:t>
      </w:r>
      <w:r>
        <w:t xml:space="preserve"> </w:t>
      </w:r>
      <w:r>
        <w:t xml:space="preserve">as a first-class threat), and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, on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run_simulation.R</w:t>
      </w:r>
      <w:r>
        <w:t xml:space="preserve"> </w:t>
      </w:r>
      <w:r>
        <w:t xml:space="preserve">data-generating process. The driver and its results</w:t>
      </w:r>
      <w:r>
        <w:t xml:space="preserve"> </w:t>
      </w:r>
      <w:r>
        <w:t xml:space="preserve">are in the companion repository (</w:t>
      </w:r>
      <w:r>
        <w:rPr>
          <w:rStyle w:val="VerbatimChar"/>
        </w:rPr>
        <w:t xml:space="preserve">sandbox/candidate_divergence/</w:t>
      </w:r>
      <w:r>
        <w:t xml:space="preserve">).</w:t>
      </w:r>
    </w:p>
    <w:p>
      <w:pPr>
        <w:pStyle w:val="BodyText"/>
      </w:pPr>
      <w:r>
        <w:t xml:space="preserve">The candidates differ in one design choice, the propensity-score truncation</w:t>
      </w:r>
      <w:r>
        <w:t xml:space="preserve"> </w:t>
      </w:r>
      <w:r>
        <w:t xml:space="preserve">threshold, with a main-effects GLM propensity model throughout. The grid is</w:t>
      </w:r>
      <w:r>
        <w:t xml:space="preserve"> </w:t>
      </w:r>
      <w:r>
        <w:t xml:space="preserve">aggressive (truncation 0.001), middle (0.025), and robust (0.20). Three</w:t>
      </w:r>
      <w:r>
        <w:t xml:space="preserve"> </w:t>
      </w:r>
      <w:r>
        <w:t xml:space="preserve">prespecified threats are swept at increasing severity. The first is a</w:t>
      </w:r>
      <w:r>
        <w:t xml:space="preserve"> </w:t>
      </w:r>
      <w:r>
        <w:t xml:space="preserve">practical positivity violation, implemented by amplifying the</w:t>
      </w:r>
      <w:r>
        <w:t xml:space="preserve"> </w:t>
      </w:r>
      <w:r>
        <w:t xml:space="preserve">covariate-to-treatment association so a subgroup approaches deterministic</w:t>
      </w:r>
      <w:r>
        <w:t xml:space="preserve"> </w:t>
      </w:r>
      <w:r>
        <w:t xml:space="preserve">treatment and the estimated propensity score reaches the boundary. The second</w:t>
      </w:r>
      <w:r>
        <w:t xml:space="preserve"> </w:t>
      </w:r>
      <w:r>
        <w:t xml:space="preserve">is unmeasured confounding with a latent binary factor shifting treatment and</w:t>
      </w:r>
      <w:r>
        <w:t xml:space="preserve"> </w:t>
      </w:r>
      <w:r>
        <w:t xml:space="preserve">outcome on the odds scale across odds ratios from 3 to 8. The third is</w:t>
      </w:r>
      <w:r>
        <w:t xml:space="preserve"> </w:t>
      </w:r>
      <w:r>
        <w:t xml:space="preserve">covariate missingness completely at random with median imputation. Decision</w:t>
      </w:r>
      <w:r>
        <w:t xml:space="preserve"> </w:t>
      </w:r>
      <w:r>
        <w:t xml:space="preserve">thresholds were locked before the sweep, allowing at most a doubling of root</w:t>
      </w:r>
      <w:r>
        <w:t xml:space="preserve"> </w:t>
      </w:r>
      <w:r>
        <w:t xml:space="preserve">mean squared error relative to a candidate’s own baseline. The study uses 200</w:t>
      </w:r>
      <w:r>
        <w:t xml:space="preserve"> </w:t>
      </w:r>
      <w:r>
        <w:t xml:space="preserve">synthetic replicates per cell and five independent batches, and reports Monte</w:t>
      </w:r>
      <w:r>
        <w:t xml:space="preserve"> </w:t>
      </w:r>
      <w:r>
        <w:t xml:space="preserve">Carlo standard errors from the between-batch spread.</w:t>
      </w:r>
    </w:p>
    <w:p>
      <w:pPr>
        <w:pStyle w:val="TableCaption"/>
      </w:pPr>
      <w:r>
        <w:t xml:space="preserve">Baseline and worst-case root mean squared error for the three truncation candidates, each with Monte Carlo standard error, and the candidate each rule selects.</w:t>
      </w:r>
      <w:r>
        <w:t xml:space="preserve"> </w:t>
      </w:r>
      <w:r>
        <w:rPr>
          <w:rStyle w:val="VerbatimChar"/>
        </w:rPr>
        <w:t xml:space="preserve">min_rmse</w:t>
      </w:r>
      <w:r>
        <w:t xml:space="preserve"> </w:t>
      </w:r>
      <w:r>
        <w:t xml:space="preserve">selects the robust candidate;</w:t>
      </w:r>
      <w:r>
        <w:t xml:space="preserve"> </w:t>
      </w:r>
      <w:r>
        <w:rPr>
          <w:rStyle w:val="VerbatimChar"/>
        </w:rPr>
        <w:t xml:space="preserve">min_max_rmse</w:t>
      </w:r>
      <w:r>
        <w:t xml:space="preserve"> </w:t>
      </w:r>
      <w:r>
        <w:t xml:space="preserve">selects the middle candidate.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seline and worst-case root mean squared error for the three truncation candidates, each with Monte Carlo standard error, and the candidate each rule selects. min_rmse selects the robust candidate; min_max_rmse selects the middle candidate."/>
      </w:tblPr>
      <w:tblGrid>
        <w:gridCol w:w="675"/>
        <w:gridCol w:w="859"/>
        <w:gridCol w:w="1350"/>
        <w:gridCol w:w="1473"/>
        <w:gridCol w:w="1964"/>
        <w:gridCol w:w="798"/>
        <w:gridCol w:w="7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 truncation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RMSE (MC 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Worst-case RMSE (MC 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threat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min_rmse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min_max_rmse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0.0214 (0.0004)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0.1495 (0.0010)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near_positivity [slope_x4.0]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0.0211 (0.0004)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0.0922 (0.0005)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 [OR_trt8.0_out8.0]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&lt;– selected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0.0184 (0.0003)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0.0977 (0.0006)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 [OR_trt8.0_out8.0]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&lt;– selected</w:t>
            </w:r>
          </w:p>
        </w:tc>
        <w:tc>
          <w:tcPr/>
          <w:p>
            <w:pPr>
              <w:pStyle w:val="Compact"/>
            </w:pP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divergence"/>
          <w:p>
            <w:pPr>
              <w:pStyle w:val="Compact"/>
              <w:jc w:val="center"/>
            </w:pPr>
            <w:r>
              <w:drawing>
                <wp:inline>
                  <wp:extent cx="5334000" cy="2424545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../sandbox/candidate_divergence/figures/degradation_gradient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24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Degradation gradient for the three truncation candidates. Panel A, the near-positivity threat: the aggressive candidate crosses the locked threshold (2x baseline, dashed) while the robust candidate stays below it. Panel B, the unmeasured-confounding threat: the robust candidate degrades the most. Each candidate is fragile to a different threat, and the middle candidate has the lowest worst case.</w:t>
            </w:r>
          </w:p>
          <w:bookmarkEnd w:id="95"/>
        </w:tc>
      </w:tr>
    </w:tbl>
    <w:p>
      <w:pPr>
        <w:pStyle w:val="BodyText"/>
      </w:pPr>
      <w:r>
        <w:t xml:space="preserve">At baseline the heaviest truncation has the lowest root mean squared error</w:t>
      </w:r>
      <w:r>
        <w:t xml:space="preserve"> </w:t>
      </w:r>
      <w:r>
        <w:t xml:space="preserve">(0.0184 for robust against</w:t>
      </w:r>
      <w:r>
        <w:t xml:space="preserve"> </w:t>
      </w:r>
      <w:r>
        <w:t xml:space="preserve">0.0211 for middle and</w:t>
      </w:r>
      <w:r>
        <w:t xml:space="preserve"> </w:t>
      </w:r>
      <w:r>
        <w:t xml:space="preserve">0.0214 for aggressive), because under double</w:t>
      </w:r>
      <w:r>
        <w:t xml:space="preserve"> </w:t>
      </w:r>
      <w:r>
        <w:t xml:space="preserve">robustness clipping the smallest propensity scores removes weight variance at</w:t>
      </w:r>
      <w:r>
        <w:t xml:space="preserve"> </w:t>
      </w:r>
      <w:r>
        <w:t xml:space="preserve">almost no cost in bias. The</w:t>
      </w:r>
      <w:r>
        <w:t xml:space="preserve"> </w:t>
      </w:r>
      <w:r>
        <w:rPr>
          <w:rStyle w:val="VerbatimChar"/>
        </w:rPr>
        <w:t xml:space="preserve">min_rmse</w:t>
      </w:r>
      <w:r>
        <w:t xml:space="preserve"> </w:t>
      </w:r>
      <w:r>
        <w:t xml:space="preserve">rule therefore selects the robust</w:t>
      </w:r>
      <w:r>
        <w:t xml:space="preserve"> </w:t>
      </w:r>
      <w:r>
        <w:t xml:space="preserve">candidate. The threat sweep reorders the candidates. Under the positivity</w:t>
      </w:r>
      <w:r>
        <w:t xml:space="preserve"> </w:t>
      </w:r>
      <w:r>
        <w:t xml:space="preserve">violation the aggressive candidate’s inverse-probability weights reach a mean</w:t>
      </w:r>
      <w:r>
        <w:t xml:space="preserve"> </w:t>
      </w:r>
      <w:r>
        <w:t xml:space="preserve">maximum near 1,000 and its error rises past seven times baseline (</w:t>
      </w:r>
      <w:hyperlink w:anchor="fig-divergence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Panel A), well beyond the locked threshold, while truncation caps the weights</w:t>
      </w:r>
      <w:r>
        <w:t xml:space="preserve"> </w:t>
      </w:r>
      <w:r>
        <w:t xml:space="preserve">for the other two candidates. The binding threat for the middle and robust</w:t>
      </w:r>
      <w:r>
        <w:t xml:space="preserve"> </w:t>
      </w:r>
      <w:r>
        <w:t xml:space="preserve">candidates is the strongest unmeasured confounding, where the heaviest</w:t>
      </w:r>
      <w:r>
        <w:t xml:space="preserve"> </w:t>
      </w:r>
      <w:r>
        <w:t xml:space="preserve">truncation is the most exposed, since the observations it discards carry the</w:t>
      </w:r>
      <w:r>
        <w:t xml:space="preserve"> </w:t>
      </w:r>
      <w:r>
        <w:t xml:space="preserve">information needed to offset the latent factor (Panel B). Taking each</w:t>
      </w:r>
      <w:r>
        <w:t xml:space="preserve"> </w:t>
      </w:r>
      <w:r>
        <w:t xml:space="preserve">candidate’s worst case across all threats gives</w:t>
      </w:r>
      <w:r>
        <w:t xml:space="preserve"> </w:t>
      </w:r>
      <w:r>
        <w:t xml:space="preserve">0.1495 for aggressive,</w:t>
      </w:r>
      <w:r>
        <w:t xml:space="preserve"> </w:t>
      </w:r>
      <w:r>
        <w:t xml:space="preserve">0.0977 for robust, and</w:t>
      </w:r>
      <w:r>
        <w:t xml:space="preserve"> </w:t>
      </w:r>
      <w:r>
        <w:t xml:space="preserve">0.0922 for middle. The</w:t>
      </w:r>
      <w:r>
        <w:t xml:space="preserve"> </w:t>
      </w:r>
      <w:r>
        <w:rPr>
          <w:rStyle w:val="VerbatimChar"/>
        </w:rPr>
        <w:t xml:space="preserve">min_max_rmse</w:t>
      </w:r>
      <w:r>
        <w:t xml:space="preserve"> </w:t>
      </w:r>
      <w:r>
        <w:t xml:space="preserve">rule</w:t>
      </w:r>
      <w:r>
        <w:t xml:space="preserve"> </w:t>
      </w:r>
      <w:r>
        <w:t xml:space="preserve">therefore selects the middle candidate. The two rules disagree, the</w:t>
      </w:r>
      <w:r>
        <w:t xml:space="preserve"> </w:t>
      </w:r>
      <w:r>
        <w:t xml:space="preserve">disagreement holds in all five batches, and the worst-case separation between</w:t>
      </w:r>
      <w:r>
        <w:t xml:space="preserve"> </w:t>
      </w:r>
      <w:r>
        <w:t xml:space="preserve">the two selected candidates is</w:t>
      </w:r>
      <w:r>
        <w:t xml:space="preserve"> </w:t>
      </w:r>
      <w:r>
        <w:t xml:space="preserve">0.0055 against a combined Monte Carlo standard</w:t>
      </w:r>
      <w:r>
        <w:t xml:space="preserve"> </w:t>
      </w:r>
      <w:r>
        <w:t xml:space="preserve">error of 0.0008, so the change in decision is a</w:t>
      </w:r>
      <w:r>
        <w:t xml:space="preserve"> </w:t>
      </w:r>
      <w:r>
        <w:t xml:space="preserve">property of the design and not simulation noise.</w:t>
      </w:r>
    </w:p>
    <w:p>
      <w:pPr>
        <w:pStyle w:val="BodyText"/>
      </w:pPr>
      <w:r>
        <w:t xml:space="preserve">Propensity-score truncation trades variance against robustness, and the two</w:t>
      </w:r>
      <w:r>
        <w:t xml:space="preserve"> </w:t>
      </w:r>
      <w:r>
        <w:t xml:space="preserve">rules reward opposite ends of that trade. A rule that ranks candidates on</w:t>
      </w:r>
      <w:r>
        <w:t xml:space="preserve"> </w:t>
      </w:r>
      <w:r>
        <w:t xml:space="preserve">performance in an undisturbed reference sample rewards the heaviest truncation.</w:t>
      </w:r>
      <w:r>
        <w:t xml:space="preserve"> </w:t>
      </w:r>
      <w:r>
        <w:t xml:space="preserve">The same heavy truncation is the least able to recover from strong unmeasured</w:t>
      </w:r>
      <w:r>
        <w:t xml:space="preserve"> </w:t>
      </w:r>
      <w:r>
        <w:t xml:space="preserve">confounding, and the lightest truncation is destroyed by the positivity</w:t>
      </w:r>
      <w:r>
        <w:t xml:space="preserve"> </w:t>
      </w:r>
      <w:r>
        <w:t xml:space="preserve">violation. The intermediate truncation has neither failure at full severity, so</w:t>
      </w:r>
      <w:r>
        <w:t xml:space="preserve"> </w:t>
      </w:r>
      <w:r>
        <w:t xml:space="preserve">the worst-case rule selects it. This is a constructed illustration rather than a</w:t>
      </w:r>
      <w:r>
        <w:t xml:space="preserve"> </w:t>
      </w:r>
      <w:r>
        <w:t xml:space="preserve">property of every grid, and it does not weaken the prespecification logic of the</w:t>
      </w:r>
      <w:r>
        <w:t xml:space="preserve"> </w:t>
      </w:r>
      <w:r>
        <w:t xml:space="preserve">workflow. The threat list and its severities are declared in the locked</w:t>
      </w:r>
      <w:r>
        <w:t xml:space="preserve"> </w:t>
      </w:r>
      <w:r>
        <w:t xml:space="preserve">analysis plan, and the demonstration shows why declaring them, and selecting</w:t>
      </w:r>
      <w:r>
        <w:t xml:space="preserve"> </w:t>
      </w:r>
      <w:r>
        <w:t xml:space="preserve">against the worst case, can change which estimator is locked.</w:t>
      </w:r>
    </w:p>
    <w:bookmarkEnd w:id="96"/>
    <w:bookmarkStart w:id="97" w:name="sec-evalue"/>
    <w:p>
      <w:pPr>
        <w:pStyle w:val="Heading2"/>
      </w:pPr>
      <w:r>
        <w:t xml:space="preserve">9.5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0.01646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OR_trt3.0_out3.0</w:t>
            </w:r>
          </w:p>
        </w:tc>
        <w:tc>
          <w:tcPr/>
          <w:p>
            <w:pPr>
              <w:pStyle w:val="Compact"/>
            </w:pPr>
            <w:r>
              <w:t xml:space="preserve">0.02697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OR_trt4.0_out4.0</w:t>
            </w:r>
          </w:p>
        </w:tc>
        <w:tc>
          <w:tcPr/>
          <w:p>
            <w:pPr>
              <w:pStyle w:val="Compact"/>
            </w:pPr>
            <w:r>
              <w:t xml:space="preserve">0.04293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OR_trt6.0_out6.0</w:t>
            </w:r>
          </w:p>
        </w:tc>
        <w:tc>
          <w:tcPr/>
          <w:p>
            <w:pPr>
              <w:pStyle w:val="Compact"/>
            </w:pPr>
            <w:r>
              <w:t xml:space="preserve">0.07645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OR_trt8.0_out8.0</w:t>
            </w:r>
          </w:p>
        </w:tc>
        <w:tc>
          <w:tcPr/>
          <w:p>
            <w:pPr>
              <w:pStyle w:val="Compact"/>
            </w:pPr>
            <w:r>
              <w:t xml:space="preserve">0.09560</w:t>
            </w:r>
          </w:p>
        </w:tc>
      </w:tr>
    </w:tbl>
    <w:bookmarkEnd w:id="97"/>
    <w:bookmarkEnd w:id="98"/>
    <w:bookmarkStart w:id="100" w:name="sec-gate-oc"/>
    <w:p>
      <w:pPr>
        <w:pStyle w:val="Heading1"/>
      </w:pPr>
      <w:r>
        <w:t xml:space="preserve">10. Operating characteristics of the pre-outcome gate</w:t>
      </w:r>
    </w:p>
    <w:p>
      <w:pPr>
        <w:pStyle w:val="FirstParagraph"/>
      </w:pPr>
      <w:r>
        <w:t xml:space="preserve">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shows the workflow returning the</w:t>
      </w:r>
      <w:r>
        <w:t xml:space="preserve"> </w:t>
      </w:r>
      <w:r>
        <w:t xml:space="preserve">prespecified staged verdict in three scenarios, but it does not</w:t>
      </w:r>
      <w:r>
        <w:t xml:space="preserve"> </w:t>
      </w:r>
      <w:r>
        <w:t xml:space="preserve">measure the screen</w:t>
      </w:r>
      <w:r>
        <w:t xml:space="preserve"> </w:t>
      </w:r>
      <w:r>
        <w:rPr>
          <w:i/>
          <w:iCs/>
        </w:rPr>
        <w:t xml:space="preserve">as a decision rule</w:t>
      </w:r>
      <w:r>
        <w:t xml:space="preserve">. A reviewer is entitled to ask</w:t>
      </w:r>
      <w:r>
        <w:t xml:space="preserve"> </w:t>
      </w:r>
      <w:r>
        <w:t xml:space="preserve">how often the gate’s verdict agrees with the verdict an oracle would</w:t>
      </w:r>
      <w:r>
        <w:t xml:space="preserve"> </w:t>
      </w:r>
      <w:r>
        <w:t xml:space="preserve">reach knowing the realised estimator’s true bias, and how that agreement</w:t>
      </w:r>
      <w:r>
        <w:t xml:space="preserve"> </w:t>
      </w:r>
      <w:r>
        <w:t xml:space="preserve">degrades when the synthetic-outcome model is misspecified. We answer this</w:t>
      </w:r>
      <w:r>
        <w:t xml:space="preserve"> </w:t>
      </w:r>
      <w:r>
        <w:t xml:space="preserve">with a calibration meta-simulation (</w:t>
      </w:r>
      <w:r>
        <w:rPr>
          <w:rStyle w:val="VerbatimChar"/>
        </w:rPr>
        <w:t xml:space="preserve">run_gate_operating_characteristics.R</w:t>
      </w:r>
      <w:r>
        <w:t xml:space="preserve"> </w:t>
      </w:r>
      <w:r>
        <w:t xml:space="preserve">in the companion repository).</w:t>
      </w:r>
    </w:p>
    <w:p>
      <w:pPr>
        <w:pStyle w:val="BodyText"/>
      </w:pPr>
      <w:r>
        <w:t xml:space="preserve">The design isolates the unmeasured-confounding threat. For a grid of true</w:t>
      </w:r>
      <w:r>
        <w:t xml:space="preserve"> </w:t>
      </w:r>
      <w:r>
        <w:t xml:space="preserve">confounder strengths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(odds ratios on both treatment and outcome), we</w:t>
      </w:r>
      <w:r>
        <w:t xml:space="preserve"> </w:t>
      </w:r>
      <w:r>
        <w:t xml:space="preserve">compute two quantities at each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bias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real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is the mean bias of the realised TMLE, adjusting for the measured</w:t>
      </w:r>
      <w:r>
        <w:t xml:space="preserve"> </w:t>
      </w:r>
      <w:r>
        <w:t xml:space="preserve">covariates only, when a true unmeasured confounder of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acts on</w:t>
      </w:r>
      <w:r>
        <w:t xml:space="preserve"> </w:t>
      </w:r>
      <w:r>
        <w:t xml:space="preserve">both the treatment and the outcome. The</w:t>
      </w:r>
      <w:r>
        <w:t xml:space="preserve"> </w:t>
      </w:r>
      <w:r>
        <w:rPr>
          <w:i/>
          <w:iCs/>
        </w:rPr>
        <w:t xml:space="preserve">screen-predicted</w:t>
      </w:r>
      <w:r>
        <w:t xml:space="preserve"> </w:t>
      </w:r>
      <w:r>
        <w:t xml:space="preserve">bias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screen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is what the outcome-blind plasmode screen</w:t>
      </w:r>
      <w:r>
        <w:t xml:space="preserve"> </w:t>
      </w:r>
      <w:r>
        <w:t xml:space="preserve">anticipates at the same strength: the treatment and outcome nuisance</w:t>
      </w:r>
      <w:r>
        <w:t xml:space="preserve"> </w:t>
      </w:r>
      <w:r>
        <w:t xml:space="preserve">surfaces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are fitted on the analyst’s cohort, a</w:t>
      </w:r>
      <w:r>
        <w:t xml:space="preserve"> </w:t>
      </w:r>
      <w:r>
        <w:t xml:space="preserve">what-if confounder of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injected into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synthetic</w:t>
      </w:r>
      <w:r>
        <w:t xml:space="preserve"> </w:t>
      </w:r>
      <w:r>
        <w:t xml:space="preserve">treatment and the synthetic outcome, and the same TMLE is scored against</w:t>
      </w:r>
      <w:r>
        <w:t xml:space="preserve"> </w:t>
      </w:r>
      <w:r>
        <w:t xml:space="preserve">the synthetic truth. The synthetic nuisances are fitted two ways, a</w:t>
      </w:r>
      <w:r>
        <w:t xml:space="preserve"> </w:t>
      </w:r>
      <w:r>
        <w:t xml:space="preserve">misspecified GLM and a flexible SuperLearner (GLM, MARS, and random</w:t>
      </w:r>
      <w:r>
        <w:t xml:space="preserve"> </w:t>
      </w:r>
      <w:r>
        <w:t xml:space="preserve">forest), under both a linear and a nonlinear true surface, and the locked</w:t>
      </w:r>
      <w:r>
        <w:t xml:space="preserve"> </w:t>
      </w:r>
      <w:r>
        <w:t xml:space="preserve">STOP threshold is applied to both the oracle and the screen. The realised</w:t>
      </w:r>
      <w:r>
        <w:t xml:space="preserve"> </w:t>
      </w:r>
      <w:r>
        <w:t xml:space="preserve">estimator uses a GLM nuisance library, so that under the nonlinear surface</w:t>
      </w:r>
      <w:r>
        <w:t xml:space="preserve"> </w:t>
      </w:r>
      <w:r>
        <w:t xml:space="preserve">its bias reflects nuisance misspecification as well as the omitted</w:t>
      </w:r>
      <w:r>
        <w:t xml:space="preserve"> </w:t>
      </w:r>
      <w:r>
        <w:t xml:space="preserve">confounder, and the screen can predict that bias only if its synthetic</w:t>
      </w:r>
      <w:r>
        <w:t xml:space="preserve"> </w:t>
      </w:r>
      <w:r>
        <w:t xml:space="preserve">nuisances reproduce the nonlinearity.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gate-o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Calibration of the pre-outcome gate. Oracle bias is the realised TMLE bias under a true confounder of the given strength; screen bias is the plasmode-predicted bias at the same strength under a GLM and a flexible (SuperLearner) synthetic-nuisance model. STOP columns apply the locked |bias| threshold (0.02).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1"/>
              <w:gridCol w:w="449"/>
              <w:gridCol w:w="449"/>
              <w:gridCol w:w="786"/>
              <w:gridCol w:w="1572"/>
              <w:gridCol w:w="1348"/>
              <w:gridCol w:w="674"/>
              <w:gridCol w:w="89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Surface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True 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True 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Bias (oracle)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Bias (screen, GLM nuisance)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Bias (screen, flexible)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STOP oracle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STOP screen GLM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STOP screen flexible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nonlinear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Against the oracle, the screen with a flexible (SuperLearner) synthetic-nuisance model attains sensitivity 1.00 and specificity 1.00; with a GLM synthetic-nuisance model these are 0.62 and 1.00. The gap between the two quantifies the cost of misspecifying the synthetic-nuisance model, the central plasmode pitfall</w:t>
      </w:r>
      <w:r>
        <w:t xml:space="preserve"> </w:t>
      </w:r>
      <w:r>
        <w:t xml:space="preserve">(Schreck et al. 2024)</w:t>
      </w:r>
      <w:r>
        <w:t xml:space="preserve">.</w:t>
      </w:r>
    </w:p>
    <w:p>
      <w:pPr>
        <w:pStyle w:val="BodyText"/>
      </w:pPr>
      <w:r>
        <w:t xml:space="preserve">Two patterns bound what the screen can and cannot predict. First, the screen</w:t>
      </w:r>
      <w:r>
        <w:t xml:space="preserve"> </w:t>
      </w:r>
      <w:r>
        <w:t xml:space="preserve">predicts the realised bias well only to the extent that the analyst names</w:t>
      </w:r>
      <w:r>
        <w:t xml:space="preserve"> </w:t>
      </w:r>
      <w:r>
        <w:t xml:space="preserve">a confounder of the right strength: it calibrates against threats of the</w:t>
      </w:r>
      <w:r>
        <w:t xml:space="preserve"> </w:t>
      </w:r>
      <w:r>
        <w:t xml:space="preserve">specified magnitude, but a true confounder stronger than anticipated is</w:t>
      </w:r>
      <w:r>
        <w:t xml:space="preserve"> </w:t>
      </w:r>
      <w:r>
        <w:t xml:space="preserve">not detected, so a STOP is evidence of fragility while a GO is not a</w:t>
      </w:r>
      <w:r>
        <w:t xml:space="preserve"> </w:t>
      </w:r>
      <w:r>
        <w:t xml:space="preserve">certificate of robustness (</w:t>
      </w:r>
      <w:hyperlink w:anchor="sec-guarantees">
        <w:r>
          <w:rPr>
            <w:rStyle w:val="Hyperlink"/>
          </w:rPr>
          <w:t xml:space="preserve">Section 7.5</w:t>
        </w:r>
      </w:hyperlink>
      <w:r>
        <w:t xml:space="preserve">). Second, under a nonlinear</w:t>
      </w:r>
      <w:r>
        <w:t xml:space="preserve"> </w:t>
      </w:r>
      <w:r>
        <w:t xml:space="preserve">true surface the GLM screen under-predicts the realised bias, because its</w:t>
      </w:r>
      <w:r>
        <w:t xml:space="preserve"> </w:t>
      </w:r>
      <w:r>
        <w:t xml:space="preserve">synthetic treatment and outcome surfaces are too simple to reproduce the</w:t>
      </w:r>
      <w:r>
        <w:t xml:space="preserve"> </w:t>
      </w:r>
      <w:r>
        <w:t xml:space="preserve">nuisance misspecification that biases the realised estimator, whereas the</w:t>
      </w:r>
      <w:r>
        <w:t xml:space="preserve"> </w:t>
      </w:r>
      <w:r>
        <w:t xml:space="preserve">flexible screen reproduces it and tracks the oracle more closely. This is</w:t>
      </w:r>
      <w:r>
        <w:t xml:space="preserve"> </w:t>
      </w:r>
      <w:r>
        <w:t xml:space="preserve">the reason the package exposes a</w:t>
      </w:r>
      <w:r>
        <w:t xml:space="preserve"> </w:t>
      </w:r>
      <w:r>
        <w:rPr>
          <w:rStyle w:val="VerbatimChar"/>
        </w:rPr>
        <w:t xml:space="preserve">q0_library</w:t>
      </w:r>
      <w:r>
        <w:t xml:space="preserve"> </w:t>
      </w:r>
      <w:r>
        <w:t xml:space="preserve">argument and why we</w:t>
      </w:r>
      <w:r>
        <w:t xml:space="preserve"> </w:t>
      </w:r>
      <w:r>
        <w:t xml:space="preserve">recommend a flexible synthetic-nuisance model. The run reported here uses</w:t>
      </w:r>
      <w:r>
        <w:t xml:space="preserve"> </w:t>
      </w:r>
      <w:hyperlink w:anchor="tbl-gate-oc">
        <w:r>
          <w:rPr>
            <w:rStyle w:val="Hyperlink"/>
          </w:rPr>
          <w:t xml:space="preserve">Table 5</w:t>
        </w:r>
      </w:hyperlink>
      <w:r>
        <w:t xml:space="preserve">’s replicate count with the Monte Carlo standard error of each</w:t>
      </w:r>
      <w:r>
        <w:t xml:space="preserve"> </w:t>
      </w:r>
      <w:r>
        <w:t xml:space="preserve">bias estimate; the script’s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is set higher for a final run.</w:t>
      </w:r>
    </w:p>
    <w:bookmarkEnd w:id="100"/>
    <w:bookmarkStart w:id="126" w:name="sec-casestudy"/>
    <w:p>
      <w:pPr>
        <w:pStyle w:val="Heading1"/>
      </w:pPr>
      <w:r>
        <w:t xml:space="preserve">11. Case Study: Rescue.Co Kenya Trauma Registry</w:t>
      </w:r>
    </w:p>
    <w:bookmarkStart w:id="101" w:name="why-a-real-data-workflow-demonstration"/>
    <w:p>
      <w:pPr>
        <w:pStyle w:val="Heading2"/>
      </w:pPr>
      <w:r>
        <w:t xml:space="preserve">11.1 Why a real-data workflow demonstration</w:t>
      </w:r>
    </w:p>
    <w:p>
      <w:pPr>
        <w:pStyle w:val="FirstParagraph"/>
      </w:pPr>
      <w:r>
        <w:t xml:space="preserve">We use the Rescue.Co Kenya Trauma Registry as a real</w:t>
      </w:r>
      <w:r>
        <w:t xml:space="preserve"> </w:t>
      </w:r>
      <w:r>
        <w:t xml:space="preserve">comparative-effectiveness study that exercises the full workflow on</w:t>
      </w:r>
      <w:r>
        <w:t xml:space="preserve"> </w:t>
      </w:r>
      <w:r>
        <w:t xml:space="preserve">genuine registry data, while presenting the resulting estimate as a</w:t>
      </w:r>
      <w:r>
        <w:t xml:space="preserve"> </w:t>
      </w:r>
      <w:r>
        <w:t xml:space="preserve">single illustrative application rather than as confirmatory evidence</w:t>
      </w:r>
      <w:r>
        <w:t xml:space="preserve"> </w:t>
      </w:r>
      <w:r>
        <w:t xml:space="preserve">about the causal effect of Rescue.Co transport. 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is small (5 covariates, n = 2,000, fully observed</w:t>
      </w:r>
      <w:r>
        <w:t xml:space="preserve"> </w:t>
      </w:r>
      <w:r>
        <w:t xml:space="preserve">outcome) by design, so that each threat can be controlled analytically.</w:t>
      </w:r>
      <w:r>
        <w:t xml:space="preserve"> </w:t>
      </w:r>
      <w:r>
        <w:t xml:space="preserve">A working framework also has to execute on real observational data:</w:t>
      </w:r>
      <w:r>
        <w:t xml:space="preserve"> </w:t>
      </w:r>
      <w:r>
        <w:t xml:space="preserve">covariates drawn from multiple instruments, outcomes missing for</w:t>
      </w:r>
      <w:r>
        <w:t xml:space="preserve"> </w:t>
      </w:r>
      <w:r>
        <w:t xml:space="preserve">non-trivial fractions of the cohort, and confounders the protocol did</w:t>
      </w:r>
      <w:r>
        <w:t xml:space="preserve"> </w:t>
      </w:r>
      <w:r>
        <w:t xml:space="preserve">not anticipate. The registry is an applied comparative-effectiveness</w:t>
      </w:r>
      <w:r>
        <w:t xml:space="preserve"> </w:t>
      </w:r>
      <w:r>
        <w:t xml:space="preserve">study at three Nairobi hospitals (KNH, Mama Lucy, Mbagathi) comparing</w:t>
      </w:r>
      <w:r>
        <w:t xml:space="preserve"> </w:t>
      </w:r>
      <w:r>
        <w:t xml:space="preserve">prehospital transport by a specialised emergency-medical-services</w:t>
      </w:r>
      <w:r>
        <w:t xml:space="preserve"> </w:t>
      </w:r>
      <w:r>
        <w:t xml:space="preserve">provider (Rescue.Co) with traditional ambulance care, on functional</w:t>
      </w:r>
      <w:r>
        <w:t xml:space="preserve"> </w:t>
      </w:r>
      <w:r>
        <w:t xml:space="preserve">outcome six months post-injury. All five stages were run on cleanTMLE</w:t>
      </w:r>
      <w:r>
        <w:t xml:space="preserve"> </w:t>
      </w:r>
      <w:r>
        <w:t xml:space="preserve">0.1.1, with the package version and the analysis-lock fingerprint</w:t>
      </w:r>
      <w:r>
        <w:t xml:space="preserve"> </w:t>
      </w:r>
      <w:r>
        <w:t xml:space="preserve">recorded in the released case-study metadata (supplementary materials),</w:t>
      </w:r>
      <w:r>
        <w:t xml:space="preserve"> </w:t>
      </w:r>
      <w:r>
        <w:t xml:space="preserve">and the example is fully reproducible from 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 The DQ stress test in this run</w:t>
      </w:r>
      <w:r>
        <w:t xml:space="preserve"> </w:t>
      </w:r>
      <w:r>
        <w:t xml:space="preserve">is reported at 200 replicates (see</w:t>
      </w:r>
      <w:r>
        <w:t xml:space="preserve"> </w:t>
      </w:r>
      <w:hyperlink w:anchor="sec-casestudy-dq">
        <w:r>
          <w:rPr>
            <w:rStyle w:val="Hyperlink"/>
          </w:rPr>
          <w:t xml:space="preserve">Section 11.4</w:t>
        </w:r>
      </w:hyperlink>
      <w:r>
        <w:t xml:space="preserve">). The example</w:t>
      </w:r>
      <w:r>
        <w:t xml:space="preserve"> </w:t>
      </w:r>
      <w:r>
        <w:t xml:space="preserve">illustrates a real-registry execution of the workflow and is not</w:t>
      </w:r>
      <w:r>
        <w:t xml:space="preserve"> </w:t>
      </w:r>
      <w:r>
        <w:t xml:space="preserve">primary evidence of DQ-stress validity, which 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provides.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</w:t>
      </w:r>
      <w:r>
        <w:t xml:space="preserve"> </w:t>
      </w:r>
      <w:r>
        <w:t xml:space="preserve">(Wilson, Pettigrew, and Teasdale 1998)</w:t>
      </w:r>
      <w:r>
        <w:t xml:space="preserve"> </w:t>
      </w:r>
      <w:r>
        <w:t xml:space="preserve">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101"/>
    <w:bookmarkStart w:id="102" w:name="superlearner-library-specification"/>
    <w:p>
      <w:pPr>
        <w:pStyle w:val="Heading2"/>
      </w:pPr>
      <w:r>
        <w:t xml:space="preserve">11.2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102"/>
    <w:bookmarkStart w:id="109" w:name="cohort-estimand-and-pre-specification"/>
    <w:p>
      <w:pPr>
        <w:pStyle w:val="Heading2"/>
      </w:pPr>
      <w:r>
        <w:t xml:space="preserve">11.3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Start w:id="107" w:name="cohort-flow"/>
    <w:p>
      <w:pPr>
        <w:pStyle w:val="Heading3"/>
      </w:pPr>
      <w:r>
        <w:t xml:space="preserve">11.3.1 Cohort flow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hort-flow"/>
          <w:p>
            <w:pPr>
              <w:pStyle w:val="Compact"/>
              <w:jc w:val="center"/>
            </w:pPr>
            <w:r>
              <w:drawing>
                <wp:inline>
                  <wp:extent cx="4000500" cy="5000625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igures/fig-cohort-flow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5000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Cohort attrition for the Rescue.Co Kenya Trauma Registry case study. Counts shown at each prespecified inclusion/exclusion criterion. Inter-facility transfers are excluded from the analytic cohort; complete-outcome rows are used for the unweighted estimators and for the IPCW-weighted complete-case TMLE, and missing GOSE (n = 416, 24.6%) is handled by IPCW.</w:t>
            </w:r>
          </w:p>
          <w:bookmarkEnd w:id="106"/>
        </w:tc>
      </w:tr>
    </w:tbl>
    <w:bookmarkEnd w:id="107"/>
    <w:bookmarkStart w:id="108" w:name="analytic-setup-at-a-glance"/>
    <w:p>
      <w:pPr>
        <w:pStyle w:val="Heading3"/>
      </w:pPr>
      <w:r>
        <w:t xml:space="preserve">11.3.2 Analytic setup at a glance</w:t>
      </w:r>
    </w:p>
    <w:p>
      <w:pPr>
        <w:pStyle w:val="FirstParagraph"/>
      </w:pPr>
      <w:r>
        <w:t xml:space="preserve">Four compact setup tables make the case-study specification fully</w:t>
      </w:r>
      <w:r>
        <w:t xml:space="preserve"> </w:t>
      </w:r>
      <w:r>
        <w:t xml:space="preserve">visible in one place: the event process, the target populations</w:t>
      </w:r>
      <w:r>
        <w:t xml:space="preserve"> </w:t>
      </w:r>
      <w:r>
        <w:t xml:space="preserve">that each candidate procedure addresses, the weight-diagnostic</w:t>
      </w:r>
      <w:r>
        <w:t xml:space="preserve"> </w:t>
      </w:r>
      <w:r>
        <w:t xml:space="preserve">thresholds, and the candidate estimator-estimand pairs.</w:t>
      </w:r>
    </w:p>
    <w:p>
      <w:pPr>
        <w:pStyle w:val="BodyText"/>
      </w:pPr>
      <w:r>
        <w:rPr>
          <w:b/>
          <w:bCs/>
        </w:rPr>
        <w:t xml:space="preserve">Event-process table.</w:t>
      </w:r>
      <w:r>
        <w:t xml:space="preserve"> </w:t>
      </w:r>
      <w:r>
        <w:t xml:space="preserve">This table classifies every event-like</w:t>
      </w:r>
      <w:r>
        <w:t xml:space="preserve"> </w:t>
      </w:r>
      <w:r>
        <w:t xml:space="preserve">quantity in the cohort as outcome, censoring, missingness,</w:t>
      </w:r>
      <w:r>
        <w:t xml:space="preserve"> </w:t>
      </w:r>
      <w:r>
        <w:t xml:space="preserve">intercurrent event, exclusion, or administrative end of follow-up: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3"/>
        <w:gridCol w:w="2049"/>
        <w:gridCol w:w="3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Event-like quantity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&gt; 4 at 6 months</w:t>
            </w:r>
          </w:p>
        </w:tc>
        <w:tc>
          <w:tcPr/>
          <w:p>
            <w:pPr>
              <w:pStyle w:val="Compact"/>
            </w:pPr>
            <w:r>
              <w:t xml:space="preserve">Event of interest (outcome)</w:t>
            </w:r>
          </w:p>
        </w:tc>
        <w:tc>
          <w:tcPr/>
          <w:p>
            <w:pPr>
              <w:pStyle w:val="Compact"/>
            </w:pPr>
            <w:r>
              <w:t xml:space="preserve">Estimand: marginal RD on this binary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missing at 6 months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Primary: complete-outcome analysis; IPCW sensitivity under a conditional missingness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In-hospital death before 6-month GOSE</w:t>
            </w:r>
          </w:p>
        </w:tc>
        <w:tc>
          <w:tcPr/>
          <w:p>
            <w:pPr>
              <w:pStyle w:val="Compact"/>
            </w:pPr>
            <w:r>
              <w:t xml:space="preserve">Outcome component / intercurrent event</w:t>
            </w:r>
          </w:p>
        </w:tc>
        <w:tc>
          <w:tcPr/>
          <w:p>
            <w:pPr>
              <w:pStyle w:val="Compact"/>
            </w:pPr>
            <w:r>
              <w:t xml:space="preserve">Coded as GOSE = 1 under a composite or worst-rank strategy;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Inter-facility transfer at index event</w:t>
            </w:r>
          </w:p>
        </w:tc>
        <w:tc>
          <w:tcPr/>
          <w:p>
            <w:pPr>
              <w:pStyle w:val="Compact"/>
            </w:pPr>
            <w:r>
              <w:t xml:space="preserve">Exclusion</w:t>
            </w:r>
          </w:p>
        </w:tc>
        <w:tc>
          <w:tcPr/>
          <w:p>
            <w:pPr>
              <w:pStyle w:val="Compact"/>
            </w:pPr>
            <w:r>
              <w:t xml:space="preserve">Excluded from analytic cohort at Stage 1b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crossover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Point exposure at scene; no time-varying 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6-month follow-up window end</w:t>
            </w:r>
          </w:p>
        </w:tc>
        <w:tc>
          <w:tcPr/>
          <w:p>
            <w:pPr>
              <w:pStyle w:val="Compact"/>
            </w:pPr>
            <w:r>
              <w:t xml:space="preserve">Administrative end of FU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Target-population table.</w:t>
      </w:r>
      <w:r>
        <w:t xml:space="preserve"> </w:t>
      </w:r>
      <w:r>
        <w:t xml:space="preserve">Different candidate procedures</w:t>
      </w:r>
      <w:r>
        <w:t xml:space="preserve"> </w:t>
      </w:r>
      <w:r>
        <w:t xml:space="preserve">correspond to different target populations: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2"/>
        <w:gridCol w:w="47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Target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 (complete-case)</w:t>
            </w:r>
          </w:p>
        </w:tc>
        <w:tc>
          <w:tcPr/>
          <w:p>
            <w:pPr>
              <w:pStyle w:val="Compact"/>
            </w:pPr>
            <w:r>
              <w:t xml:space="preserve">Complete-outcome subset (n = 1,277)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Matched overlap subset (n = 615)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 (prespecified primary)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Matched overlap subset (n = 1,230)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</w:pPr>
            <w:r>
              <w:t xml:space="preserve">Complete-outcome rows weighted toward full-cohort marginal contrast</w:t>
            </w:r>
          </w:p>
        </w:tc>
      </w:tr>
    </w:tbl>
    <w:p>
      <w:pPr>
        <w:pStyle w:val="BodyText"/>
      </w:pPr>
      <w:r>
        <w:rPr>
          <w:b/>
          <w:bCs/>
        </w:rPr>
        <w:t xml:space="preserve">Weight-diagnostics table.</w:t>
      </w:r>
      <w:r>
        <w:t xml:space="preserve"> </w:t>
      </w:r>
      <w:r>
        <w:t xml:space="preserve">Treatment weights and missingness</w:t>
      </w:r>
      <w:r>
        <w:t xml:space="preserve"> </w:t>
      </w:r>
      <w:r>
        <w:t xml:space="preserve">weights are evaluated against prespecified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5"/>
        <w:gridCol w:w="1513"/>
        <w:gridCol w:w="1816"/>
        <w:gridCol w:w="28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Prespecified instability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weights (stabilised)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fit_ps_superlearner()</w:t>
            </w:r>
          </w:p>
        </w:tc>
        <w:tc>
          <w:tcPr/>
          <w:p>
            <w:pPr>
              <w:pStyle w:val="Compact"/>
            </w:pPr>
            <w:r>
              <w:t xml:space="preserve">Mean, SD, 99th pct, max, Kish ESS</w:t>
            </w:r>
          </w:p>
        </w:tc>
        <w:tc>
          <w:tcPr/>
          <w:p>
            <w:pPr>
              <w:pStyle w:val="Compact"/>
            </w:pPr>
            <w:r>
              <w:t xml:space="preserve">Max &gt; 10, or &gt; 1 % of weights above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IPCW weights (missingness)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run_ipcw_tmle()</w:t>
            </w:r>
          </w:p>
        </w:tc>
        <w:tc>
          <w:tcPr/>
          <w:p>
            <w:pPr>
              <w:pStyle w:val="Compact"/>
            </w:pPr>
            <w:r>
              <w:t xml:space="preserve">Mean, SD, 99th pct, max</w:t>
            </w:r>
          </w:p>
        </w:tc>
        <w:tc>
          <w:tcPr/>
          <w:p>
            <w:pPr>
              <w:pStyle w:val="Compact"/>
            </w:pPr>
            <w:r>
              <w:t xml:space="preserve">Max &gt;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(for</w:t>
            </w:r>
            <w:r>
              <w:t xml:space="preserve"> </w:t>
            </w:r>
            <w:r>
              <w:rPr>
                <w:rStyle w:val="VerbatimChar"/>
              </w:rPr>
              <w:t xml:space="preserve">Complete-outcome TMLE with IPCW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 of treatment and IPCW weights</w:t>
            </w:r>
          </w:p>
        </w:tc>
        <w:tc>
          <w:tcPr/>
          <w:p>
            <w:pPr>
              <w:pStyle w:val="Compact"/>
            </w:pPr>
            <w:r>
              <w:t xml:space="preserve">Mean, SD, max, ESS</w:t>
            </w:r>
          </w:p>
        </w:tc>
        <w:tc>
          <w:tcPr/>
          <w:p>
            <w:pPr>
              <w:pStyle w:val="Compact"/>
            </w:pPr>
            <w:r>
              <w:t xml:space="preserve">Max &gt; 15, or ESS &lt; 30 % of n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Estimator-estimand table.</w:t>
      </w:r>
      <w:r>
        <w:t xml:space="preserve"> </w:t>
      </w:r>
      <w:r>
        <w:t xml:space="preserve">Each candidate is recorded as a</w:t>
      </w:r>
      <w:r>
        <w:t xml:space="preserve"> </w:t>
      </w:r>
      <w:r>
        <w:t xml:space="preserve">paired estimator-and-estimand object: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119"/>
        <w:gridCol w:w="516"/>
        <w:gridCol w:w="602"/>
        <w:gridCol w:w="3400"/>
        <w:gridCol w:w="10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Nuisance library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Estimand implication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Marginal contrast in complete-outcome subset</w:t>
            </w:r>
          </w:p>
        </w:tc>
        <w:tc>
          <w:tcPr/>
          <w:p>
            <w:pPr>
              <w:pStyle w:val="Compact"/>
            </w:pPr>
            <w:r>
              <w:t xml:space="preserve">Reference comparator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Full-cohort marginal contrast estimated with stabilised, truncated treatment weights; truncation may approximate the practical estimand and should be reported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</w:pPr>
            <w:r>
              <w:t xml:space="preserve">SL ensemble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prespecified locked SL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SL ensemble (matched)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Sensitivity (target 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w/ IPCW</w:t>
            </w:r>
          </w:p>
        </w:tc>
        <w:tc>
          <w:tcPr/>
          <w:p>
            <w:pPr>
              <w:pStyle w:val="Compact"/>
            </w:pPr>
            <w:r>
              <w:t xml:space="preserve">SL ensemble + SL IPCW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IPCW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the locked missingness model</w:t>
            </w:r>
          </w:p>
        </w:tc>
        <w:tc>
          <w:tcPr/>
          <w:p>
            <w:pPr>
              <w:pStyle w:val="Compact"/>
            </w:pPr>
            <w:r>
              <w:t xml:space="preserve">Sensitivity (missingness)</w:t>
            </w:r>
          </w:p>
        </w:tc>
      </w:tr>
    </w:tbl>
    <w:p>
      <w:pPr>
        <w:pStyle w:val="BodyText"/>
      </w:pPr>
      <w:r>
        <w:t xml:space="preserve">These four tables make the analytic considerations explicit before</w:t>
      </w:r>
      <w:r>
        <w:t xml:space="preserve"> </w:t>
      </w:r>
      <w:r>
        <w:t xml:space="preserve">the pre-outcome decision rule is read. They also document the</w:t>
      </w:r>
      <w:r>
        <w:t xml:space="preserve"> </w:t>
      </w:r>
      <w:r>
        <w:t xml:space="preserve">estimand-vs-estimator distinction: candidates that differ by</w:t>
      </w:r>
      <w:r>
        <w:t xml:space="preserve"> </w:t>
      </w:r>
      <w:r>
        <w:t xml:space="preserve">truncation, matching, or IPCW correspond to different effective</w:t>
      </w:r>
      <w:r>
        <w:t xml:space="preserve"> </w:t>
      </w:r>
      <w:r>
        <w:t xml:space="preserve">target populations and are reported as paired objects rather than</w:t>
      </w:r>
      <w:r>
        <w:t xml:space="preserve"> </w:t>
      </w:r>
      <w:r>
        <w:t xml:space="preserve">interchangeable estimators of the same parameter.</w:t>
      </w:r>
    </w:p>
    <w:p>
      <w:pPr>
        <w:pStyle w:val="BodyText"/>
      </w:pPr>
      <w:r>
        <w:rPr>
          <w:b/>
          <w:bCs/>
        </w:rPr>
        <w:t xml:space="preserve">Target-trial timing table.</w:t>
      </w:r>
      <w:r>
        <w:t xml:space="preserve"> </w:t>
      </w:r>
      <w:r>
        <w:t xml:space="preserve">The following table records the</w:t>
      </w:r>
      <w:r>
        <w:t xml:space="preserve"> </w:t>
      </w:r>
      <w:r>
        <w:t xml:space="preserve">prespecified target-trial design elements and their lock status</w:t>
      </w:r>
      <w:r>
        <w:t xml:space="preserve"> </w:t>
      </w:r>
      <w:r>
        <w:t xml:space="preserve">before any outcome access.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 element</w:t>
            </w:r>
          </w:p>
        </w:tc>
        <w:tc>
          <w:tcPr/>
          <w:p>
            <w:pPr>
              <w:pStyle w:val="Compact"/>
            </w:pPr>
            <w:r>
              <w:t xml:space="preserve">Rescue.Co implementation</w:t>
            </w:r>
          </w:p>
        </w:tc>
        <w:tc>
          <w:tcPr/>
          <w:p>
            <w:pPr>
              <w:pStyle w:val="Compact"/>
            </w:pPr>
            <w:r>
              <w:t xml:space="preserve">Pre-outcome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date / time zero</w:t>
            </w:r>
          </w:p>
        </w:tc>
        <w:tc>
          <w:tcPr/>
          <w:p>
            <w:pPr>
              <w:pStyle w:val="Compact"/>
            </w:pPr>
            <w:r>
              <w:t xml:space="preserve">Time of trauma-related ambulance arrival at participating hospital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  <w:r>
              <w:t xml:space="preserve"> </w:t>
            </w:r>
            <w:r>
              <w:rPr>
                <w:rStyle w:val="VerbatimChar"/>
              </w:rPr>
              <w:t xml:space="preserve">identify_interval()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definition</w:t>
            </w:r>
          </w:p>
        </w:tc>
        <w:tc>
          <w:tcPr/>
          <w:p>
            <w:pPr>
              <w:pStyle w:val="Compact"/>
            </w:pPr>
            <w:r>
              <w:t xml:space="preserve">Rescue.Co EMS transport (A = 1) vs. other ambulance services (A = 0) at index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  <w:r>
              <w:t xml:space="preserve"> </w:t>
            </w:r>
            <w:r>
              <w:rPr>
                <w:rStyle w:val="VerbatimChar"/>
              </w:rPr>
              <w:t xml:space="preserve">identify_treatment()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group</w:t>
            </w:r>
          </w:p>
        </w:tc>
        <w:tc>
          <w:tcPr/>
          <w:p>
            <w:pPr>
              <w:pStyle w:val="Compact"/>
            </w:pPr>
            <w:r>
              <w:t xml:space="preserve">Other ambulance services at the same hospitals during the same period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Eligibility window</w:t>
            </w:r>
          </w:p>
        </w:tc>
        <w:tc>
          <w:tcPr/>
          <w:p>
            <w:pPr>
              <w:pStyle w:val="Compact"/>
            </w:pPr>
            <w:r>
              <w:t xml:space="preserve">2018 to 2024 trauma transports, direct-from-scene only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 window</w:t>
            </w:r>
          </w:p>
        </w:tc>
        <w:tc>
          <w:tcPr/>
          <w:p>
            <w:pPr>
              <w:pStyle w:val="Compact"/>
            </w:pPr>
            <w:r>
              <w:t xml:space="preserve">At or before index (no post-index covariates)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window</w:t>
            </w:r>
          </w:p>
        </w:tc>
        <w:tc>
          <w:tcPr/>
          <w:p>
            <w:pPr>
              <w:pStyle w:val="Compact"/>
            </w:pPr>
            <w:r>
              <w:t xml:space="preserve">6 months from index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definition</w:t>
            </w:r>
          </w:p>
        </w:tc>
        <w:tc>
          <w:tcPr/>
          <w:p>
            <w:pPr>
              <w:pStyle w:val="Compact"/>
            </w:pPr>
            <w:r>
              <w:t xml:space="preserve">GOSE &gt; 4 at 6 months (good functional outcome)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Missingness / censoring definition</w:t>
            </w:r>
          </w:p>
        </w:tc>
        <w:tc>
          <w:tcPr/>
          <w:p>
            <w:pPr>
              <w:pStyle w:val="Compact"/>
            </w:pPr>
            <w:r>
              <w:t xml:space="preserve">Missing 6-month GOSE = missingness; primary complete-outcome with IPCW sensitivity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discontinuation</w:t>
            </w:r>
          </w:p>
        </w:tc>
        <w:tc>
          <w:tcPr/>
          <w:p>
            <w:pPr>
              <w:pStyle w:val="Compact"/>
            </w:pPr>
            <w:r>
              <w:t xml:space="preserve">Not applicable (point exposure at scene)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end of follow-up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 intercurrent events / transfer groups</w:t>
            </w:r>
          </w:p>
        </w:tc>
        <w:tc>
          <w:tcPr/>
          <w:p>
            <w:pPr>
              <w:pStyle w:val="Compact"/>
            </w:pPr>
            <w:r>
              <w:t xml:space="preserve">Inter-facility transfers excluded; recorded as</w:t>
            </w:r>
            <w:r>
              <w:t xml:space="preserve"> </w:t>
            </w:r>
            <w:r>
              <w:rPr>
                <w:rStyle w:val="VerbatimChar"/>
              </w:rPr>
              <w:t xml:space="preserve">is_transfer</w:t>
            </w:r>
            <w:r>
              <w:t xml:space="preserve"> </w:t>
            </w:r>
            <w:r>
              <w:t xml:space="preserve">for sensitivity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Checkpoint dashboard.</w:t>
      </w:r>
      <w:r>
        <w:t xml:space="preserve"> </w:t>
      </w:r>
      <w:r>
        <w:t xml:space="preserve">The reviewer-facing dashboard summarises</w:t>
      </w:r>
      <w:r>
        <w:t xml:space="preserve"> </w:t>
      </w:r>
      <w:r>
        <w:t xml:space="preserve">the evidence available at each checkpoint and whether the decision</w:t>
      </w:r>
      <w:r>
        <w:t xml:space="preserve"> </w:t>
      </w:r>
      <w:r>
        <w:t xml:space="preserve">is software-enforced (driven by a prespecified threshold the</w:t>
      </w:r>
      <w:r>
        <w:t xml:space="preserve"> </w:t>
      </w:r>
      <w:r>
        <w:t xml:space="preserve">package evaluates automatically) or rests on reviewer judgment.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Evidence used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Reviewer interpretation</w:t>
            </w:r>
          </w:p>
        </w:tc>
        <w:tc>
          <w:tcPr/>
          <w:p>
            <w:pPr>
              <w:pStyle w:val="Compact"/>
            </w:pPr>
            <w:r>
              <w:t xml:space="preserve">Software-enforced vs 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 protocol/setup</w:t>
            </w:r>
          </w:p>
        </w:tc>
        <w:tc>
          <w:tcPr/>
          <w:p>
            <w:pPr>
              <w:pStyle w:val="Compact"/>
            </w:pPr>
            <w:r>
              <w:t xml:space="preserve">Target-trial timing table, SAP, lock fingerprint</w:t>
            </w:r>
          </w:p>
        </w:tc>
        <w:tc>
          <w:tcPr/>
          <w:p>
            <w:pPr>
              <w:pStyle w:val="Compact"/>
            </w:pPr>
            <w:r>
              <w:t xml:space="preserve">All design elements specified before data access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Cohort and estimand definitions complete</w:t>
            </w:r>
          </w:p>
        </w:tc>
        <w:tc>
          <w:tcPr/>
          <w:p>
            <w:pPr>
              <w:pStyle w:val="Compact"/>
            </w:pPr>
            <w:r>
              <w:t xml:space="preserve">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1b cohort adequacy and event 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checkpoint_cohort_adequacy()</w:t>
            </w:r>
            <w:r>
              <w:t xml:space="preserve"> </w:t>
            </w:r>
            <w:r>
              <w:t xml:space="preserve">output, attrition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min_n_per_arm</w:t>
            </w:r>
            <w:r>
              <w:t xml:space="preserve"> </w:t>
            </w:r>
            <w:r>
              <w:t xml:space="preserve">= 200,</w:t>
            </w:r>
            <w:r>
              <w:t xml:space="preserve"> </w:t>
            </w:r>
            <w:r>
              <w:rPr>
                <w:rStyle w:val="VerbatimChar"/>
              </w:rPr>
              <w:t xml:space="preserve">min_events</w:t>
            </w:r>
            <w:r>
              <w:t xml:space="preserve"> </w:t>
            </w:r>
            <w:r>
              <w:t xml:space="preserve">= 50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Adequate cohort for the prespecified estimand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2a overlap, balance, ESS, weight 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compute_ps_diagnostics()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love_plot_threeway()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clean_weight_diagnostics()</w:t>
            </w:r>
          </w:p>
        </w:tc>
        <w:tc>
          <w:tcPr/>
          <w:p>
            <w:pPr>
              <w:pStyle w:val="Compact"/>
            </w:pPr>
            <w:r>
              <w:t xml:space="preserve">PS in [0.01, 0.99]; max-SMD &lt;= 0.10 after weighting; max weight &lt;= 10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Positivity and balance acceptable for full-cohort target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2b baseline plasmode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run_plasmode_feasibility()</w:t>
            </w:r>
            <w:r>
              <w:t xml:space="preserve"> </w:t>
            </w:r>
            <w:r>
              <w:t xml:space="preserve">bias 0.001, coverage 0.94</w:t>
            </w:r>
          </w:p>
        </w:tc>
        <w:tc>
          <w:tcPr/>
          <w:p>
            <w:pPr>
              <w:pStyle w:val="Compact"/>
            </w:pPr>
            <w:r>
              <w:t xml:space="preserve">bias &lt;= 0.01, coverage &gt;= 0.90, SE/SD in (0.8, 1.2)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Candidate operates within prespecified envelope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2c DQ stress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run_plasmode_dq_stress()</w:t>
            </w:r>
            <w:r>
              <w:t xml:space="preserve"> </w:t>
            </w:r>
            <w:r>
              <w:t xml:space="preserve">minimax rule</w:t>
            </w:r>
          </w:p>
        </w:tc>
        <w:tc>
          <w:tcPr/>
          <w:p>
            <w:pPr>
              <w:pStyle w:val="Compact"/>
            </w:pPr>
            <w:r>
              <w:t xml:space="preserve">Each scenario within thresholds across severities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(reported on the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reps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run; the bundled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reps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configuration is a CI smoke test)</w:t>
            </w:r>
          </w:p>
        </w:tc>
        <w:tc>
          <w:tcPr/>
          <w:p>
            <w:pPr>
              <w:pStyle w:val="Compact"/>
            </w:pPr>
            <w:r>
              <w:t xml:space="preserve">Selected candidate is stable across the prespecified threats at 200 replicates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 negative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run_residual_confounding_stage()</w:t>
            </w:r>
            <w:r>
              <w:t xml:space="preserve"> </w:t>
            </w:r>
            <w:r>
              <w:t xml:space="preserve">(2 of 5 NCs survived NZV; both pass)</w:t>
            </w:r>
          </w:p>
        </w:tc>
        <w:tc>
          <w:tcPr/>
          <w:p>
            <w:pPr>
              <w:pStyle w:val="Compact"/>
            </w:pPr>
            <w:r>
              <w:t xml:space="preserve">All analysed NCs pass at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= 0.05</w:t>
            </w:r>
          </w:p>
        </w:tc>
        <w:tc>
          <w:tcPr/>
          <w:p>
            <w:pPr>
              <w:pStyle w:val="Compact"/>
            </w:pPr>
            <w:r>
              <w:t xml:space="preserve">GO with FLAG</w:t>
            </w:r>
          </w:p>
        </w:tc>
        <w:tc>
          <w:tcPr/>
          <w:p>
            <w:pPr>
              <w:pStyle w:val="Compact"/>
            </w:pPr>
            <w:r>
              <w:t xml:space="preserve">Narrower NC panel than SAP; residual-confounding probe partial</w:t>
            </w:r>
          </w:p>
        </w:tc>
        <w:tc>
          <w:tcPr/>
          <w:p>
            <w:pPr>
              <w:pStyle w:val="Compact"/>
            </w:pPr>
            <w:r>
              <w:t xml:space="preserve">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authorisation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authorize_outcome_analysis()</w:t>
            </w:r>
            <w:r>
              <w:t xml:space="preserve"> </w:t>
            </w:r>
            <w:r>
              <w:t xml:space="preserve">returns GO</w:t>
            </w:r>
          </w:p>
        </w:tc>
        <w:tc>
          <w:tcPr/>
          <w:p>
            <w:pPr>
              <w:pStyle w:val="Compact"/>
            </w:pPr>
            <w:r>
              <w:t xml:space="preserve">All preceding checkpoints GO or documented FLAG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Proceed to locked primary analysis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Decision-log example (illustrative).</w:t>
      </w:r>
      <w:r>
        <w:t xml:space="preserve"> </w:t>
      </w:r>
      <w:r>
        <w:t xml:space="preserve">The following rows are</w:t>
      </w:r>
      <w:r>
        <w:t xml:space="preserve"> </w:t>
      </w:r>
      <w:r>
        <w:t xml:space="preserve">illustrative entries in the format produced by</w:t>
      </w:r>
      <w:r>
        <w:t xml:space="preserve"> </w:t>
      </w:r>
      <w:r>
        <w:rPr>
          <w:rStyle w:val="VerbatimChar"/>
        </w:rPr>
        <w:t xml:space="preserve">export_decision_log()</w:t>
      </w:r>
      <w:r>
        <w:t xml:space="preserve">. They are not the literal log; they show</w:t>
      </w:r>
      <w:r>
        <w:t xml:space="preserve"> </w:t>
      </w:r>
      <w:r>
        <w:t xml:space="preserve">the structure a reviewer would read for each prespecified or</w:t>
      </w:r>
      <w:r>
        <w:t xml:space="preserve"> </w:t>
      </w:r>
      <w:r>
        <w:t xml:space="preserve">deviation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diagnostic or issue</w:t>
            </w:r>
          </w:p>
        </w:tc>
        <w:tc>
          <w:tcPr/>
          <w:p>
            <w:pPr>
              <w:pStyle w:val="Compact"/>
            </w:pPr>
            <w:r>
              <w:t xml:space="preserve">prespecified criterion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effect estimate visible?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  <w:tc>
          <w:tcPr/>
          <w:p>
            <w:pPr>
              <w:pStyle w:val="Compact"/>
            </w:pPr>
            <w:r>
              <w:t xml:space="preserve">override?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09:14</w:t>
            </w:r>
          </w:p>
        </w:tc>
        <w:tc>
          <w:tcPr/>
          <w:p>
            <w:pPr>
              <w:pStyle w:val="Compact"/>
            </w:pPr>
            <w:r>
              <w:t xml:space="preserve">Stage 2a</w:t>
            </w:r>
          </w:p>
        </w:tc>
        <w:tc>
          <w:tcPr/>
          <w:p>
            <w:pPr>
              <w:pStyle w:val="Compact"/>
            </w:pPr>
            <w:r>
              <w:t xml:space="preserve">Three NCs failed NZV filter</w:t>
            </w:r>
          </w:p>
        </w:tc>
        <w:tc>
          <w:tcPr/>
          <w:p>
            <w:pPr>
              <w:pStyle w:val="Compact"/>
            </w:pPr>
            <w:r>
              <w:t xml:space="preserve">NZV check at lock-fingerprint covariate set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Drop the three NCs; record narrower panel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Continue with 2 surviving NCs; note as limitation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11:02</w:t>
            </w:r>
          </w:p>
        </w:tc>
        <w:tc>
          <w:tcPr/>
          <w:p>
            <w:pPr>
              <w:pStyle w:val="Compact"/>
            </w:pPr>
            <w:r>
              <w:t xml:space="preserve">Stage 2c</w:t>
            </w:r>
          </w:p>
        </w:tc>
        <w:tc>
          <w:tcPr/>
          <w:p>
            <w:pPr>
              <w:pStyle w:val="Compact"/>
            </w:pPr>
            <w:r>
              <w:t xml:space="preserve">DQ stress reported at</w:t>
            </w:r>
            <w:r>
              <w:t xml:space="preserve"> </w:t>
            </w:r>
            <w:r>
              <w:rPr>
                <w:rStyle w:val="VerbatimChar"/>
              </w:rPr>
              <w:t xml:space="preserve">n_sims = 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n_sims</w:t>
            </w:r>
            <w:r>
              <w:t xml:space="preserve"> </w:t>
            </w:r>
            <w:r>
              <w:t xml:space="preserve">&gt;= 200 for inferential interpretation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Report the 200-replicate run; the bundled</w:t>
            </w:r>
            <w:r>
              <w:t xml:space="preserve"> </w:t>
            </w:r>
            <w:r>
              <w:rPr>
                <w:rStyle w:val="VerbatimChar"/>
              </w:rPr>
              <w:t xml:space="preserve">n_sims = 3</w:t>
            </w:r>
            <w:r>
              <w:t xml:space="preserve"> </w:t>
            </w:r>
            <w:r>
              <w:t xml:space="preserve">configuration is a CI smoke test only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  <w:r>
              <w:t xml:space="preserve"> </w:t>
            </w:r>
            <w:r>
              <w:rPr>
                <w:rStyle w:val="VerbatimChar"/>
              </w:rPr>
              <w:t xml:space="preserve">glm_t01</w:t>
            </w:r>
            <w:r>
              <w:t xml:space="preserve"> </w:t>
            </w:r>
            <w:r>
              <w:t xml:space="preserve">as minimax winner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14:45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All checkpoints GO or documented FLAG</w:t>
            </w:r>
          </w:p>
        </w:tc>
        <w:tc>
          <w:tcPr/>
          <w:p>
            <w:pPr>
              <w:pStyle w:val="Compact"/>
            </w:pPr>
            <w:r>
              <w:t xml:space="preserve">All preceding stages recorded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Authorise Stage 4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Run locked primary analysis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08"/>
    <w:bookmarkEnd w:id="109"/>
    <w:bookmarkStart w:id="120" w:name="sec-casestudy-dq"/>
    <w:p>
      <w:pPr>
        <w:pStyle w:val="Heading2"/>
      </w:pPr>
      <w:r>
        <w:t xml:space="preserve">11.4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This grid does not separate the candidates, as in the</w:t>
      </w:r>
      <w:r>
        <w:t xml:space="preserve"> </w:t>
      </w:r>
      <w:r>
        <w:t xml:space="preserve">main simulation.</w:t>
      </w:r>
      <w:r>
        <w:t xml:space="preserve"> </w:t>
      </w:r>
      <w:hyperlink w:anchor="sec-divergence">
        <w:r>
          <w:rPr>
            <w:rStyle w:val="Hyperlink"/>
          </w:rPr>
          <w:t xml:space="preserve">Section 9.4</w:t>
        </w:r>
      </w:hyperlink>
      <w:r>
        <w:t xml:space="preserve"> </w:t>
      </w:r>
      <w:r>
        <w:t xml:space="preserve">reports a constructed grid that</w:t>
      </w:r>
      <w:r>
        <w:t xml:space="preserve"> </w:t>
      </w:r>
      <w:r>
        <w:t xml:space="preserve">does separate them, where the two selection rules choose different</w:t>
      </w:r>
      <w:r>
        <w:t xml:space="preserve"> </w:t>
      </w:r>
      <w:r>
        <w:t xml:space="preserve">candidates.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" title="" id="111" name="Picture"/>
            <a:graphic>
              <a:graphicData uri="http://schemas.openxmlformats.org/drawingml/2006/picture">
                <pic:pic>
                  <pic:nvPicPr>
                    <pic:cNvPr descr="../rescueCo/results/love_plo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" title="" id="114" name="Picture"/>
            <a:graphic>
              <a:graphicData uri="http://schemas.openxmlformats.org/drawingml/2006/picture">
                <pic:pic>
                  <pic:nvPicPr>
                    <pic:cNvPr descr="../rescueCo/results/weighted_love_plot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</w:t>
      </w:r>
    </w:p>
    <w:p>
      <w:pPr>
        <w:pStyle w:val="BodyText"/>
      </w:pPr>
      <w:r>
        <w:t xml:space="preserve">The treatment- and IPCW-weight distributions are reported as</w:t>
      </w:r>
      <w:r>
        <w:t xml:space="preserve"> </w:t>
      </w:r>
      <w:r>
        <w:t xml:space="preserve">diagnostic objects: mean, SD, 99th percentile, maximum, and Kish</w:t>
      </w:r>
      <w:r>
        <w:t xml:space="preserve"> </w:t>
      </w:r>
      <w:r>
        <w:t xml:space="preserve">ESS for each weight type, with the prespecified instability flags</w:t>
      </w:r>
      <w:r>
        <w:t xml:space="preserve"> </w:t>
      </w:r>
      <w:r>
        <w:t xml:space="preserve">in the weight-diagnostics table above. The stabilised treatment</w:t>
      </w:r>
      <w:r>
        <w:t xml:space="preserve"> </w:t>
      </w:r>
      <w:r>
        <w:t xml:space="preserve">weights do not exceed the prespecified maximum (10) and combined</w:t>
      </w:r>
      <w:r>
        <w:t xml:space="preserve"> </w:t>
      </w:r>
      <w:r>
        <w:t xml:space="preserve">treatment-times-IPCW weights remain within the (15, 30 % ESS)</w:t>
      </w:r>
      <w:r>
        <w:t xml:space="preserve"> </w:t>
      </w:r>
      <w:r>
        <w:t xml:space="preserve">envelope for the IPCW row. The Stage 2c DQ stress test sweeps the four threats</w:t>
      </w:r>
      <w:r>
        <w:t xml:space="preserve"> </w:t>
      </w:r>
      <w:r>
        <w:t xml:space="preserve">over the candidate grid, and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The reported result uses the 200-replicate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inst/extdata/rescueco_dq_full.R</w:t>
      </w:r>
      <w:r>
        <w:t xml:space="preserve">, see</w:t>
      </w:r>
      <w:r>
        <w:t xml:space="preserve"> </w:t>
      </w:r>
      <w:hyperlink w:anchor="sec-reproducibility">
        <w:r>
          <w:rPr>
            <w:rStyle w:val="Hyperlink"/>
          </w:rPr>
          <w:t xml:space="preserve">Section 14</w:t>
        </w:r>
      </w:hyperlink>
      <w:r>
        <w:t xml:space="preserve">). The</w:t>
      </w:r>
      <w:r>
        <w:t xml:space="preserve"> </w:t>
      </w:r>
      <w:r>
        <w:t xml:space="preserve">3-replicate configuration bundled with the package is a</w:t>
      </w:r>
      <w:r>
        <w:t xml:space="preserve"> </w:t>
      </w:r>
      <w:r>
        <w:t xml:space="preserve">continuous-integration smoke test and is not used for inference.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nc-attrition"/>
          <w:p>
            <w:pPr>
              <w:pStyle w:val="Compact"/>
              <w:jc w:val="center"/>
            </w:pPr>
            <w:r>
              <w:drawing>
                <wp:inline>
                  <wp:extent cx="4267200" cy="40005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figures/fig-nc-attrition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Negative-control attrition. Five negative-control endpoints were prespecified in the SAP. Three were dropped at the data-sanitisation step because they failed near-zero-variance (NZV) filtering on the locked cohort. The two surviving NCs (chronic_hypertension, household_urban) carried enough variation to fit a stable PS-adjusted model and both passed. The residual-confounding probe therefore rests on a narrower NC panel than originally specified; the audit log records the drops.</w:t>
            </w:r>
          </w:p>
          <w:bookmarkEnd w:id="119"/>
        </w:tc>
      </w:tr>
    </w:tbl>
    <w:p>
      <w:pPr>
        <w:pStyle w:val="BodyText"/>
      </w:pPr>
      <w:r>
        <w:t xml:space="preserve">Demonstrated in this case study: cohort flow, event counts,</w:t>
      </w:r>
      <w:r>
        <w:t xml:space="preserve"> </w:t>
      </w:r>
      <w:r>
        <w:t xml:space="preserve">missingness summary, PS overlap, three-way Love plot, weight</w:t>
      </w:r>
      <w:r>
        <w:t xml:space="preserve"> </w:t>
      </w:r>
      <w:r>
        <w:t xml:space="preserve">diagnostics, ESS, negative-control attrition, baseline plasmode</w:t>
      </w:r>
      <w:r>
        <w:t xml:space="preserve"> </w:t>
      </w:r>
      <w:r>
        <w:t xml:space="preserve">results, DQ stress-test results, authorisation gate. Not yet</w:t>
      </w:r>
      <w:r>
        <w:t xml:space="preserve"> </w:t>
      </w:r>
      <w:r>
        <w:t xml:space="preserve">implemented in this release: native competing-risk</w:t>
      </w:r>
      <w:r>
        <w:t xml:space="preserve"> </w:t>
      </w:r>
      <w:r>
        <w:t xml:space="preserve">cumulative-incidence estimands, time-varying treatment, MAR/MNAR</w:t>
      </w:r>
      <w:r>
        <w:t xml:space="preserve"> </w:t>
      </w:r>
      <w:r>
        <w:t xml:space="preserve">missingness models, full-cohort Delta-path IPCW-TMLE (the</w:t>
      </w:r>
      <w:r>
        <w:t xml:space="preserve"> </w:t>
      </w:r>
      <w:r>
        <w:t xml:space="preserve">function falls back to weighted complete-case), and the</w:t>
      </w:r>
      <w:r>
        <w:t xml:space="preserve"> </w:t>
      </w:r>
      <w:r>
        <w:t xml:space="preserve">matched-vs-full plasmode diagnostic that would disambiguate</w:t>
      </w:r>
      <w:r>
        <w:t xml:space="preserve"> </w:t>
      </w:r>
      <w:r>
        <w:t xml:space="preserve">whether the 0.5-to-1 percentage-point gap between the matched</w:t>
      </w:r>
      <w:r>
        <w:t xml:space="preserve"> </w:t>
      </w:r>
      <w:r>
        <w:t xml:space="preserve">(RD = 0.026) and full-cohort (RD = 0.031) TMLE estimates is</w:t>
      </w:r>
      <w:r>
        <w:t xml:space="preserve"> </w:t>
      </w:r>
      <w:r>
        <w:t xml:space="preserve">sampling noise plus the efficiency cost of matching, an effect-</w:t>
      </w:r>
      <w:r>
        <w:t xml:space="preserve"> </w:t>
      </w:r>
      <w:r>
        <w:t xml:space="preserve">modification signal, or a positivity-strain signal. That</w:t>
      </w:r>
      <w:r>
        <w:t xml:space="preserve"> </w:t>
      </w:r>
      <w:r>
        <w:t xml:space="preserve">diagnostic is on the cleanTMLE 0.2 roadmap.</w:t>
      </w:r>
    </w:p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were dropped from the NC</w:t>
      </w:r>
      <w:r>
        <w:t xml:space="preserve"> </w:t>
      </w:r>
      <w:r>
        <w:t xml:space="preserve">analysis at the data-sanitisation step because they failed</w:t>
      </w:r>
      <w:r>
        <w:t xml:space="preserve"> </w:t>
      </w:r>
      <w:r>
        <w:t xml:space="preserve">near-zero-variance filtering on the locked cohort; only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carried enough</w:t>
      </w:r>
      <w:r>
        <w:t xml:space="preserve"> </w:t>
      </w:r>
      <w:r>
        <w:t xml:space="preserve">variation to fit a stable 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120"/>
    <w:bookmarkStart w:id="121" w:name="effect-estimates"/>
    <w:p>
      <w:pPr>
        <w:pStyle w:val="Heading2"/>
      </w:pPr>
      <w:r>
        <w:t xml:space="preserve">11.5 Effect estimates</w:t>
      </w:r>
    </w:p>
    <w:p>
      <w:pPr>
        <w:pStyle w:val="TableCaption"/>
      </w:pPr>
      <w:r>
        <w:t xml:space="preserve">Risk-difference estimates from six methods applied to the rescueCo binary outcome (good functional outcome at 6 months, GOSE &gt; 4), produced under cleanTMLE 0.1.1. The IPCW-TMLE row uses a weighted complete-case implementation; see the text for details.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sk-difference estimates from six methods applied to the rescueCo binary outcome (good functional outcome at 6 months, GOSE &gt; 4), produced under cleanTMLE 0.1.1. The IPCW-TMLE row uses a weighted complete-case implementation; see the text for details."/>
      </w:tblPr>
      <w:tblGrid>
        <w:gridCol w:w="2262"/>
        <w:gridCol w:w="4129"/>
        <w:gridCol w:w="282"/>
        <w:gridCol w:w="396"/>
        <w:gridCol w:w="452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rows, weighted toward the full-cohort marginal 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complete-outcome TMLE</w:t>
      </w:r>
      <w:r>
        <w:t xml:space="preserve"> </w:t>
      </w:r>
      <w:r>
        <w:t xml:space="preserve">with IPCW weights, which uses inverse-probability-of-censoring</w:t>
      </w:r>
      <w:r>
        <w:t xml:space="preserve"> </w:t>
      </w:r>
      <w:r>
        <w:t xml:space="preserve">weights to recover the full-cohort marginal contrast under the</w:t>
      </w:r>
      <w:r>
        <w:t xml:space="preserve"> </w:t>
      </w:r>
      <w:r>
        <w:t xml:space="preserve">missingness model, returns RD = 0.033 with a CI that just crosses</w:t>
      </w:r>
      <w:r>
        <w:t xml:space="preserve"> </w:t>
      </w:r>
      <w:r>
        <w:t xml:space="preserve">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outcome; the prespecified primary estimator does</w:t>
      </w:r>
      <w:r>
        <w:t xml:space="preserve"> </w:t>
      </w:r>
      <w:r>
        <w:t xml:space="preserve">not confirm the signal under the prespecified workflow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the analysis proceeded under prespecified</w:t>
      </w:r>
      <w:r>
        <w:t xml:space="preserve"> </w:t>
      </w:r>
      <w:r>
        <w:t xml:space="preserve">diagnostics.”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121"/>
    <w:bookmarkStart w:id="125" w:name="Xc7557c3308f3f2c598231e06131cd13238ac1eb"/>
    <w:p>
      <w:pPr>
        <w:pStyle w:val="Heading2"/>
      </w:pPr>
      <w:r>
        <w:t xml:space="preserve">11.6 What the case study tells us about the workflow</w:t>
      </w:r>
    </w:p>
    <w:bookmarkStart w:id="122" w:name="X4a7de7fd9cca2a3eb7ce1d9546acd05cc50d75c"/>
    <w:p>
      <w:pPr>
        <w:pStyle w:val="Heading3"/>
      </w:pPr>
      <w:r>
        <w:t xml:space="preserve">11.6.1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</w:t>
      </w:r>
      <w:r>
        <w:t xml:space="preserve"> </w:t>
      </w:r>
      <w:hyperlink w:anchor="sec-framework">
        <w:r>
          <w:rPr>
            <w:rStyle w:val="Hyperlink"/>
          </w:rPr>
          <w:t xml:space="preserve">Section 5</w:t>
        </w:r>
      </w:hyperlink>
      <w:r>
        <w:t xml:space="preserve">.</w:t>
      </w:r>
    </w:p>
    <w:bookmarkEnd w:id="122"/>
    <w:bookmarkStart w:id="123" w:name="outcome-blind-plasmode"/>
    <w:p>
      <w:pPr>
        <w:pStyle w:val="Heading3"/>
      </w:pPr>
      <w:r>
        <w:t xml:space="preserve">11.6.2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design validation a reviewer would</w:t>
      </w:r>
      <w:r>
        <w:t xml:space="preserve"> </w:t>
      </w:r>
      <w:r>
        <w:t xml:space="preserve">want. Stage 2c then runs the full DQ stress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run_plasmode_dq_stress()</w:t>
      </w:r>
      <w:r>
        <w:t xml:space="preserve">) over the four threats and produces a</w:t>
      </w:r>
      <w:r>
        <w:t xml:space="preserve"> </w:t>
      </w:r>
      <w:r>
        <w:t xml:space="preserve">structural pass on each scenario at 200 replicates per threat-severity</w:t>
      </w:r>
      <w:r>
        <w:t xml:space="preserve"> </w:t>
      </w:r>
      <w:r>
        <w:t xml:space="preserve">cell (see</w:t>
      </w:r>
      <w:r>
        <w:t xml:space="preserve"> </w:t>
      </w:r>
      <w:hyperlink w:anchor="sec-reproducibility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the entry point).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123"/>
    <w:bookmarkStart w:id="124" w:name="X11b03251d4243965818c23e078e2e7dfe52b4c9"/>
    <w:p>
      <w:pPr>
        <w:pStyle w:val="Heading3"/>
      </w:pPr>
      <w:r>
        <w:t xml:space="preserve">11.6.3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24"/>
    <w:bookmarkEnd w:id="125"/>
    <w:bookmarkEnd w:id="126"/>
    <w:bookmarkStart w:id="141" w:name="sec-discussion"/>
    <w:p>
      <w:pPr>
        <w:pStyle w:val="Heading1"/>
      </w:pPr>
      <w:r>
        <w:t xml:space="preserve">12. Discussion</w:t>
      </w:r>
    </w:p>
    <w:bookmarkStart w:id="127" w:name="what-cleantmle-contributes-operationally"/>
    <w:p>
      <w:pPr>
        <w:pStyle w:val="Heading2"/>
      </w:pPr>
      <w:r>
        <w:t xml:space="preserve">12.1 What cleanTMLE contributes operationally</w:t>
      </w:r>
    </w:p>
    <w:p>
      <w:pPr>
        <w:pStyle w:val="FirstParagraph"/>
      </w:pPr>
      <w:r>
        <w:t xml:space="preserve">The novelty in this paper is not causal identification. The roadmap and</w:t>
      </w:r>
      <w:r>
        <w:t xml:space="preserve"> </w:t>
      </w:r>
      <w:r>
        <w:t xml:space="preserve">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</w:t>
      </w:r>
      <w:r>
        <w:t xml:space="preserve"> </w:t>
      </w:r>
      <w:r>
        <w:t xml:space="preserve">inside its estimation and pre-outcome diagnostics steps. The novelty is that</w:t>
      </w:r>
      <w:r>
        <w:t xml:space="preserve"> </w:t>
      </w:r>
      <w:r>
        <w:t xml:space="preserve">staged prespecification, estimator locking, and the pre-outcome decision rule</w:t>
      </w:r>
      <w:r>
        <w:t xml:space="preserve"> </w:t>
      </w:r>
      <w:r>
        <w:t xml:space="preserve">become explicit in code: an analysis-lock object, an audit trail, a decision</w:t>
      </w:r>
      <w:r>
        <w:t xml:space="preserve"> </w:t>
      </w:r>
      <w:r>
        <w:t xml:space="preserve">log, and a staged pre-outcome classification of the analysis before the</w:t>
      </w:r>
      <w:r>
        <w:t xml:space="preserve"> </w:t>
      </w:r>
      <w:r>
        <w:t xml:space="preserve">outcome is examined. The DQ stress test adds a candidate-specific pre-outcome</w:t>
      </w:r>
      <w:r>
        <w:t xml:space="preserve"> </w:t>
      </w:r>
      <w:r>
        <w:t xml:space="preserve">robustness screen on top of the standard plasmode loop. Together these</w:t>
      </w:r>
      <w:r>
        <w:t xml:space="preserve"> </w:t>
      </w:r>
      <w:r>
        <w:t xml:space="preserve">features support 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 reviewer.</w:t>
      </w:r>
    </w:p>
    <w:p>
      <w:pPr>
        <w:pStyle w:val="BodyText"/>
      </w:pPr>
      <w:r>
        <w:t xml:space="preserve">The contribution is operational, and a useful test is to ask what evidence the</w:t>
      </w:r>
      <w:r>
        <w:t xml:space="preserve"> </w:t>
      </w:r>
      <w:r>
        <w:t xml:space="preserve">package can and cannot produce. cleanTMLE can document that the analyst</w:t>
      </w:r>
      <w:r>
        <w:t xml:space="preserve"> </w:t>
      </w:r>
      <w:r>
        <w:t xml:space="preserve">prespecified the estimand, the candidate estimators, the decision thresholds,</w:t>
      </w:r>
      <w:r>
        <w:t xml:space="preserve"> </w:t>
      </w:r>
      <w:r>
        <w:t xml:space="preserve">and the severity ranges; that the pre-outcome decision was made before</w:t>
      </w:r>
      <w:r>
        <w:t xml:space="preserve"> </w:t>
      </w:r>
      <w:r>
        <w:t xml:space="preserve">unblinding; that the locked candidate was the one that ran on the real</w:t>
      </w:r>
      <w:r>
        <w:t xml:space="preserve"> </w:t>
      </w:r>
      <w:r>
        <w:t xml:space="preserve">outcome; and that a fingerprinted audit trail records the sequence. cleanTMLE</w:t>
      </w:r>
      <w:r>
        <w:t xml:space="preserve"> </w:t>
      </w:r>
      <w:r>
        <w:t xml:space="preserve">cannot demonstrate that the data source is fit for the regulatory question,</w:t>
      </w:r>
      <w:r>
        <w:t xml:space="preserve"> </w:t>
      </w:r>
      <w:r>
        <w:t xml:space="preserve">that the exposure or outcome phenotypes have been validated, that the target</w:t>
      </w:r>
      <w:r>
        <w:t xml:space="preserve"> </w:t>
      </w:r>
      <w:r>
        <w:t xml:space="preserve">population is the regulatory decision population, or that the</w:t>
      </w:r>
      <w:r>
        <w:t xml:space="preserve"> </w:t>
      </w:r>
      <w:r>
        <w:t xml:space="preserve">unmeasured-confounder bound is defensible. Those remain study-level</w:t>
      </w:r>
      <w:r>
        <w:t xml:space="preserve"> </w:t>
      </w:r>
      <w:r>
        <w:t xml:space="preserve">activities, anchored in target-trial protocols</w:t>
      </w:r>
      <w:r>
        <w:t xml:space="preserve"> </w:t>
      </w:r>
      <w:r>
        <w:t xml:space="preserve">(M. A. Hernán and Robins 2016; Cashin et al. 2024)</w:t>
      </w:r>
      <w:r>
        <w:t xml:space="preserve">, 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</w:t>
      </w:r>
      <w:r>
        <w:t xml:space="preserve"> </w:t>
      </w:r>
      <w:r>
        <w:t xml:space="preserve">post-outcome 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27"/>
    <w:bookmarkStart w:id="128" w:name="X77d575563b1a1946325af71eab48d1c62a6f8a8"/>
    <w:p>
      <w:pPr>
        <w:pStyle w:val="Heading2"/>
      </w:pPr>
      <w:r>
        <w:t xml:space="preserve">12.2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guidance,</w:t>
      </w:r>
      <w:r>
        <w:t xml:space="preserve"> </w:t>
      </w:r>
      <w:r>
        <w:t xml:space="preserve">EMA RWD guidance, and the NICE RWE framework expect</w:t>
      </w:r>
      <w:r>
        <w:t xml:space="preserve"> </w:t>
      </w:r>
      <w:r>
        <w:t xml:space="preserve">(U.S. Food and Drug Administration 2018, 2024a, 2024c; European Medicines Agency 2024; National Institute for Health and Care Excellence 2022)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</w:t>
      </w:r>
      <w:r>
        <w:t xml:space="preserve"> </w:t>
      </w:r>
      <w:hyperlink w:anchor="tbl-reg-align">
        <w:r>
          <w:rPr>
            <w:rStyle w:val="Hyperlink"/>
          </w:rPr>
          <w:t xml:space="preserve">Table 8</w:t>
        </w:r>
      </w:hyperlink>
      <w:r>
        <w:t xml:space="preserve">. As stated in the abstract, the</w:t>
      </w:r>
      <w:r>
        <w:t xml:space="preserve"> </w:t>
      </w:r>
      <w:r>
        <w:t xml:space="preserve">software layer sits inside, rather than substitutes for, the</w:t>
      </w:r>
      <w:r>
        <w:t xml:space="preserve"> </w:t>
      </w:r>
      <w:r>
        <w:t xml:space="preserve">personnel-based governance this guidance requires: documented source</w:t>
      </w:r>
      <w:r>
        <w:t xml:space="preserve"> </w:t>
      </w:r>
      <w:r>
        <w:t xml:space="preserve">assessment, role-based access controls, and structured protocol records.</w:t>
      </w:r>
    </w:p>
    <w:bookmarkEnd w:id="128"/>
    <w:bookmarkStart w:id="130" w:name="comparison-with-adjacent-tools"/>
    <w:p>
      <w:pPr>
        <w:pStyle w:val="Heading2"/>
      </w:pPr>
      <w:r>
        <w:t xml:space="preserve">12.3 Comparison with adjacent tools</w:t>
      </w:r>
    </w:p>
    <w:p>
      <w:pPr>
        <w:pStyle w:val="FirstParagraph"/>
      </w:pPr>
      <w:hyperlink w:anchor="tbl-baseline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places cleanTMLE against the nearest alternatives, to make</w:t>
      </w:r>
      <w:r>
        <w:t xml:space="preserve"> </w:t>
      </w:r>
      <w:r>
        <w:t xml:space="preserve">explicit which capabilities are shared and which are specific to the</w:t>
      </w:r>
      <w:r>
        <w:t xml:space="preserve"> </w:t>
      </w:r>
      <w:r>
        <w:t xml:space="preserve">package. The combination that distinguishes cleanTMLE is the</w:t>
      </w:r>
      <w:r>
        <w:t xml:space="preserve"> </w:t>
      </w:r>
      <w:r>
        <w:t xml:space="preserve">outcome-blind plasmode candidate selection, the DQ stress test on the same</w:t>
      </w:r>
      <w:r>
        <w:t xml:space="preserve"> </w:t>
      </w:r>
      <w:r>
        <w:t xml:space="preserve">decision scale, and the prespecification record (lock, audit trail, gate),</w:t>
      </w:r>
      <w:r>
        <w:t xml:space="preserve"> </w:t>
      </w:r>
      <w:r>
        <w:t xml:space="preserve">bound to a doubly robust estimator layer that reproduces a mature</w:t>
      </w:r>
      <w:r>
        <w:t xml:space="preserve"> </w:t>
      </w:r>
      <w:r>
        <w:t xml:space="preserve">cumulative-risk package (</w:t>
      </w:r>
      <w:hyperlink w:anchor="sec-casestudy">
        <w:r>
          <w:rPr>
            <w:rStyle w:val="Hyperlink"/>
          </w:rPr>
          <w:t xml:space="preserve">Section 11</w:t>
        </w:r>
      </w:hyperlink>
      <w:r>
        <w:t xml:space="preserve">, and the side-by-side ACTG 320</w:t>
      </w:r>
      <w:r>
        <w:t xml:space="preserve"> </w:t>
      </w:r>
      <w:r>
        <w:t xml:space="preserve">reproduction in the companion repository).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baselin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cleanTMLE against adjacent tools. The estimator layer overlaps with established packages; the outcome-blind selection, the DQ stress test, and the machine-checkable prespecification record are the distinguishing combination.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01"/>
              <w:gridCol w:w="2014"/>
              <w:gridCol w:w="503"/>
              <w:gridCol w:w="1052"/>
              <w:gridCol w:w="16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 / survtmle / lmtp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STaRT-RWE / HARPER + git/renv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Doubly robust 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AIPW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/ competing risks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 (binary point now; survival on roadmap)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survtmle / lmtp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(compose with lmtp)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Outcome-blind plasmode candidate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Data-quality stress test (shared decision scale)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Prespecification lock + audit trail + staged decision gate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Paper template; not machine-checked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Fit-for-purpose to estimator-selection bridge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</w:tbl>
          <w:bookmarkEnd w:id="129"/>
          <w:p/>
        </w:tc>
      </w:tr>
    </w:tbl>
    <w:p>
      <w:pPr>
        <w:pStyle w:val="BodyText"/>
      </w:pPr>
      <w:r>
        <w:t xml:space="preserve">The contrast with the E-value is treated once in</w:t>
      </w:r>
      <w:r>
        <w:t xml:space="preserve"> </w:t>
      </w:r>
      <w:hyperlink w:anchor="sec-evalue">
        <w:r>
          <w:rPr>
            <w:rStyle w:val="Hyperlink"/>
          </w:rPr>
          <w:t xml:space="preserve">Section 9.5</w:t>
        </w:r>
      </w:hyperlink>
      <w:r>
        <w:t xml:space="preserve">, where the</w:t>
      </w:r>
      <w:r>
        <w:t xml:space="preserve"> </w:t>
      </w:r>
      <w:r>
        <w:t xml:space="preserve">post-hoc E-value and the pre-hoc, candidate-specific DQ stress test are shown</w:t>
      </w:r>
      <w:r>
        <w:t xml:space="preserve"> </w:t>
      </w:r>
      <w:r>
        <w:t xml:space="preserve">to answer different questions and to be worth reporting together.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30"/>
    <w:bookmarkStart w:id="131" w:name="sec-limitations"/>
    <w:p>
      <w:pPr>
        <w:pStyle w:val="Heading2"/>
      </w:pPr>
      <w:r>
        <w:t xml:space="preserve">12.4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31"/>
    <w:bookmarkStart w:id="137" w:name="other-limitations"/>
    <w:p>
      <w:pPr>
        <w:pStyle w:val="Heading2"/>
      </w:pPr>
      <w:r>
        <w:t xml:space="preserve">12.5 Other limitations</w:t>
      </w:r>
    </w:p>
    <w:p>
      <w:pPr>
        <w:pStyle w:val="FirstParagraph"/>
      </w:pPr>
      <w:r>
        <w:t xml:space="preserve">The current implementation has additional limitations the</w:t>
      </w:r>
      <w:r>
        <w:t xml:space="preserve"> </w:t>
      </w:r>
      <w:r>
        <w:t xml:space="preserve">analyst should keep in mind, grouped into the candidate-selection</w:t>
      </w:r>
      <w:r>
        <w:t xml:space="preserve"> </w:t>
      </w:r>
      <w:r>
        <w:t xml:space="preserve">rule, model assumptions, computational cost, and estimand scope.</w:t>
      </w:r>
    </w:p>
    <w:bookmarkStart w:id="132" w:name="candidate-selection-rule-fiord-alignment"/>
    <w:p>
      <w:pPr>
        <w:pStyle w:val="Heading3"/>
      </w:pPr>
      <w:r>
        <w:t xml:space="preserve">12.5.1 Candidate-selection rule (FIORD alignment)</w:t>
      </w:r>
    </w:p>
    <w:p>
      <w:pPr>
        <w:pStyle w:val="FirstParagraph"/>
      </w:pPr>
      <w:r>
        <w:t xml:space="preserve">The FIORD outcome-blind simulation guidance</w:t>
      </w:r>
      <w:r>
        <w:t xml:space="preserve"> </w:t>
      </w:r>
      <w:r>
        <w:t xml:space="preserve">(Nance et al. 2026)</w:t>
      </w:r>
      <w:r>
        <w:t xml:space="preserve"> </w:t>
      </w:r>
      <w:r>
        <w:t xml:space="preserve">separates</w:t>
      </w:r>
      <w:r>
        <w:t xml:space="preserve"> </w:t>
      </w:r>
      <w:r>
        <w:t xml:space="preserve">candidate selection into two tasks: first screen point estimators by</w:t>
      </w:r>
      <w:r>
        <w:t xml:space="preserve"> </w:t>
      </w:r>
      <w:r>
        <w:t xml:space="preserve">oracle coverage (a CI built from the Monte Carlo empirical SE) and pick</w:t>
      </w:r>
      <w:r>
        <w:t xml:space="preserve"> </w:t>
      </w:r>
      <w:r>
        <w:t xml:space="preserve">the lowest-variance survivor, then select the variance method on the</w:t>
      </w:r>
      <w:r>
        <w:t xml:space="preserve"> </w:t>
      </w:r>
      <w:r>
        <w:t xml:space="preserve">locked point estimator using nominal CI coverage. cleanTMLE implements</w:t>
      </w:r>
      <w:r>
        <w:t xml:space="preserve"> </w:t>
      </w:r>
      <w:r>
        <w:t xml:space="preserve">both stages. Stage one is</w:t>
      </w:r>
      <w:r>
        <w:t xml:space="preserve"> </w:t>
      </w:r>
      <w:r>
        <w:rPr>
          <w:rStyle w:val="VerbatimChar"/>
        </w:rPr>
        <w:t xml:space="preserve">select_tmle_candidate(rule = "fiord_two_stage")</w:t>
      </w:r>
      <w:r>
        <w:t xml:space="preserve">,</w:t>
      </w:r>
      <w:r>
        <w:t xml:space="preserve"> </w:t>
      </w:r>
      <w:r>
        <w:t xml:space="preserve">which screens candidates to those within</w:t>
      </w:r>
      <w:r>
        <w:t xml:space="preserve"> </w:t>
      </w:r>
      <w:r>
        <w:rPr>
          <w:rStyle w:val="VerbatimChar"/>
        </w:rPr>
        <w:t xml:space="preserve">fiord_coverage_tol</w:t>
      </w:r>
      <w:r>
        <w:t xml:space="preserve"> </w:t>
      </w:r>
      <w:r>
        <w:t xml:space="preserve">of nominal</w:t>
      </w:r>
      <w:r>
        <w:t xml:space="preserve"> </w:t>
      </w:r>
      <w:r>
        <w:t xml:space="preserve">oracle coverage and locks in the lowest-SE survivor (the default</w:t>
      </w:r>
      <w:r>
        <w:t xml:space="preserve"> </w:t>
      </w:r>
      <w:r>
        <w:rPr>
          <w:rStyle w:val="VerbatimChar"/>
        </w:rPr>
        <w:t xml:space="preserve">rule = "min_rmse"</w:t>
      </w:r>
      <w:r>
        <w:t xml:space="preserve">, optionally</w:t>
      </w:r>
      <w:r>
        <w:t xml:space="preserve"> </w:t>
      </w:r>
      <w:r>
        <w:rPr>
          <w:rStyle w:val="VerbatimChar"/>
        </w:rPr>
        <w:t xml:space="preserve">"min_max_rmse"</w:t>
      </w:r>
      <w:r>
        <w:t xml:space="preserve"> </w:t>
      </w:r>
      <w:r>
        <w:t xml:space="preserve">over the DQ stress</w:t>
      </w:r>
      <w:r>
        <w:t xml:space="preserve"> </w:t>
      </w:r>
      <w:r>
        <w:t xml:space="preserve">scenarios, remains available as a single-step alternative). Stage two is</w:t>
      </w:r>
      <w:r>
        <w:t xml:space="preserve"> </w:t>
      </w:r>
      <w:r>
        <w:rPr>
          <w:rStyle w:val="VerbatimChar"/>
        </w:rPr>
        <w:t xml:space="preserve">select_variance_method()</w:t>
      </w:r>
      <w:r>
        <w:t xml:space="preserve">, which, with the point estimator fixed,</w:t>
      </w:r>
      <w:r>
        <w:t xml:space="preserve"> </w:t>
      </w:r>
      <w:r>
        <w:t xml:space="preserve">compares variance methods by their oracle coverage on synthetic data and</w:t>
      </w:r>
      <w:r>
        <w:t xml:space="preserve"> </w:t>
      </w:r>
      <w:r>
        <w:t xml:space="preserve">returns the one closest to nominal;</w:t>
      </w:r>
      <w:r>
        <w:t xml:space="preserve"> </w:t>
      </w:r>
      <w:r>
        <w:rPr>
          <w:rStyle w:val="VerbatimChar"/>
        </w:rPr>
        <w:t xml:space="preserve">bootstrap_rd_variance()</w:t>
      </w:r>
      <w:r>
        <w:t xml:space="preserve"> </w:t>
      </w:r>
      <w:r>
        <w:t xml:space="preserve">supplies a</w:t>
      </w:r>
      <w:r>
        <w:t xml:space="preserve"> </w:t>
      </w:r>
      <w:r>
        <w:t xml:space="preserve">native nonparametric bootstrap standard error and percentile interval for</w:t>
      </w:r>
      <w:r>
        <w:t xml:space="preserve"> </w:t>
      </w:r>
      <w:r>
        <w:t xml:space="preserve">the marginal risk difference under TMLE or stabilised IPTW. The bootstrap</w:t>
      </w:r>
      <w:r>
        <w:t xml:space="preserve"> </w:t>
      </w:r>
      <w:r>
        <w:t xml:space="preserve">is one option when the influence-function variance is suspect. For</w:t>
      </w:r>
      <w:r>
        <w:t xml:space="preserve"> </w:t>
      </w:r>
      <w:r>
        <w:t xml:space="preserve">stabilised IPTW the influence-function variance treats the propensity score</w:t>
      </w:r>
      <w:r>
        <w:t xml:space="preserve"> </w:t>
      </w:r>
      <w:r>
        <w:t xml:space="preserve">as known (</w:t>
      </w:r>
      <w:r>
        <w:t xml:space="preserve">J. M. Robins and Rotnitzky (1992)</w:t>
      </w:r>
      <w:r>
        <w:t xml:space="preserve">), and resampling does not remove that</w:t>
      </w:r>
      <w:r>
        <w:t xml:space="preserve"> </w:t>
      </w:r>
      <w:r>
        <w:t xml:space="preserve">conservatism, so the bootstrap interval is reported alongside the</w:t>
      </w:r>
      <w:r>
        <w:t xml:space="preserve"> </w:t>
      </w:r>
      <w:r>
        <w:t xml:space="preserve">influence-function interval and the better-calibrated one is chosen on</w:t>
      </w:r>
      <w:r>
        <w:t xml:space="preserve"> </w:t>
      </w:r>
      <w:r>
        <w:t xml:space="preserve">oracle coverage. For a matched cohort the standard nonparametric bootstrap</w:t>
      </w:r>
      <w:r>
        <w:t xml:space="preserve"> </w:t>
      </w:r>
      <w:r>
        <w:t xml:space="preserve">is not consistent (</w:t>
      </w:r>
      <w:r>
        <w:t xml:space="preserve">Abadie and Imbens (2008)</w:t>
      </w:r>
      <w:r>
        <w:t xml:space="preserve">), and the full-pipeline re-matching</w:t>
      </w:r>
      <w:r>
        <w:t xml:space="preserve"> </w:t>
      </w:r>
      <w:r>
        <w:t xml:space="preserve">variant is reported as an empirical correction. The remaining limitation is</w:t>
      </w:r>
      <w:r>
        <w:t xml:space="preserve"> </w:t>
      </w:r>
      <w:r>
        <w:t xml:space="preserve">practical. The variance-method stage is exposed as a separate call and is</w:t>
      </w:r>
      <w:r>
        <w:t xml:space="preserve"> </w:t>
      </w:r>
      <w:r>
        <w:t xml:space="preserve">not folded into a single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wrapper, and the bootstrap multiplies</w:t>
      </w:r>
      <w:r>
        <w:t xml:space="preserve"> </w:t>
      </w:r>
      <w:r>
        <w:t xml:space="preserve">computation, so analysts reserve it for the estimators where the IF variance</w:t>
      </w:r>
      <w:r>
        <w:t xml:space="preserve"> </w:t>
      </w:r>
      <w:r>
        <w:t xml:space="preserve">is known to misbehave.</w:t>
      </w:r>
    </w:p>
    <w:bookmarkEnd w:id="132"/>
    <w:bookmarkStart w:id="133" w:name="model-assumptions"/>
    <w:p>
      <w:pPr>
        <w:pStyle w:val="Heading3"/>
      </w:pPr>
      <w:r>
        <w:t xml:space="preserve">12.5.2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  <w:r>
        <w:t xml:space="preserve"> </w:t>
      </w:r>
      <w:r>
        <w:t xml:space="preserve">cleanTMLE 0.2.1 adds a</w:t>
      </w:r>
      <w:r>
        <w:t xml:space="preserve"> </w:t>
      </w:r>
      <w:r>
        <w:rPr>
          <w:rStyle w:val="VerbatimChar"/>
        </w:rPr>
        <w:t xml:space="preserve">q0_library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so the analyst can fit Q0 with a</w:t>
      </w:r>
      <w:r>
        <w:t xml:space="preserve"> </w:t>
      </w:r>
      <w:r>
        <w:t xml:space="preserve">SuperLearner library rather than the default logistic GLM; this</w:t>
      </w:r>
      <w:r>
        <w:t xml:space="preserve"> </w:t>
      </w:r>
      <w:r>
        <w:t xml:space="preserve">relaxes the bias of candidate selection toward linear-in-logit</w:t>
      </w:r>
      <w:r>
        <w:t xml:space="preserve"> </w:t>
      </w:r>
      <w:r>
        <w:t xml:space="preserve">learners when the underlying outcome surface is nonlinear. A</w:t>
      </w:r>
      <w:r>
        <w:t xml:space="preserve"> </w:t>
      </w:r>
      <w:r>
        <w:t xml:space="preserve">companion pilot simulation (</w:t>
      </w:r>
      <w:r>
        <w:rPr>
          <w:rStyle w:val="VerbatimChar"/>
        </w:rPr>
        <w:t xml:space="preserve">plasmode_selection_paper/</w:t>
      </w:r>
      <w:r>
        <w:t xml:space="preserve">) provides</w:t>
      </w:r>
      <w:r>
        <w:t xml:space="preserve"> </w:t>
      </w:r>
      <w:r>
        <w:t xml:space="preserve">the empirical motivation: at n = 500, a logistic-GLM Q0 yields</w:t>
      </w:r>
      <w:r>
        <w:t xml:space="preserve"> </w:t>
      </w:r>
      <w:r>
        <w:t xml:space="preserve">no detectable separation between fixed-library and plasmode-</w:t>
      </w:r>
      <w:r>
        <w:t xml:space="preserve"> </w:t>
      </w:r>
      <w:r>
        <w:t xml:space="preserve">selected TMLE workflows because both inherit the same linearity</w:t>
      </w:r>
      <w:r>
        <w:t xml:space="preserve"> </w:t>
      </w:r>
      <w:r>
        <w:t xml:space="preserve">bias.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33"/>
    <w:bookmarkStart w:id="134" w:name="ps-candidate-grid-and-learner-stability"/>
    <w:p>
      <w:pPr>
        <w:pStyle w:val="Heading3"/>
      </w:pPr>
      <w:r>
        <w:t xml:space="preserve">12.5.3 PS candidate grid and learner stability</w:t>
      </w:r>
    </w:p>
    <w:p>
      <w:pPr>
        <w:pStyle w:val="FirstParagraph"/>
      </w:pPr>
      <w:r>
        <w:t xml:space="preserve">The DQ stress test generates synthetic outcomes under degraded</w:t>
      </w:r>
      <w:r>
        <w:t xml:space="preserve"> </w:t>
      </w:r>
      <w:r>
        <w:t xml:space="preserve">covariate, treatment, and confounder distributions, and then re-fits</w:t>
      </w:r>
      <w:r>
        <w:t xml:space="preserve"> </w:t>
      </w:r>
      <w:r>
        <w:t xml:space="preserve">every candidate PS model on each synthetic dataset. The synthetic</w:t>
      </w:r>
      <w:r>
        <w:t xml:space="preserve"> </w:t>
      </w:r>
      <w:r>
        <w:t xml:space="preserve">designs for Scenario B (marginal overlap, PS range 0.037–0.990)</w:t>
      </w:r>
      <w:r>
        <w:t xml:space="preserve"> </w:t>
      </w:r>
      <w:r>
        <w:t xml:space="preserve">produced numerical instability in regularised learners: SL.glmnet</w:t>
      </w:r>
      <w:r>
        <w:t xml:space="preserve"> </w:t>
      </w:r>
      <w:r>
        <w:t xml:space="preserve">ran away on computation with no convergence signal, inflating wall</w:t>
      </w:r>
      <w:r>
        <w:t xml:space="preserve"> </w:t>
      </w:r>
      <w:r>
        <w:t xml:space="preserve">time by more than an order of magnitude relative to GLM. The</w:t>
      </w:r>
      <w:r>
        <w:t xml:space="preserve"> </w:t>
      </w:r>
      <w:r>
        <w:t xml:space="preserve">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therefore uses a two-candidate GLM PS</w:t>
      </w:r>
      <w:r>
        <w:t xml:space="preserve"> </w:t>
      </w:r>
      <w:r>
        <w:t xml:space="preserve">grid (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}</m:t>
        </m:r>
      </m:oMath>
      <w:r>
        <w:t xml:space="preserve">) for the DQ stress test; SL.glmnet is</w:t>
      </w:r>
      <w:r>
        <w:t xml:space="preserve"> </w:t>
      </w:r>
      <w:r>
        <w:t xml:space="preserve">retained in the SuperLearner library for the cross-fitted TMLE</w:t>
      </w:r>
      <w:r>
        <w:t xml:space="preserve"> </w:t>
      </w:r>
      <w:r>
        <w:t xml:space="preserve">nuisance fits, where it operates on the full (undegraded)</w:t>
      </w:r>
      <w:r>
        <w:t xml:space="preserve"> </w:t>
      </w:r>
      <w:r>
        <w:t xml:space="preserve">observed-data sample. In practice, the GLM and regularised-learner</w:t>
      </w:r>
      <w:r>
        <w:t xml:space="preserve"> </w:t>
      </w:r>
      <w:r>
        <w:t xml:space="preserve">PS produce near-identical plasmode metrics on the simple logistic DGP</w:t>
      </w:r>
      <w:r>
        <w:t xml:space="preserve"> </w:t>
      </w:r>
      <w:r>
        <w:t xml:space="preserve">used here, so the omission does not change the candidate-selection</w:t>
      </w:r>
      <w:r>
        <w:t xml:space="preserve"> </w:t>
      </w:r>
      <w:r>
        <w:t xml:space="preserve">outcome. Analysts with more complex DGPs or learner libraries that</w:t>
      </w:r>
      <w:r>
        <w:t xml:space="preserve"> </w:t>
      </w:r>
      <w:r>
        <w:t xml:space="preserve">include tree-based or spline models should profile DQ-stress runtime</w:t>
      </w:r>
      <w:r>
        <w:t xml:space="preserve"> </w:t>
      </w:r>
      <w:r>
        <w:t xml:space="preserve">on a small representative run before committing to a full grid.</w:t>
      </w:r>
    </w:p>
    <w:bookmarkEnd w:id="134"/>
    <w:bookmarkStart w:id="135" w:name="computational-cost"/>
    <w:p>
      <w:pPr>
        <w:pStyle w:val="Heading3"/>
      </w:pPr>
      <w:r>
        <w:t xml:space="preserve">12.5.4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</w:t>
      </w:r>
      <w:r>
        <w:t xml:space="preserve"> 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(30</w:t>
      </w:r>
      <w:r>
        <w:t xml:space="preserve"> </w:t>
      </w:r>
      <w:r>
        <w:t xml:space="preserve">replicates per cell, nine degraded severity cells plus one</w:t>
      </w:r>
      <w:r>
        <w:t xml:space="preserve"> </w:t>
      </w:r>
      <w:r>
        <w:t xml:space="preserve">undegraded baseline, and two PS candidates) the test fits 600</w:t>
      </w:r>
      <w:r>
        <w:t xml:space="preserve"> </w:t>
      </w:r>
      <w:r>
        <w:t xml:space="preserve">TMLE models per Monte Carlo scenario. For the three simulation</w:t>
      </w:r>
      <w:r>
        <w:t xml:space="preserve"> </w:t>
      </w:r>
      <w:r>
        <w:t xml:space="preserve">scenarios combined, this totals 1,800 models, which completes</w:t>
      </w:r>
      <w:r>
        <w:t xml:space="preserve"> </w:t>
      </w:r>
      <w:r>
        <w:t xml:space="preserve">in roughly three hours on a modern laptop. Larger candidate grids</w:t>
      </w:r>
      <w:r>
        <w:t xml:space="preserve"> </w:t>
      </w:r>
      <w:r>
        <w:t xml:space="preserve">or higher replicate counts scale linearly; parallelising over</w:t>
      </w:r>
      <w:r>
        <w:t xml:space="preserve"> </w:t>
      </w:r>
      <w:r>
        <w:t xml:space="preserve">severity cells is the most direct route for interactive use.</w:t>
      </w:r>
    </w:p>
    <w:bookmarkEnd w:id="135"/>
    <w:bookmarkStart w:id="136" w:name="estimand-scope"/>
    <w:p>
      <w:pPr>
        <w:pStyle w:val="Heading3"/>
      </w:pPr>
      <w:r>
        <w:t xml:space="preserve">12.5.5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as alternative</w:t>
      </w:r>
      <w:r>
        <w:t xml:space="preserve"> </w:t>
      </w:r>
      <w:r>
        <w:t xml:space="preserve">implementations.</w:t>
      </w:r>
    </w:p>
    <w:bookmarkEnd w:id="136"/>
    <w:bookmarkEnd w:id="137"/>
    <w:bookmarkStart w:id="138" w:name="future-extensions"/>
    <w:p>
      <w:pPr>
        <w:pStyle w:val="Heading2"/>
      </w:pPr>
      <w:r>
        <w:t xml:space="preserve">12.6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Single-call FIORD alignment.</w:t>
      </w:r>
      <w:r>
        <w:t xml:space="preserve"> </w:t>
      </w:r>
      <w:r>
        <w:t xml:space="preserve">Both FIORD stages are now</w:t>
      </w:r>
      <w:r>
        <w:t xml:space="preserve"> </w:t>
      </w:r>
      <w:r>
        <w:t xml:space="preserve">implemented (</w:t>
      </w:r>
      <w:r>
        <w:rPr>
          <w:rStyle w:val="VerbatimChar"/>
        </w:rPr>
        <w:t xml:space="preserve">select_tmle_candidate(rule = "fiord_two_stage")</w:t>
      </w:r>
      <w:r>
        <w:t xml:space="preserve"> </w:t>
      </w:r>
      <w:r>
        <w:t xml:space="preserve">for the</w:t>
      </w:r>
      <w:r>
        <w:t xml:space="preserve"> </w:t>
      </w:r>
      <w:r>
        <w:t xml:space="preserve">point estimator, and</w:t>
      </w:r>
      <w:r>
        <w:t xml:space="preserve"> </w:t>
      </w:r>
      <w:r>
        <w:rPr>
          <w:rStyle w:val="VerbatimChar"/>
        </w:rPr>
        <w:t xml:space="preserve">select_variance_method()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bootstrap_rd_variance()</w:t>
      </w:r>
      <w:r>
        <w:t xml:space="preserve"> </w:t>
      </w:r>
      <w:r>
        <w:t xml:space="preserve">for the variance method; see also</w:t>
      </w:r>
      <w:r>
        <w:t xml:space="preserve"> </w:t>
      </w:r>
      <w:r>
        <w:t xml:space="preserve">Mertens, Zhang, et al. (2024)</w:t>
      </w:r>
      <w:r>
        <w:t xml:space="preserve">). Folding the variance stage into a single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wrapper and caching the bootstrap would make full FIORD alignment the</w:t>
      </w:r>
      <w:r>
        <w:t xml:space="preserve"> </w:t>
      </w:r>
      <w:r>
        <w:t xml:space="preserve">one-call default rather than two explicit steps.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Operating-characteristic validation of the variance selector</w:t>
      </w:r>
      <w:r>
        <w:t xml:space="preserve"> </w:t>
      </w:r>
      <w:r>
        <w:t xml:space="preserve">at</w:t>
      </w:r>
      <w:r>
        <w:t xml:space="preserve"> </w:t>
      </w:r>
      <w:r>
        <w:t xml:space="preserve">scale, paired with the gate validation in</w:t>
      </w:r>
      <w:r>
        <w:t xml:space="preserve"> </w:t>
      </w:r>
      <w:hyperlink w:anchor="sec-gate-oc">
        <w:r>
          <w:rPr>
            <w:rStyle w:val="Hyperlink"/>
          </w:rPr>
          <w:t xml:space="preserve">Section 10</w:t>
        </w:r>
      </w:hyperlink>
      <w:r>
        <w:t xml:space="preserve">, so the</w:t>
      </w:r>
      <w:r>
        <w:t xml:space="preserve"> </w:t>
      </w:r>
      <w:r>
        <w:t xml:space="preserve">variance-method choice is itself shown to recover nominal coverage</w:t>
      </w:r>
      <w:r>
        <w:t xml:space="preserve"> </w:t>
      </w:r>
      <w:r>
        <w:t xml:space="preserve">across a range of data-generating processes.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Unmeasured-confounding severity gradient:</w:t>
      </w:r>
      <w:r>
        <w:t xml:space="preserve"> </w:t>
      </w:r>
      <w:r>
        <w:t xml:space="preserve">vary the strength</w:t>
      </w:r>
      <w:r>
        <w:t xml:space="preserve"> </w:t>
      </w:r>
      <w:r>
        <w:t xml:space="preserve">of the latent-U scenario across a prespecified grid rather than</w:t>
      </w:r>
      <w:r>
        <w:t xml:space="preserve"> </w:t>
      </w:r>
      <w:r>
        <w:t xml:space="preserve">running a single strong-U setting, so the DQ stress test</w:t>
      </w:r>
      <w:r>
        <w:t xml:space="preserve"> </w:t>
      </w:r>
      <w:r>
        <w:t xml:space="preserve">produces an E-value-style sensitivity curve as a by-product.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Pre-protocol stress-test mode:</w:t>
      </w:r>
      <w:r>
        <w:t xml:space="preserve"> </w:t>
      </w:r>
      <w:r>
        <w:t xml:space="preserve">allow the plasmode and DQ</w:t>
      </w:r>
      <w:r>
        <w:t xml:space="preserve"> </w:t>
      </w:r>
      <w:r>
        <w:t xml:space="preserve">stress test to run on user-specified covariate distributions</w:t>
      </w:r>
      <w:r>
        <w:t xml:space="preserve"> </w:t>
      </w:r>
      <w:r>
        <w:t xml:space="preserve">and treatment-mechanism strength (no real data required) so</w:t>
      </w:r>
      <w:r>
        <w:t xml:space="preserve"> </w:t>
      </w:r>
      <w:r>
        <w:t xml:space="preserve">that investigators can decide which dataset to use before any</w:t>
      </w:r>
      <w:r>
        <w:t xml:space="preserve"> </w:t>
      </w:r>
      <w:r>
        <w:t xml:space="preserve">data-use agreement is signed.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DGP-spectrum argument</w:t>
      </w:r>
      <w:r>
        <w:t xml:space="preserve"> </w:t>
      </w:r>
      <w:r>
        <w:t xml:space="preserve">for the plasmode generator: structural-</w:t>
      </w:r>
      <w:r>
        <w:t xml:space="preserve"> </w:t>
      </w:r>
      <w:r>
        <w:t xml:space="preserve">equation (</w:t>
      </w:r>
      <w:r>
        <w:rPr>
          <w:rStyle w:val="VerbatimChar"/>
        </w:rPr>
        <w:t xml:space="preserve">simcausal</w:t>
      </w:r>
      <w:r>
        <w:t xml:space="preserve">-style), hybrid (current default), and</w:t>
      </w:r>
      <w:r>
        <w:t xml:space="preserve"> </w:t>
      </w:r>
      <w:r>
        <w:t xml:space="preserve">parametric-bootstrap modes, with synthetic-data fidelity metrics</w:t>
      </w:r>
      <w:r>
        <w:t xml:space="preserve"> </w:t>
      </w:r>
      <w:r>
        <w:t xml:space="preserve">(Hellinger / Wasserstein, or covariate SMDs between real and</w:t>
      </w:r>
      <w:r>
        <w:t xml:space="preserve"> </w:t>
      </w:r>
      <w:r>
        <w:t xml:space="preserve">synthetic samples) so the analyst can judge whether the DGP is</w:t>
      </w:r>
      <w:r>
        <w:t xml:space="preserve"> </w:t>
      </w:r>
      <w:r>
        <w:t xml:space="preserve">faithful enough to base candidate selection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Matched-cohort vs full-cohort plasmode diagnostic:</w:t>
      </w:r>
      <w:r>
        <w:t xml:space="preserve"> </w:t>
      </w:r>
      <w:r>
        <w:t xml:space="preserve">under a</w:t>
      </w:r>
      <w:r>
        <w:t xml:space="preserve"> </w:t>
      </w:r>
      <w:r>
        <w:t xml:space="preserve">known synthetic truth, compare the two estimators side by side</w:t>
      </w:r>
      <w:r>
        <w:t xml:space="preserve"> </w:t>
      </w:r>
      <w:r>
        <w:t xml:space="preserve">to diagnose whether observed real-data gaps are sampling noise</w:t>
      </w:r>
      <w:r>
        <w:t xml:space="preserve"> </w:t>
      </w:r>
      <w:r>
        <w:t xml:space="preserve">or positivity-driven.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ltmle</w:t>
      </w:r>
      <w:r>
        <w:t xml:space="preserve"> </w:t>
      </w:r>
      <w:r>
        <w:t xml:space="preserve">for the longitudinal FIORD setting) inside the lock</w:t>
      </w:r>
      <w:r>
        <w:t xml:space="preserve"> </w:t>
      </w:r>
      <w:r>
        <w:t xml:space="preserve">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38"/>
    <w:bookmarkStart w:id="139" w:name="X3a4c45a4b83f6adca96de927f71cbd45f486421"/>
    <w:p>
      <w:pPr>
        <w:pStyle w:val="Heading2"/>
      </w:pPr>
      <w:r>
        <w:t xml:space="preserve">12.7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39"/>
    <w:bookmarkStart w:id="140" w:name="recommendations-for-practice"/>
    <w:p>
      <w:pPr>
        <w:pStyle w:val="Heading2"/>
      </w:pPr>
      <w:r>
        <w:t xml:space="preserve">12.8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6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6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40"/>
    <w:bookmarkEnd w:id="141"/>
    <w:bookmarkStart w:id="144" w:name="sec-summary"/>
    <w:p>
      <w:pPr>
        <w:pStyle w:val="Heading1"/>
      </w:pPr>
      <w:r>
        <w:t xml:space="preserve">13.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A constructed</w:t>
      </w:r>
      <w:r>
        <w:t xml:space="preserve"> </w:t>
      </w:r>
      <w:r>
        <w:t xml:space="preserve">demonstration (</w:t>
      </w:r>
      <w:hyperlink w:anchor="sec-divergence">
        <w:r>
          <w:rPr>
            <w:rStyle w:val="Hyperlink"/>
          </w:rPr>
          <w:t xml:space="preserve">Section 9.4</w:t>
        </w:r>
      </w:hyperlink>
      <w:r>
        <w:t xml:space="preserve">) shows that the worst-case selection</w:t>
      </w:r>
      <w:r>
        <w:t xml:space="preserve"> </w:t>
      </w:r>
      <w:r>
        <w:t xml:space="preserve">rule can select a different candidate from the baseline rule, so</w:t>
      </w:r>
      <w:r>
        <w:t xml:space="preserve"> </w:t>
      </w:r>
      <w:r>
        <w:t xml:space="preserve">screening candidates against data-quality threats can change which</w:t>
      </w:r>
      <w:r>
        <w:t xml:space="preserve"> </w:t>
      </w:r>
      <w:r>
        <w:t xml:space="preserve">estimator is locked.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package is available at</w:t>
      </w:r>
      <w:r>
        <w:t xml:space="preserve"> </w:t>
      </w:r>
      <w:hyperlink r:id="rId142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</w:t>
      </w:r>
      <w:r>
        <w:t xml:space="preserve"> </w:t>
      </w:r>
      <w:hyperlink w:anchor="sec-simul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43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44"/>
    <w:bookmarkStart w:id="145" w:name="sec-reproducibility"/>
    <w:p>
      <w:pPr>
        <w:pStyle w:val="Heading1"/>
      </w:pPr>
      <w:r>
        <w:t xml:space="preserve">14. Reproducibility</w:t>
      </w:r>
    </w:p>
    <w:p>
      <w:pPr>
        <w:pStyle w:val="FirstParagraph"/>
      </w:pPr>
      <w:r>
        <w:t xml:space="preserve">The cleanTMLE package ships 17 testthat test files covering the core</w:t>
      </w:r>
      <w:r>
        <w:t xml:space="preserve"> </w:t>
      </w:r>
      <w:r>
        <w:t xml:space="preserve">workflow: analysis-lock creation and validation, staged checkpoints and</w:t>
      </w:r>
      <w:r>
        <w:t xml:space="preserve"> </w:t>
      </w:r>
      <w:r>
        <w:t xml:space="preserve">decision thresholds, DQ stress-test mechanics and degradation gradients,</w:t>
      </w:r>
      <w:r>
        <w:t xml:space="preserve"> </w:t>
      </w:r>
      <w:r>
        <w:t xml:space="preserve">bootstrap and influence-function variance estimators (including the</w:t>
      </w:r>
      <w:r>
        <w:t xml:space="preserve"> </w:t>
      </w:r>
      <w:r>
        <w:rPr>
          <w:rStyle w:val="VerbatimChar"/>
        </w:rPr>
        <w:t xml:space="preserve">"match_tmle"</w:t>
      </w:r>
      <w:r>
        <w:t xml:space="preserve"> </w:t>
      </w:r>
      <w:r>
        <w:t xml:space="preserve">estimator), event-process helpers, plasmode simulation,</w:t>
      </w:r>
      <w:r>
        <w:t xml:space="preserve"> </w:t>
      </w:r>
      <w:r>
        <w:t xml:space="preserve">stage-gate authorisation, estimator ground-truth comparisons against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, and reporting tables. Tests are run on every push via</w:t>
      </w:r>
      <w:r>
        <w:t xml:space="preserve"> </w:t>
      </w:r>
      <w:r>
        <w:t xml:space="preserve">the repository’s continuous-integration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cleanTMLE/tests/testthat/</w:t>
      </w:r>
      <w:r>
        <w:t xml:space="preserve">). The experimental time-to-event estimators</w:t>
      </w:r>
      <w:r>
        <w:t xml:space="preserve"> </w:t>
      </w:r>
      <w:r>
        <w:t xml:space="preserve">have separate test files and are tagged accordingly.</w:t>
      </w:r>
    </w:p>
    <w:p>
      <w:pPr>
        <w:pStyle w:val="BodyText"/>
      </w:pPr>
      <w:r>
        <w:t xml:space="preserve">The simulation results reported in this paper are produced by three</w:t>
      </w:r>
      <w:r>
        <w:t xml:space="preserve"> </w:t>
      </w:r>
      <w:r>
        <w:t xml:space="preserve">scripts in the companion repository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https://github.com/amertens/clean-room-sim</w:t>
        </w:r>
      </w:hyperlink>
      <w:r>
        <w:t xml:space="preserve">). Each script writes its</w:t>
      </w:r>
      <w:r>
        <w:t xml:space="preserve"> </w:t>
      </w:r>
      <w:r>
        <w:t xml:space="preserve">output to the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directory, which is tracked in the repository</w:t>
      </w:r>
      <w:r>
        <w:t xml:space="preserve"> </w:t>
      </w:r>
      <w:r>
        <w:t xml:space="preserve">for the files listed below.</w:t>
      </w:r>
    </w:p>
    <w:p>
      <w:pPr>
        <w:pStyle w:val="TableCaption"/>
      </w:pPr>
      <w:r>
        <w:t xml:space="preserve">Script-to-output map. Running the scripts in order fully</w:t>
      </w:r>
      <w:r>
        <w:t xml:space="preserve"> </w:t>
      </w:r>
      <w:r>
        <w:t xml:space="preserve">regenerates the tracked simulation outputs; rendering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then</w:t>
      </w:r>
      <w:r>
        <w:t xml:space="preserve"> </w:t>
      </w:r>
      <w:r>
        <w:t xml:space="preserve">produces all figures and tables. The underscore-prefixed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dev/</w:t>
      </w:r>
      <w:r>
        <w:t xml:space="preserve">) are diagnostic utilities not required for manuscript</w:t>
      </w:r>
      <w:r>
        <w:t xml:space="preserve"> </w:t>
      </w:r>
      <w:r>
        <w:t xml:space="preserve">reproduction.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-to-output map. Running the scripts in order fully regenerates the tracked simulation outputs; rendering the .qmd then produces all figures and tables. The underscore-prefixed scripts (dev/) are diagnostic utilities not required for manuscript reprod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Output file(s)</w:t>
            </w:r>
          </w:p>
        </w:tc>
        <w:tc>
          <w:tcPr/>
          <w:p>
            <w:pPr>
              <w:pStyle w:val="Compact"/>
            </w:pPr>
            <w:r>
              <w:t xml:space="preserve">Figures /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run_simulation.R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results/simulation_results.rds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?@tbl-mc-metrics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?@fig-mc-boxplots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?@fig-coverage-bar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?@fig-se-calibration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?@fig-mc-forest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?@fig-dq-degradation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run_gate_operating_characteristics.R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results/gate_oc.rds</w:t>
            </w:r>
          </w:p>
        </w:tc>
        <w:tc>
          <w:tcPr/>
          <w:p>
            <w:pPr>
              <w:pStyle w:val="Compact"/>
            </w:pPr>
            <w:hyperlink w:anchor="sec-gate-oc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_bootstrap_variance.R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results/bootstrap_variance.rds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results/bootstrap_variance.csv</w:t>
            </w:r>
          </w:p>
        </w:tc>
        <w:tc>
          <w:tcPr/>
          <w:p>
            <w:pPr>
              <w:pStyle w:val="Compact"/>
            </w:pPr>
            <w:hyperlink w:anchor="tbl-boot-variance">
              <w:r>
                <w:rPr>
                  <w:rStyle w:val="Hyperlink"/>
                </w:rPr>
                <w:t xml:space="preserve">Table 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inst/extdata/rescueco_dq_full.R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results/rescueco_dq_full.rds</w:t>
            </w:r>
          </w:p>
        </w:tc>
        <w:tc>
          <w:tcPr/>
          <w:p>
            <w:pPr>
              <w:pStyle w:val="Compact"/>
            </w:pPr>
            <w:r>
              <w:t xml:space="preserve">Case-study DQ subsection (</w:t>
            </w:r>
            <w:hyperlink w:anchor="sec-casestudy-dq">
              <w:r>
                <w:rPr>
                  <w:rStyle w:val="Hyperlink"/>
                </w:rPr>
                <w:t xml:space="preserve">Section 11.4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sandbox/candidate_divergence/divergence_study.R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candidate_divergence_full.rds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degradation_gradient.png</w:t>
            </w:r>
          </w:p>
        </w:tc>
        <w:tc>
          <w:tcPr/>
          <w:p>
            <w:pPr>
              <w:pStyle w:val="Compact"/>
            </w:pPr>
            <w:hyperlink w:anchor="sec-divergence">
              <w:r>
                <w:rPr>
                  <w:rStyle w:val="Hyperlink"/>
                </w:rPr>
                <w:t xml:space="preserve">Section 9.4</w:t>
              </w:r>
            </w:hyperlink>
            <w:r>
              <w:t xml:space="preserve"> </w:t>
            </w:r>
            <w:r>
              <w:t xml:space="preserve">(</w:t>
            </w:r>
            <w:hyperlink w:anchor="fig-divergence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The case-study DQ results reported in</w:t>
      </w:r>
      <w:r>
        <w:t xml:space="preserve"> </w:t>
      </w:r>
      <w:hyperlink w:anchor="sec-casestudy-dq">
        <w:r>
          <w:rPr>
            <w:rStyle w:val="Hyperlink"/>
          </w:rPr>
          <w:t xml:space="preserve">Section 11.4</w:t>
        </w:r>
      </w:hyperlink>
      <w:r>
        <w:t xml:space="preserve"> </w:t>
      </w:r>
      <w:r>
        <w:t xml:space="preserve">use the</w:t>
      </w:r>
      <w:r>
        <w:t xml:space="preserve"> </w:t>
      </w:r>
      <w:r>
        <w:t xml:space="preserve">200-replicate run produced by</w:t>
      </w:r>
      <w:r>
        <w:t xml:space="preserve"> </w:t>
      </w:r>
      <w:r>
        <w:rPr>
          <w:rStyle w:val="VerbatimChar"/>
        </w:rPr>
        <w:t xml:space="preserve">inst/extdata/rescueco_dq_full.R</w:t>
      </w:r>
      <w:r>
        <w:t xml:space="preserve">. The</w:t>
      </w:r>
      <w:r>
        <w:t xml:space="preserve"> </w:t>
      </w:r>
      <w:r>
        <w:t xml:space="preserve">bundled configuration (</w:t>
      </w:r>
      <w:r>
        <w:rPr>
          <w:rStyle w:val="VerbatimChar"/>
        </w:rPr>
        <w:t xml:space="preserve">config/clean_room_config.yml</w:t>
      </w:r>
      <w:r>
        <w:t xml:space="preserve">) runs Stage 2c</w:t>
      </w:r>
      <w:r>
        <w:t xml:space="preserve"> </w:t>
      </w:r>
      <w:r>
        <w:t xml:space="preserve">at 3 replicates per threat-severity cell as a continuous-integration</w:t>
      </w:r>
      <w:r>
        <w:t xml:space="preserve"> </w:t>
      </w:r>
      <w:r>
        <w:t xml:space="preserve">smoke test, which is not used for any reported result.</w:t>
      </w:r>
    </w:p>
    <w:bookmarkEnd w:id="145"/>
    <w:bookmarkStart w:id="161" w:name="sec-appendix"/>
    <w:p>
      <w:pPr>
        <w:pStyle w:val="Heading1"/>
      </w:pPr>
      <w:r>
        <w:t xml:space="preserve">Appendix</w:t>
      </w:r>
    </w:p>
    <w:bookmarkStart w:id="147" w:name="conceptual-layers-of-the-workflow"/>
    <w:p>
      <w:pPr>
        <w:pStyle w:val="Heading2"/>
      </w:pPr>
      <w:r>
        <w:t xml:space="preserve">14.1 Conceptual layers of the workflow</w:t>
      </w:r>
    </w:p>
    <w:p>
      <w:pPr>
        <w:pStyle w:val="FirstParagraph"/>
      </w:pPr>
      <w:hyperlink w:anchor="tbl-layer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distinguishes the conceptual layers that the workflow keeps</w:t>
      </w:r>
      <w:r>
        <w:t xml:space="preserve"> </w:t>
      </w:r>
      <w:r>
        <w:t xml:space="preserve">separate, and serves as a reference for which decisions are addressed at</w:t>
      </w:r>
      <w:r>
        <w:t xml:space="preserve"> </w:t>
      </w:r>
      <w:r>
        <w:t xml:space="preserve">the design stage versus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146"/>
          <w:p/>
        </w:tc>
      </w:tr>
    </w:tbl>
    <w:bookmarkEnd w:id="147"/>
    <w:bookmarkStart w:id="156" w:name="the-package-inside-the-causal-roadmap"/>
    <w:p>
      <w:pPr>
        <w:pStyle w:val="Heading2"/>
      </w:pPr>
      <w:r>
        <w:t xml:space="preserve">14.2 The package inside the causal roadmap</w:t>
      </w:r>
    </w:p>
    <w:p>
      <w:pPr>
        <w:pStyle w:val="FirstParagraph"/>
      </w:pPr>
      <w:hyperlink w:anchor="fig-roadmap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where the package sits in the roadmap, and</w:t>
      </w:r>
      <w:r>
        <w:t xml:space="preserve"> </w:t>
      </w:r>
      <w:hyperlink w:anchor="fig-governanc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software arrangement as one layer of a broader</w:t>
      </w:r>
      <w:r>
        <w:t xml:space="preserve"> </w:t>
      </w:r>
      <w:r>
        <w:t xml:space="preserve">governance stack in which external validation, independent oversight,</w:t>
      </w:r>
      <w:r>
        <w:t xml:space="preserve"> </w:t>
      </w:r>
      <w:r>
        <w:t xml:space="preserve">and data standards remain necessary inputs to the pre-outcome decision.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roadmap"/>
          <w:p>
            <w:pPr>
              <w:pStyle w:val="Compact"/>
              <w:jc w:val="center"/>
            </w:pPr>
            <w:r>
              <w:drawing>
                <wp:inline>
                  <wp:extent cx="3733800" cy="597408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figures/fig-roadma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974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cleanTMLE inside the causal roadmap. Boxes shaded grey indicate work that the package can operationalise; the remaining boxes are external study-level activities.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governance"/>
          <w:p>
            <w:pPr>
              <w:pStyle w:val="Compact"/>
              <w:jc w:val="center"/>
            </w:pPr>
            <w:r>
              <w:drawing>
                <wp:inline>
                  <wp:extent cx="4800600" cy="4235823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figures/fig-governanc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42358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Governance layers. The software-level arrangement is necessary but not sufficient for regulatory or confirmatory RWE; external validation, independent review, and data standards feed the pre-outcome decision.</w:t>
            </w:r>
          </w:p>
          <w:bookmarkEnd w:id="155"/>
        </w:tc>
      </w:tr>
    </w:tbl>
    <w:bookmarkEnd w:id="156"/>
    <w:bookmarkStart w:id="158" w:name="regulatory-alignment"/>
    <w:p>
      <w:pPr>
        <w:pStyle w:val="Heading2"/>
      </w:pPr>
      <w:r>
        <w:t xml:space="preserve">14.3 Regulatory alignment</w:t>
      </w:r>
    </w:p>
    <w:p>
      <w:pPr>
        <w:pStyle w:val="FirstParagraph"/>
      </w:pPr>
      <w:hyperlink w:anchor="tbl-reg-alig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maps each roadmap component to the corresponding</w:t>
      </w:r>
      <w:r>
        <w:t xml:space="preserve"> </w:t>
      </w:r>
      <w:r>
        <w:t xml:space="preserve">manuscript section, the relevant FDA, EMA, and ICH expectation, what</w:t>
      </w:r>
      <w:r>
        <w:t xml:space="preserve"> </w:t>
      </w:r>
      <w:r>
        <w:t xml:space="preserve">cleanTMLE can operationalise in software, and what still requires</w:t>
      </w:r>
      <w:r>
        <w:t xml:space="preserve"> </w:t>
      </w:r>
      <w:r>
        <w:t xml:space="preserve">external study-level justification. The final column is the one that</w:t>
      </w:r>
      <w:r>
        <w:t xml:space="preserve"> </w:t>
      </w:r>
      <w:r>
        <w:t xml:space="preserve">distinguishes the software-level workflow from the broader regulatory</w:t>
      </w:r>
      <w:r>
        <w:t xml:space="preserve"> </w:t>
      </w:r>
      <w:r>
        <w:t xml:space="preserve">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7"/>
              <w:gridCol w:w="1000"/>
              <w:gridCol w:w="2167"/>
              <w:gridCol w:w="1834"/>
              <w:gridCol w:w="1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casestudy">
                    <w:r>
                      <w:rPr>
                        <w:rStyle w:val="Hyperlink"/>
                      </w:rPr>
                      <w:t xml:space="preserve">Section 11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d">
                    <w:r>
                      <w:rPr>
                        <w:rStyle w:val="Hyperlink"/>
                      </w:rPr>
                      <w:t xml:space="preserve">Section 4.4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framework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implementation">
                    <w:r>
                      <w:rPr>
                        <w:rStyle w:val="Hyperlink"/>
                      </w:rPr>
                      <w:t xml:space="preserve">Section 8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q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bridge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mplementation">
                    <w:r>
                      <w:rPr>
                        <w:rStyle w:val="Hyperlink"/>
                      </w:rPr>
                      <w:t xml:space="preserve">Section 8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12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12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157"/>
          <w:p/>
        </w:tc>
      </w:tr>
    </w:tbl>
    <w:bookmarkEnd w:id="158"/>
    <w:bookmarkStart w:id="160" w:name="event-process-and-diagnostic-helpers"/>
    <w:p>
      <w:pPr>
        <w:pStyle w:val="Heading2"/>
      </w:pPr>
      <w:r>
        <w:t xml:space="preserve">14.4 Event-process and diagnostic helpers</w:t>
      </w:r>
    </w:p>
    <w:p>
      <w:pPr>
        <w:pStyle w:val="FirstParagraph"/>
      </w:pPr>
      <w:hyperlink w:anchor="tbl-event-diag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lists the additional event-process and diagnostic</w:t>
      </w:r>
      <w:r>
        <w:t xml:space="preserve"> </w:t>
      </w:r>
      <w:r>
        <w:t xml:space="preserve">structures the package makes explicit, paired with the helper that</w:t>
      </w:r>
      <w:r>
        <w:t xml:space="preserve"> </w:t>
      </w:r>
      <w:r>
        <w:t xml:space="preserve">produces each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159"/>
          <w:p/>
        </w:tc>
      </w:tr>
    </w:tbl>
    <w:bookmarkEnd w:id="160"/>
    <w:bookmarkEnd w:id="161"/>
    <w:bookmarkStart w:id="16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 the broader</w:t>
      </w:r>
      <w:r>
        <w:t xml:space="preserve"> </w:t>
      </w:r>
      <w:r>
        <w:t xml:space="preserve">cumulative-risk pharmacoepidemiology literature whose estimand</w:t>
      </w:r>
      <w:r>
        <w:t xml:space="preserve"> </w:t>
      </w:r>
      <w:r>
        <w:t xml:space="preserve">framing motivated several of our diagnostic helpers. Any errors</w:t>
      </w:r>
      <w:r>
        <w:t xml:space="preserve"> </w:t>
      </w:r>
      <w:r>
        <w:t xml:space="preserve">are ours.</w:t>
      </w:r>
    </w:p>
    <w:bookmarkEnd w:id="162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164" w:name="ref-abadie2008bootstrap"/>
    <w:p>
      <w:pPr>
        <w:pStyle w:val="Bibliography"/>
      </w:pPr>
      <w:r>
        <w:t xml:space="preserve">Abadie, Alberto, and Guido W. Imbens. 2008.</w:t>
      </w:r>
      <w:r>
        <w:t xml:space="preserve"> </w:t>
      </w:r>
      <w:r>
        <w:t xml:space="preserve">“On the Failure of the Bootstrap for Matching Estimators.”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76 (6): 1537–57.</w:t>
      </w:r>
      <w:r>
        <w:t xml:space="preserve"> </w:t>
      </w:r>
      <w:hyperlink r:id="rId163">
        <w:r>
          <w:rPr>
            <w:rStyle w:val="Hyperlink"/>
          </w:rPr>
          <w:t xml:space="preserve">https://doi.org/10.3982/ECTA5444</w:t>
        </w:r>
      </w:hyperlink>
      <w:r>
        <w:t xml:space="preserve">.</w:t>
      </w:r>
    </w:p>
    <w:bookmarkEnd w:id="164"/>
    <w:bookmarkStart w:id="166" w:name="ref-austin2009ps"/>
    <w:p>
      <w:pPr>
        <w:pStyle w:val="Bibliography"/>
      </w:pPr>
      <w:r>
        <w:t xml:space="preserve">Austin, Peter C. 2009.</w:t>
      </w:r>
      <w:r>
        <w:t xml:space="preserve"> </w:t>
      </w:r>
      <w:r>
        <w:t xml:space="preserve">“Balance Diagnostics for Comparing the Distribution of Baseline Covariates Between Treatment Groups in Propensity-Score Matched Samples.”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28 (25): 3083–3107.</w:t>
      </w:r>
      <w:r>
        <w:t xml:space="preserve"> </w:t>
      </w:r>
      <w:hyperlink r:id="rId165">
        <w:r>
          <w:rPr>
            <w:rStyle w:val="Hyperlink"/>
          </w:rPr>
          <w:t xml:space="preserve">https://doi.org/10.1002/sim.3697</w:t>
        </w:r>
      </w:hyperlink>
      <w:r>
        <w:t xml:space="preserve">.</w:t>
      </w:r>
    </w:p>
    <w:bookmarkEnd w:id="166"/>
    <w:bookmarkStart w:id="167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67"/>
    <w:bookmarkStart w:id="169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69"/>
    <w:bookmarkStart w:id="171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70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71"/>
    <w:bookmarkStart w:id="173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72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73"/>
    <w:bookmarkStart w:id="175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74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75"/>
    <w:bookmarkStart w:id="177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76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77"/>
    <w:bookmarkStart w:id="179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78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79"/>
    <w:bookmarkStart w:id="180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80"/>
    <w:bookmarkStart w:id="182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81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82"/>
    <w:bookmarkStart w:id="184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83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84"/>
    <w:bookmarkStart w:id="186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85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86"/>
    <w:bookmarkStart w:id="188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87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88"/>
    <w:bookmarkStart w:id="190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89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90"/>
    <w:bookmarkStart w:id="192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9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92"/>
    <w:bookmarkStart w:id="193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9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93"/>
    <w:bookmarkStart w:id="194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94"/>
    <w:bookmarkStart w:id="195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95"/>
    <w:bookmarkStart w:id="196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96"/>
    <w:bookmarkStart w:id="198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97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98"/>
    <w:bookmarkStart w:id="199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99"/>
    <w:bookmarkStart w:id="201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200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201"/>
    <w:bookmarkStart w:id="203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202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203"/>
    <w:bookmarkStart w:id="205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204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205"/>
    <w:bookmarkStart w:id="207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206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207"/>
    <w:bookmarkStart w:id="209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208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209"/>
    <w:bookmarkStart w:id="211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210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211"/>
    <w:bookmarkStart w:id="213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212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213"/>
    <w:bookmarkStart w:id="214" w:name="ref-mertens2024danish"/>
    <w:p>
      <w:pPr>
        <w:pStyle w:val="Bibliography"/>
      </w:pPr>
      <w:r>
        <w:t xml:space="preserve">Mertens, Andrew, Zhiwei Zhang, et al. 2024.</w:t>
      </w:r>
      <w:r>
        <w:t xml:space="preserve"> </w:t>
      </w:r>
      <w:r>
        <w:t xml:space="preserve">“Bootstrap Variance Estimation for TMLE Under Positivity Strain in a Danish Registry Comparative-Effectiveness Study.”</w:t>
      </w:r>
      <w:r>
        <w:t xml:space="preserve"> </w:t>
      </w:r>
      <w:r>
        <w:rPr>
          <w:i/>
          <w:iCs/>
        </w:rPr>
        <w:t xml:space="preserve">Working Paper</w:t>
      </w:r>
      <w:r>
        <w:t xml:space="preserve">.</w:t>
      </w:r>
    </w:p>
    <w:bookmarkEnd w:id="214"/>
    <w:bookmarkStart w:id="216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215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216"/>
    <w:bookmarkStart w:id="217" w:name="ref-nance2026fiord"/>
    <w:p>
      <w:pPr>
        <w:pStyle w:val="Bibliography"/>
      </w:pPr>
      <w:r>
        <w:t xml:space="preserve">Nance, Nerissa, Susan Gruber, Hashim Khan, Lina Han, Maya Petersen, Andrew Mertens, Mark J. van der Laan, and FIORD collaborators. 2026.</w:t>
      </w:r>
      <w:r>
        <w:t xml:space="preserve"> </w:t>
      </w:r>
      <w:r>
        <w:t xml:space="preserve">“Simulations to Specify Estimation Choices in Causal Analyses: A Longitudinal Case Study.”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.</w:t>
      </w:r>
    </w:p>
    <w:bookmarkEnd w:id="217"/>
    <w:bookmarkStart w:id="219" w:name="ref-nice2022rwe"/>
    <w:p>
      <w:pPr>
        <w:pStyle w:val="Bibliography"/>
      </w:pPr>
      <w:r>
        <w:t xml:space="preserve">National Institute for Health and Care Excellence. 2022.</w:t>
      </w:r>
      <w:r>
        <w:t xml:space="preserve"> </w:t>
      </w:r>
      <w:r>
        <w:t xml:space="preserve">“</w:t>
      </w:r>
      <w:r>
        <w:t xml:space="preserve">NICE</w:t>
      </w:r>
      <w:r>
        <w:t xml:space="preserve"> </w:t>
      </w:r>
      <w:r>
        <w:t xml:space="preserve">Real-World Evidence Framework (ECD9).”</w:t>
      </w:r>
      <w:r>
        <w:t xml:space="preserve"> </w:t>
      </w:r>
      <w:r>
        <w:t xml:space="preserve">NICE corporate document, London.</w:t>
      </w:r>
      <w:r>
        <w:t xml:space="preserve"> </w:t>
      </w:r>
      <w:hyperlink r:id="rId218">
        <w:r>
          <w:rPr>
            <w:rStyle w:val="Hyperlink"/>
          </w:rPr>
          <w:t xml:space="preserve">https://www.nice.org.uk/corporate/ecd9</w:t>
        </w:r>
      </w:hyperlink>
      <w:r>
        <w:t xml:space="preserve">.</w:t>
      </w:r>
    </w:p>
    <w:bookmarkEnd w:id="219"/>
    <w:bookmarkStart w:id="221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220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221"/>
    <w:bookmarkStart w:id="223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222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223"/>
    <w:bookmarkStart w:id="225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224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225"/>
    <w:bookmarkStart w:id="226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226"/>
    <w:bookmarkStart w:id="227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227"/>
    <w:bookmarkStart w:id="228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228"/>
    <w:bookmarkStart w:id="230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229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230"/>
    <w:bookmarkStart w:id="232" w:name="ref-stefanski2002sandwich"/>
    <w:p>
      <w:pPr>
        <w:pStyle w:val="Bibliography"/>
      </w:pPr>
      <w:r>
        <w:t xml:space="preserve">Stefanski, Leonard A., and Dennis D. Boos. 2002.</w:t>
      </w:r>
      <w:r>
        <w:t xml:space="preserve"> </w:t>
      </w:r>
      <w:r>
        <w:t xml:space="preserve">“The Calculus of</w:t>
      </w:r>
      <w:r>
        <w:t xml:space="preserve"> </w:t>
      </w:r>
      <w:r>
        <w:t xml:space="preserve">M</w:t>
      </w:r>
      <w:r>
        <w:t xml:space="preserve">-Estimation.”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56 (1): 29–38.</w:t>
      </w:r>
      <w:r>
        <w:t xml:space="preserve"> </w:t>
      </w:r>
      <w:hyperlink r:id="rId231">
        <w:r>
          <w:rPr>
            <w:rStyle w:val="Hyperlink"/>
          </w:rPr>
          <w:t xml:space="preserve">https://doi.org/10.1198/000313002753631330</w:t>
        </w:r>
      </w:hyperlink>
      <w:r>
        <w:t xml:space="preserve">.</w:t>
      </w:r>
    </w:p>
    <w:bookmarkEnd w:id="232"/>
    <w:bookmarkStart w:id="234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233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234"/>
    <w:bookmarkStart w:id="236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235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236"/>
    <w:bookmarkStart w:id="238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237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238"/>
    <w:bookmarkStart w:id="240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239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240"/>
    <w:bookmarkStart w:id="242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241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242"/>
    <w:bookmarkStart w:id="244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43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244"/>
    <w:bookmarkStart w:id="246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245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246"/>
    <w:bookmarkStart w:id="248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247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248"/>
    <w:bookmarkStart w:id="249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249"/>
    <w:bookmarkStart w:id="251" w:name="ref-wilson1998gose"/>
    <w:p>
      <w:pPr>
        <w:pStyle w:val="Bibliography"/>
      </w:pPr>
      <w:r>
        <w:t xml:space="preserve">Wilson, J. T. Lindsay, Laura E. L. Pettigrew, and Graham M. Teasdale. 1998.</w:t>
      </w:r>
      <w:r>
        <w:t xml:space="preserve"> </w:t>
      </w:r>
      <w:r>
        <w:t xml:space="preserve">“Structured Interviews for the</w:t>
      </w:r>
      <w:r>
        <w:t xml:space="preserve"> </w:t>
      </w:r>
      <w:r>
        <w:t xml:space="preserve">G</w:t>
      </w:r>
      <w:r>
        <w:t xml:space="preserve">lasgow</w:t>
      </w:r>
      <w:r>
        <w:t xml:space="preserve"> </w:t>
      </w:r>
      <w:r>
        <w:t xml:space="preserve">O</w:t>
      </w:r>
      <w:r>
        <w:t xml:space="preserve">utcome</w:t>
      </w:r>
      <w:r>
        <w:t xml:space="preserve"> </w:t>
      </w:r>
      <w:r>
        <w:t xml:space="preserve">S</w:t>
      </w:r>
      <w:r>
        <w:t xml:space="preserve">cale and the Extended</w:t>
      </w:r>
      <w:r>
        <w:t xml:space="preserve"> </w:t>
      </w:r>
      <w:r>
        <w:t xml:space="preserve">G</w:t>
      </w:r>
      <w:r>
        <w:t xml:space="preserve">lasgow</w:t>
      </w:r>
      <w:r>
        <w:t xml:space="preserve"> </w:t>
      </w:r>
      <w:r>
        <w:t xml:space="preserve">O</w:t>
      </w:r>
      <w:r>
        <w:t xml:space="preserve">utcome</w:t>
      </w:r>
      <w:r>
        <w:t xml:space="preserve"> </w:t>
      </w:r>
      <w:r>
        <w:t xml:space="preserve">S</w:t>
      </w:r>
      <w:r>
        <w:t xml:space="preserve">cale: Guidelines for Their Use.”</w:t>
      </w:r>
      <w:r>
        <w:t xml:space="preserve"> </w:t>
      </w:r>
      <w:r>
        <w:rPr>
          <w:i/>
          <w:iCs/>
        </w:rPr>
        <w:t xml:space="preserve">Journal of Neurotrauma</w:t>
      </w:r>
      <w:r>
        <w:t xml:space="preserve"> </w:t>
      </w:r>
      <w:r>
        <w:t xml:space="preserve">15 (8): 573–85.</w:t>
      </w:r>
      <w:r>
        <w:t xml:space="preserve"> </w:t>
      </w:r>
      <w:hyperlink r:id="rId250">
        <w:r>
          <w:rPr>
            <w:rStyle w:val="Hyperlink"/>
          </w:rPr>
          <w:t xml:space="preserve">https://doi.org/10.1089/neu.1998.15.573</w:t>
        </w:r>
      </w:hyperlink>
      <w:r>
        <w:t xml:space="preserve">.</w:t>
      </w:r>
    </w:p>
    <w:bookmarkEnd w:id="251"/>
    <w:bookmarkStart w:id="253" w:name="ref-zhang2019balance"/>
    <w:p>
      <w:pPr>
        <w:pStyle w:val="Bibliography"/>
      </w:pPr>
      <w:r>
        <w:t xml:space="preserve">Zhang, Zhongheng, Hwa Jung Kim, Guillaume Lonjon, Yibing Zhu, and written on behalf of AME Big-Data Clinical Trial Collaborative Group. 2019.</w:t>
      </w:r>
      <w:r>
        <w:t xml:space="preserve"> </w:t>
      </w:r>
      <w:r>
        <w:t xml:space="preserve">“Balance Diagnostics After Propensity Score Matching.”</w:t>
      </w:r>
      <w:r>
        <w:t xml:space="preserve"> </w:t>
      </w:r>
      <w:r>
        <w:rPr>
          <w:i/>
          <w:iCs/>
        </w:rPr>
        <w:t xml:space="preserve">Annals of Translational Medicine</w:t>
      </w:r>
      <w:r>
        <w:t xml:space="preserve"> </w:t>
      </w:r>
      <w:r>
        <w:t xml:space="preserve">7 (1): 16.</w:t>
      </w:r>
      <w:r>
        <w:t xml:space="preserve"> </w:t>
      </w:r>
      <w:hyperlink r:id="rId252">
        <w:r>
          <w:rPr>
            <w:rStyle w:val="Hyperlink"/>
          </w:rPr>
          <w:t xml:space="preserve">https://doi.org/10.21037/atm.2018.12.10</w:t>
        </w:r>
      </w:hyperlink>
      <w:r>
        <w:t xml:space="preserve">.</w:t>
      </w:r>
    </w:p>
    <w:bookmarkEnd w:id="253"/>
    <w:bookmarkStart w:id="254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54"/>
    <w:bookmarkEnd w:id="255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cleanTMLE_0.1.5 ggplot2_4.0.3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png_0.1-8         </w:t>
      </w:r>
      <w:r>
        <w:br/>
      </w:r>
      <w:r>
        <w:rPr>
          <w:rStyle w:val="VerbatimChar"/>
        </w:rPr>
        <w:t xml:space="preserve">R&gt;   [9] splines_4.4.2      scales_1.4.0       yaml_2.3.10        fastmap_1.2.0     </w:t>
      </w:r>
      <w:r>
        <w:br/>
      </w:r>
      <w:r>
        <w:rPr>
          <w:rStyle w:val="VerbatimChar"/>
        </w:rPr>
        <w:t xml:space="preserve">R&gt;  [13] lattice_0.22-6     R6_2.6.1           labeling_0.4.3     generics_0.1.3    </w:t>
      </w:r>
      <w:r>
        <w:br/>
      </w:r>
      <w:r>
        <w:rPr>
          <w:rStyle w:val="VerbatimChar"/>
        </w:rPr>
        <w:t xml:space="preserve">R&gt;  [17] knitr_1.49         tibble_3.2.1       pillar_1.9.0       RColorBrewer_1.1-3</w:t>
      </w:r>
      <w:r>
        <w:br/>
      </w:r>
      <w:r>
        <w:rPr>
          <w:rStyle w:val="VerbatimChar"/>
        </w:rPr>
        <w:t xml:space="preserve">R&gt;  [21] rlang_1.1.7        utf8_1.2.4         xfun_0.49          S7_0.2.1          </w:t>
      </w:r>
      <w:r>
        <w:br/>
      </w:r>
      <w:r>
        <w:rPr>
          <w:rStyle w:val="VerbatimChar"/>
        </w:rPr>
        <w:t xml:space="preserve">R&gt;  [25] cli_3.6.5          withr_3.0.2        magrittr_2.0.3     digest_0.6.37     </w:t>
      </w:r>
      <w:r>
        <w:br/>
      </w:r>
      <w:r>
        <w:rPr>
          <w:rStyle w:val="VerbatimChar"/>
        </w:rPr>
        <w:t xml:space="preserve">R&gt;  [29] grid_4.4.2         sandwich_3.1-1     lifecycle_1.0.5    vctrs_0.7.1       </w:t>
      </w:r>
      <w:r>
        <w:br/>
      </w:r>
      <w:r>
        <w:rPr>
          <w:rStyle w:val="VerbatimChar"/>
        </w:rPr>
        <w:t xml:space="preserve">R&gt;  [33] evaluate_1.0.5     glue_1.8.0         farver_2.1.2       zoo_1.8-15        </w:t>
      </w:r>
      <w:r>
        <w:br/>
      </w:r>
      <w:r>
        <w:rPr>
          <w:rStyle w:val="VerbatimChar"/>
        </w:rPr>
        <w:t xml:space="preserve">R&gt;  [37] survival_3.7-0     fansi_1.0.6        rmarkdown_2.29     tools_4.4.2       </w:t>
      </w:r>
      <w:r>
        <w:br/>
      </w:r>
      <w:r>
        <w:rPr>
          <w:rStyle w:val="VerbatimChar"/>
        </w:rPr>
        <w:t xml:space="preserve">R&gt;  [41] pkgconfig_2.0.3    htmltools_0.5.8.1</w:t>
      </w:r>
    </w:p>
    <w:bookmarkEnd w:id="2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103" Target="media/rId103.png" /><Relationship Type="http://schemas.openxmlformats.org/officeDocument/2006/relationships/image" Id="rId152" Target="media/rId152.png" /><Relationship Type="http://schemas.openxmlformats.org/officeDocument/2006/relationships/image" Id="rId116" Target="media/rId116.png" /><Relationship Type="http://schemas.openxmlformats.org/officeDocument/2006/relationships/image" Id="rId148" Target="media/rId148.png" /><Relationship Type="http://schemas.openxmlformats.org/officeDocument/2006/relationships/image" Id="rId70" Target="media/rId70.png" /><Relationship Type="http://schemas.openxmlformats.org/officeDocument/2006/relationships/image" Id="rId86" Target="media/rId86.png" /><Relationship Type="http://schemas.openxmlformats.org/officeDocument/2006/relationships/image" Id="rId67" Target="media/rId67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212" Target="https://doi.org/10.1002/cpt.2399" TargetMode="External" /><Relationship Type="http://schemas.openxmlformats.org/officeDocument/2006/relationships/hyperlink" Id="rId183" Target="https://doi.org/10.1002/cpt.2466" TargetMode="External" /><Relationship Type="http://schemas.openxmlformats.org/officeDocument/2006/relationships/hyperlink" Id="rId185" Target="https://doi.org/10.1002/cpt.2883" TargetMode="External" /><Relationship Type="http://schemas.openxmlformats.org/officeDocument/2006/relationships/hyperlink" Id="rId208" Target="https://doi.org/10.1002/pds.5623" TargetMode="External" /><Relationship Type="http://schemas.openxmlformats.org/officeDocument/2006/relationships/hyperlink" Id="rId247" Target="https://doi.org/10.1002/pds.5642" TargetMode="External" /><Relationship Type="http://schemas.openxmlformats.org/officeDocument/2006/relationships/hyperlink" Id="rId215" Target="https://doi.org/10.1002/pds.5770" TargetMode="External" /><Relationship Type="http://schemas.openxmlformats.org/officeDocument/2006/relationships/hyperlink" Id="rId165" Target="https://doi.org/10.1002/sim.3697" TargetMode="External" /><Relationship Type="http://schemas.openxmlformats.org/officeDocument/2006/relationships/hyperlink" Id="rId202" Target="https://doi.org/10.1007/978-1-4419-9782-1" TargetMode="External" /><Relationship Type="http://schemas.openxmlformats.org/officeDocument/2006/relationships/hyperlink" Id="rId181" Target="https://doi.org/10.1016/j.csda.2013.10.018" TargetMode="External" /><Relationship Type="http://schemas.openxmlformats.org/officeDocument/2006/relationships/hyperlink" Id="rId172" Target="https://doi.org/10.1017/cts.2023.635" TargetMode="External" /><Relationship Type="http://schemas.openxmlformats.org/officeDocument/2006/relationships/hyperlink" Id="rId187" Target="https://doi.org/10.1080/19466315.2022.2116104" TargetMode="External" /><Relationship Type="http://schemas.openxmlformats.org/officeDocument/2006/relationships/hyperlink" Id="rId250" Target="https://doi.org/10.1089/neu.1998.15.573" TargetMode="External" /><Relationship Type="http://schemas.openxmlformats.org/officeDocument/2006/relationships/hyperlink" Id="rId191" Target="https://doi.org/10.1093/aje/kwv254" TargetMode="External" /><Relationship Type="http://schemas.openxmlformats.org/officeDocument/2006/relationships/hyperlink" Id="rId229" Target="https://doi.org/10.1093/aje/kww165" TargetMode="External" /><Relationship Type="http://schemas.openxmlformats.org/officeDocument/2006/relationships/hyperlink" Id="rId222" Target="https://doi.org/10.1093/ije/dyad023" TargetMode="External" /><Relationship Type="http://schemas.openxmlformats.org/officeDocument/2006/relationships/hyperlink" Id="rId206" Target="https://doi.org/10.1093/ije/dyu149" TargetMode="External" /><Relationship Type="http://schemas.openxmlformats.org/officeDocument/2006/relationships/hyperlink" Id="rId220" Target="https://doi.org/10.1097/EDE.0000000000000078" TargetMode="External" /><Relationship Type="http://schemas.openxmlformats.org/officeDocument/2006/relationships/hyperlink" Id="rId210" Target="https://doi.org/10.1097/EDE.0b013e3181d61eeb" TargetMode="External" /><Relationship Type="http://schemas.openxmlformats.org/officeDocument/2006/relationships/hyperlink" Id="rId170" Target="https://doi.org/10.1111/ectj.12097" TargetMode="External" /><Relationship Type="http://schemas.openxmlformats.org/officeDocument/2006/relationships/hyperlink" Id="rId168" Target="https://doi.org/10.1136/bmj-2024-080483" TargetMode="External" /><Relationship Type="http://schemas.openxmlformats.org/officeDocument/2006/relationships/hyperlink" Id="rId245" Target="https://doi.org/10.1136/bmj.m4856" TargetMode="External" /><Relationship Type="http://schemas.openxmlformats.org/officeDocument/2006/relationships/hyperlink" Id="rId189" Target="https://doi.org/10.1186/s12874-024-02244-z" TargetMode="External" /><Relationship Type="http://schemas.openxmlformats.org/officeDocument/2006/relationships/hyperlink" Id="rId231" Target="https://doi.org/10.1198/000313002753631330" TargetMode="External" /><Relationship Type="http://schemas.openxmlformats.org/officeDocument/2006/relationships/hyperlink" Id="rId197" Target="https://doi.org/10.13063/2327-9214.1244" TargetMode="External" /><Relationship Type="http://schemas.openxmlformats.org/officeDocument/2006/relationships/hyperlink" Id="rId174" Target="https://doi.org/10.1515/ijb-2013-0004" TargetMode="External" /><Relationship Type="http://schemas.openxmlformats.org/officeDocument/2006/relationships/hyperlink" Id="rId252" Target="https://doi.org/10.21037/atm.2018.12.10" TargetMode="External" /><Relationship Type="http://schemas.openxmlformats.org/officeDocument/2006/relationships/hyperlink" Id="rId200" Target="https://doi.org/10.2202/1544-6115.1309" TargetMode="External" /><Relationship Type="http://schemas.openxmlformats.org/officeDocument/2006/relationships/hyperlink" Id="rId204" Target="https://doi.org/10.2202/1557-4679.1043" TargetMode="External" /><Relationship Type="http://schemas.openxmlformats.org/officeDocument/2006/relationships/hyperlink" Id="rId163" Target="https://doi.org/10.3982/ECTA5444" TargetMode="External" /><Relationship Type="http://schemas.openxmlformats.org/officeDocument/2006/relationships/hyperlink" Id="rId243" Target="https://doi.org/10.7326/M16-2607" TargetMode="External" /><Relationship Type="http://schemas.openxmlformats.org/officeDocument/2006/relationships/hyperlink" Id="rId143" Target="https://github.com/amertens/clean-room-sim" TargetMode="External" /><Relationship Type="http://schemas.openxmlformats.org/officeDocument/2006/relationships/hyperlink" Id="rId142" Target="https://github.com/amertens/cleanTMLE" TargetMode="External" /><Relationship Type="http://schemas.openxmlformats.org/officeDocument/2006/relationships/hyperlink" Id="rId224" Target="https://www.R-project.org/" TargetMode="External" /><Relationship Type="http://schemas.openxmlformats.org/officeDocument/2006/relationships/hyperlink" Id="rId178" Target="https://www.ema.europa.eu/en/about-us/how-we-work/big-data/real-world-evidence" TargetMode="External" /><Relationship Type="http://schemas.openxmlformats.org/officeDocument/2006/relationships/hyperlink" Id="rId176" Target="https://www.ema.europa.eu/en/guideline-registry-based-studies-scientific-guideline" TargetMode="External" /><Relationship Type="http://schemas.openxmlformats.org/officeDocument/2006/relationships/hyperlink" Id="rId233" Target="https://www.fda.gov/media/120060/download" TargetMode="External" /><Relationship Type="http://schemas.openxmlformats.org/officeDocument/2006/relationships/hyperlink" Id="rId237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39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35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41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218" Target="https://www.nice.org.uk/corporate/ecd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2" Target="https://doi.org/10.1002/cpt.2399" TargetMode="External" /><Relationship Type="http://schemas.openxmlformats.org/officeDocument/2006/relationships/hyperlink" Id="rId183" Target="https://doi.org/10.1002/cpt.2466" TargetMode="External" /><Relationship Type="http://schemas.openxmlformats.org/officeDocument/2006/relationships/hyperlink" Id="rId185" Target="https://doi.org/10.1002/cpt.2883" TargetMode="External" /><Relationship Type="http://schemas.openxmlformats.org/officeDocument/2006/relationships/hyperlink" Id="rId208" Target="https://doi.org/10.1002/pds.5623" TargetMode="External" /><Relationship Type="http://schemas.openxmlformats.org/officeDocument/2006/relationships/hyperlink" Id="rId247" Target="https://doi.org/10.1002/pds.5642" TargetMode="External" /><Relationship Type="http://schemas.openxmlformats.org/officeDocument/2006/relationships/hyperlink" Id="rId215" Target="https://doi.org/10.1002/pds.5770" TargetMode="External" /><Relationship Type="http://schemas.openxmlformats.org/officeDocument/2006/relationships/hyperlink" Id="rId165" Target="https://doi.org/10.1002/sim.3697" TargetMode="External" /><Relationship Type="http://schemas.openxmlformats.org/officeDocument/2006/relationships/hyperlink" Id="rId202" Target="https://doi.org/10.1007/978-1-4419-9782-1" TargetMode="External" /><Relationship Type="http://schemas.openxmlformats.org/officeDocument/2006/relationships/hyperlink" Id="rId181" Target="https://doi.org/10.1016/j.csda.2013.10.018" TargetMode="External" /><Relationship Type="http://schemas.openxmlformats.org/officeDocument/2006/relationships/hyperlink" Id="rId172" Target="https://doi.org/10.1017/cts.2023.635" TargetMode="External" /><Relationship Type="http://schemas.openxmlformats.org/officeDocument/2006/relationships/hyperlink" Id="rId187" Target="https://doi.org/10.1080/19466315.2022.2116104" TargetMode="External" /><Relationship Type="http://schemas.openxmlformats.org/officeDocument/2006/relationships/hyperlink" Id="rId250" Target="https://doi.org/10.1089/neu.1998.15.573" TargetMode="External" /><Relationship Type="http://schemas.openxmlformats.org/officeDocument/2006/relationships/hyperlink" Id="rId191" Target="https://doi.org/10.1093/aje/kwv254" TargetMode="External" /><Relationship Type="http://schemas.openxmlformats.org/officeDocument/2006/relationships/hyperlink" Id="rId229" Target="https://doi.org/10.1093/aje/kww165" TargetMode="External" /><Relationship Type="http://schemas.openxmlformats.org/officeDocument/2006/relationships/hyperlink" Id="rId222" Target="https://doi.org/10.1093/ije/dyad023" TargetMode="External" /><Relationship Type="http://schemas.openxmlformats.org/officeDocument/2006/relationships/hyperlink" Id="rId206" Target="https://doi.org/10.1093/ije/dyu149" TargetMode="External" /><Relationship Type="http://schemas.openxmlformats.org/officeDocument/2006/relationships/hyperlink" Id="rId220" Target="https://doi.org/10.1097/EDE.0000000000000078" TargetMode="External" /><Relationship Type="http://schemas.openxmlformats.org/officeDocument/2006/relationships/hyperlink" Id="rId210" Target="https://doi.org/10.1097/EDE.0b013e3181d61eeb" TargetMode="External" /><Relationship Type="http://schemas.openxmlformats.org/officeDocument/2006/relationships/hyperlink" Id="rId170" Target="https://doi.org/10.1111/ectj.12097" TargetMode="External" /><Relationship Type="http://schemas.openxmlformats.org/officeDocument/2006/relationships/hyperlink" Id="rId168" Target="https://doi.org/10.1136/bmj-2024-080483" TargetMode="External" /><Relationship Type="http://schemas.openxmlformats.org/officeDocument/2006/relationships/hyperlink" Id="rId245" Target="https://doi.org/10.1136/bmj.m4856" TargetMode="External" /><Relationship Type="http://schemas.openxmlformats.org/officeDocument/2006/relationships/hyperlink" Id="rId189" Target="https://doi.org/10.1186/s12874-024-02244-z" TargetMode="External" /><Relationship Type="http://schemas.openxmlformats.org/officeDocument/2006/relationships/hyperlink" Id="rId231" Target="https://doi.org/10.1198/000313002753631330" TargetMode="External" /><Relationship Type="http://schemas.openxmlformats.org/officeDocument/2006/relationships/hyperlink" Id="rId197" Target="https://doi.org/10.13063/2327-9214.1244" TargetMode="External" /><Relationship Type="http://schemas.openxmlformats.org/officeDocument/2006/relationships/hyperlink" Id="rId174" Target="https://doi.org/10.1515/ijb-2013-0004" TargetMode="External" /><Relationship Type="http://schemas.openxmlformats.org/officeDocument/2006/relationships/hyperlink" Id="rId252" Target="https://doi.org/10.21037/atm.2018.12.10" TargetMode="External" /><Relationship Type="http://schemas.openxmlformats.org/officeDocument/2006/relationships/hyperlink" Id="rId200" Target="https://doi.org/10.2202/1544-6115.1309" TargetMode="External" /><Relationship Type="http://schemas.openxmlformats.org/officeDocument/2006/relationships/hyperlink" Id="rId204" Target="https://doi.org/10.2202/1557-4679.1043" TargetMode="External" /><Relationship Type="http://schemas.openxmlformats.org/officeDocument/2006/relationships/hyperlink" Id="rId163" Target="https://doi.org/10.3982/ECTA5444" TargetMode="External" /><Relationship Type="http://schemas.openxmlformats.org/officeDocument/2006/relationships/hyperlink" Id="rId243" Target="https://doi.org/10.7326/M16-2607" TargetMode="External" /><Relationship Type="http://schemas.openxmlformats.org/officeDocument/2006/relationships/hyperlink" Id="rId143" Target="https://github.com/amertens/clean-room-sim" TargetMode="External" /><Relationship Type="http://schemas.openxmlformats.org/officeDocument/2006/relationships/hyperlink" Id="rId142" Target="https://github.com/amertens/cleanTMLE" TargetMode="External" /><Relationship Type="http://schemas.openxmlformats.org/officeDocument/2006/relationships/hyperlink" Id="rId224" Target="https://www.R-project.org/" TargetMode="External" /><Relationship Type="http://schemas.openxmlformats.org/officeDocument/2006/relationships/hyperlink" Id="rId178" Target="https://www.ema.europa.eu/en/about-us/how-we-work/big-data/real-world-evidence" TargetMode="External" /><Relationship Type="http://schemas.openxmlformats.org/officeDocument/2006/relationships/hyperlink" Id="rId176" Target="https://www.ema.europa.eu/en/guideline-registry-based-studies-scientific-guideline" TargetMode="External" /><Relationship Type="http://schemas.openxmlformats.org/officeDocument/2006/relationships/hyperlink" Id="rId233" Target="https://www.fda.gov/media/120060/download" TargetMode="External" /><Relationship Type="http://schemas.openxmlformats.org/officeDocument/2006/relationships/hyperlink" Id="rId237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39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35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41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218" Target="https://www.nice.org.uk/corporate/ecd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2026-06-04T13:56:01Z</dcterms:created>
  <dcterms:modified xsi:type="dcterms:W3CDTF">2026-06-04T13:56:01Z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2026-06-04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