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3.png" ContentType="image/png"/>
  <Override PartName="/word/media/rId84.png" ContentType="image/png"/>
  <Override PartName="/word/media/rId70.png" ContentType="image/png"/>
  <Override PartName="/word/media/rId7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must justify both the causal analysis</w:t>
      </w:r>
      <w:r>
        <w:t xml:space="preserve"> </w:t>
      </w:r>
      <w:r>
        <w:t xml:space="preserve">strategy and the fitness of the underlying data source for the</w:t>
      </w:r>
      <w:r>
        <w:t xml:space="preserve"> </w:t>
      </w:r>
      <w:r>
        <w:t xml:space="preserve">research question. In current practice these two arguments are</w:t>
      </w:r>
      <w:r>
        <w:t xml:space="preserve"> </w:t>
      </w:r>
      <w:r>
        <w:t xml:space="preserve">usually developed in parallel but reported separately: estimator</w:t>
      </w:r>
      <w:r>
        <w:t xml:space="preserve"> </w:t>
      </w:r>
      <w:r>
        <w:t xml:space="preserve">specification is supported with outcome-blind simulation, whereas</w:t>
      </w:r>
      <w:r>
        <w:t xml:space="preserve"> </w:t>
      </w:r>
      <w:r>
        <w:t xml:space="preserve">data fitness is documented qualitatively through target-trial</w:t>
      </w:r>
      <w:r>
        <w:t xml:space="preserve"> </w:t>
      </w:r>
      <w:r>
        <w:t xml:space="preserve">articulation, reporting templates such as TARGET and START-RWE,</w:t>
      </w:r>
      <w:r>
        <w:t xml:space="preserve"> </w:t>
      </w:r>
      <w:r>
        <w:t xml:space="preserve">and fit-for-purpose checklists such as SPIFD2 and HARPER.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cleanTMLE</w:t>
      </w:r>
      <w:r>
        <w:t xml:space="preserve">, an R package that provides a</w:t>
      </w:r>
      <w:r>
        <w:t xml:space="preserve"> </w:t>
      </w:r>
      <w:r>
        <w:t xml:space="preserve">prespecified quantitative stress test of estimator performance</w:t>
      </w:r>
      <w:r>
        <w:t xml:space="preserve"> </w:t>
      </w:r>
      <w:r>
        <w:t xml:space="preserve">under data-quality degradation scenarios derived from a prior</w:t>
      </w:r>
      <w:r>
        <w:t xml:space="preserve"> </w:t>
      </w:r>
      <w:r>
        <w:t xml:space="preserve">fit-for-purpose assessment, situated inside the causal roadmap.</w:t>
      </w:r>
      <w:r>
        <w:t xml:space="preserve"> </w:t>
      </w:r>
      <w:r>
        <w:t xml:space="preserve">The package does not itself determine whether a data source is</w:t>
      </w:r>
      <w:r>
        <w:t xml:space="preserve"> </w:t>
      </w:r>
      <w:r>
        <w:t xml:space="preserve">fit for purpose; that judgement remains a study-level activity</w:t>
      </w:r>
      <w:r>
        <w:t xml:space="preserve"> </w:t>
      </w:r>
      <w:r>
        <w:t xml:space="preserve">supported by target-trial protocols, validation studies, and</w:t>
      </w:r>
      <w:r>
        <w:t xml:space="preserve"> </w:t>
      </w:r>
      <w:r>
        <w:t xml:space="preserve">source-data review. Once investigators have specified plausible</w:t>
      </w:r>
      <w:r>
        <w:t xml:space="preserve"> </w:t>
      </w:r>
      <w:r>
        <w:t xml:space="preserve">data-quality threats and severity ranges from external evidence,</w:t>
      </w:r>
      <w:r>
        <w:t xml:space="preserve"> </w:t>
      </w:r>
      <w:r>
        <w:t xml:space="preserve">cleanTMLE records the prespecified analytic choices and audit</w:t>
      </w:r>
      <w:r>
        <w:t xml:space="preserve"> </w:t>
      </w:r>
      <w:r>
        <w:t xml:space="preserve">trail and extends the standard outcome-blind plasmode</w:t>
      </w:r>
      <w:r>
        <w:t xml:space="preserve"> </w:t>
      </w:r>
      <w:r>
        <w:t xml:space="preserve">estimator-selection loop with a pre-outcome stress test that</w:t>
      </w:r>
      <w:r>
        <w:t xml:space="preserve"> </w:t>
      </w:r>
      <w:r>
        <w:t xml:space="preserve">evaluates candidate estimators under those user-specified threats</w:t>
      </w:r>
      <w:r>
        <w:t xml:space="preserve"> </w:t>
      </w:r>
      <w:r>
        <w:t xml:space="preserve">(covariate missingness, exposure misclassification, outcome</w:t>
      </w:r>
      <w:r>
        <w:t xml:space="preserve"> </w:t>
      </w:r>
      <w:r>
        <w:t xml:space="preserve">misclassification, and unmeasured confounding). We illustrate the</w:t>
      </w:r>
      <w:r>
        <w:t xml:space="preserve"> </w:t>
      </w:r>
      <w:r>
        <w:t xml:space="preserve">workflow in a Monte Carlo simulation and in a trauma-registry case</w:t>
      </w:r>
      <w:r>
        <w:t xml:space="preserve"> </w:t>
      </w:r>
      <w:r>
        <w:t xml:space="preserve">study (n = 1,693 ambulance patients, 24.6 % outcome missingness)</w:t>
      </w:r>
      <w:r>
        <w:t xml:space="preserve"> </w:t>
      </w:r>
      <w:r>
        <w:t xml:space="preserve">where six estimators implemented in cleanTMLE following the</w:t>
      </w:r>
      <w:r>
        <w:t xml:space="preserve"> </w:t>
      </w:r>
      <w:r>
        <w:t xml:space="preserve">staged-analysis vignette agree on direction (risk difference 0.026</w:t>
      </w:r>
      <w:r>
        <w:t xml:space="preserve"> </w:t>
      </w:r>
      <w:r>
        <w:t xml:space="preserve">to 0.037 in favour of Rescue.Co transport, with the prespecified</w:t>
      </w:r>
      <w:r>
        <w:t xml:space="preserve"> </w:t>
      </w:r>
      <w:r>
        <w:t xml:space="preserve">primary full-cohort TMLE interval just crossing zero). The case</w:t>
      </w:r>
      <w:r>
        <w:t xml:space="preserve"> </w:t>
      </w:r>
      <w:r>
        <w:t xml:space="preserve">study is presented as a workflow demonstration on a real registry</w:t>
      </w:r>
      <w:r>
        <w:t xml:space="preserve"> </w:t>
      </w:r>
      <w:r>
        <w:t xml:space="preserve">rather than as evidence that the framework establishes causal</w:t>
      </w:r>
      <w:r>
        <w:t xml:space="preserve"> </w:t>
      </w:r>
      <w:r>
        <w:t xml:space="preserve">validity.</w:t>
      </w:r>
    </w:p>
    <w:p>
      <w:pPr>
        <w:pStyle w:val="BodyText"/>
      </w:pPr>
      <w:r>
        <w:t xml:space="preserve">The contribution is operational rather than foundational. The</w:t>
      </w:r>
      <w:r>
        <w:t xml:space="preserve"> </w:t>
      </w:r>
      <w:r>
        <w:t xml:space="preserve">package provides reproducible analysis records and</w:t>
      </w:r>
      <w:r>
        <w:t xml:space="preserve"> </w:t>
      </w:r>
      <w:r>
        <w:t xml:space="preserve">candidate-specific robustness screening before the study outcome</w:t>
      </w:r>
      <w:r>
        <w:t xml:space="preserve"> </w:t>
      </w:r>
      <w:r>
        <w:t xml:space="preserve">is unblinded. It does not replace target-trial design,</w:t>
      </w:r>
      <w:r>
        <w:t xml:space="preserve"> </w:t>
      </w:r>
      <w:r>
        <w:t xml:space="preserve">variable-validation studies, source-data relevance and reliability</w:t>
      </w:r>
      <w:r>
        <w:t xml:space="preserve"> </w:t>
      </w:r>
      <w:r>
        <w:t xml:space="preserve">review, independent oversight, or post-unblinding sensitivity</w:t>
      </w:r>
      <w:r>
        <w:t xml:space="preserve"> </w:t>
      </w:r>
      <w:r>
        <w:t xml:space="preserve">analyses; the explicit list and corresponding regulatory anchors</w:t>
      </w:r>
      <w:r>
        <w:t xml:space="preserve"> </w:t>
      </w:r>
      <w:r>
        <w:t xml:space="preserve">appear in the regulatory-alignment table and in the discussion.</w:t>
      </w:r>
      <w:r>
        <w:t xml:space="preserve"> </w:t>
      </w:r>
      <w:r>
        <w:t xml:space="preserve">The IPW, g-computation, and AIPW cumulative-risk estimators</w:t>
      </w:r>
      <w:r>
        <w:t xml:space="preserve"> </w:t>
      </w:r>
      <w:r>
        <w:t xml:space="preserve">provided by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are an</w:t>
      </w:r>
      <w:r>
        <w:t xml:space="preserve"> </w:t>
      </w:r>
      <w:r>
        <w:t xml:space="preserve">alternative implementation of related ideas, with which cleanTMLE</w:t>
      </w:r>
      <w:r>
        <w:t xml:space="preserve"> </w:t>
      </w:r>
      <w:r>
        <w:t xml:space="preserve">shares conceptual structure but does not share code.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</w:p>
    <w:p>
      <w:pPr>
        <w:pStyle w:val="BodyText"/>
      </w:pPr>
      <w:r>
        <w:t xml:space="preserve">Throughout, 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</w:t>
      </w:r>
      <w:r>
        <w:t xml:space="preserve"> </w:t>
      </w:r>
      <w:r>
        <w:t xml:space="preserve">sense. The procedure does not assess data provenance, phenotype</w:t>
      </w:r>
      <w:r>
        <w:t xml:space="preserve"> </w:t>
      </w:r>
      <w:r>
        <w:t xml:space="preserve">validity, linkage accuracy, representativeness, or regulatory</w:t>
      </w:r>
      <w:r>
        <w:t xml:space="preserve"> </w:t>
      </w:r>
      <w:r>
        <w:t xml:space="preserve">acceptability directly; those remain study-level and</w:t>
      </w:r>
      <w:r>
        <w:t xml:space="preserve"> </w:t>
      </w:r>
      <w:r>
        <w:t xml:space="preserve">data-source-level evaluations. The role of cleanTMLE is narrower:</w:t>
      </w:r>
      <w:r>
        <w:t xml:space="preserve"> </w:t>
      </w:r>
      <w:r>
        <w:t xml:space="preserve">once investigators have specified plausible data-quality threats</w:t>
      </w:r>
      <w:r>
        <w:t xml:space="preserve"> </w:t>
      </w:r>
      <w:r>
        <w:t xml:space="preserve">and severity ranges from external validation studies, data</w:t>
      </w:r>
      <w:r>
        <w:t xml:space="preserve"> </w:t>
      </w:r>
      <w:r>
        <w:t xml:space="preserve">profiling, or expert elicitation, the package evaluates how</w:t>
      </w:r>
      <w:r>
        <w:t xml:space="preserve"> </w:t>
      </w:r>
      <w:r>
        <w:t xml:space="preserve">candidate estimators behave under those prespecified perturbations</w:t>
      </w:r>
      <w:r>
        <w:t xml:space="preserve"> </w:t>
      </w:r>
      <w:r>
        <w:t xml:space="preserve">before the observed treatment-outcome association is examined.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This paper introduces</w:t>
      </w:r>
      <w:r>
        <w:t xml:space="preserve"> </w:t>
      </w:r>
      <w:r>
        <w:rPr>
          <w:b/>
          <w:bCs/>
        </w:rPr>
        <w:t xml:space="preserve">cleanTMLE</w:t>
      </w:r>
      <w:r>
        <w:t xml:space="preserve">,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</w:t>
      </w:r>
      <w:r>
        <w:t xml:space="preserve"> </w:t>
      </w:r>
      <w:r>
        <w:t xml:space="preserve">that records prespecified analytic decisions and supports the</w:t>
      </w:r>
      <w:r>
        <w:t xml:space="preserve"> </w:t>
      </w:r>
      <w:r>
        <w:t xml:space="preserve">estimator-selection and stress-testing steps of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cleanTMLE</w:t>
      </w:r>
      <w:r>
        <w:t xml:space="preserve"> </w:t>
      </w:r>
      <w:r>
        <w:t xml:space="preserve">provides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proceed, review, or stop, an</w:t>
      </w:r>
      <w:r>
        <w:t xml:space="preserve"> </w:t>
      </w:r>
      <w:r>
        <w:t xml:space="preserve">outcome-blind plasmode candidate selector, and the DQ stress test</w:t>
      </w:r>
      <w:r>
        <w:t xml:space="preserve"> </w:t>
      </w:r>
      <w:r>
        <w:t xml:space="preserve">described above. Targeted Maximum Likelihood 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</w:t>
      </w:r>
      <w:r>
        <w:t xml:space="preserve"> </w:t>
      </w:r>
      <w:r>
        <w:t xml:space="preserve">setting because every analytic decision (the SuperLearner library</w:t>
      </w:r>
      <w:r>
        <w:t xml:space="preserve"> </w:t>
      </w:r>
      <w:r>
        <w:t xml:space="preserve">(Laan, Polley, and Hubbard 2007; Phillips et al. 2023)</w:t>
      </w:r>
      <w:r>
        <w:t xml:space="preserve">, the truncation rule, the</w:t>
      </w:r>
      <w:r>
        <w:t xml:space="preserve"> </w:t>
      </w:r>
      <w:r>
        <w:t xml:space="preserve">prespecified set of candidate estimators) can be listed in advance,</w:t>
      </w:r>
      <w:r>
        <w:t xml:space="preserve"> </w:t>
      </w:r>
      <w:r>
        <w:t xml:space="preserve">and the algorithm remains data-adaptive while still admitting valid</w:t>
      </w:r>
      <w:r>
        <w:t xml:space="preserve"> </w:t>
      </w:r>
      <w:r>
        <w:t xml:space="preserve">Wald-type confidence intervals.</w:t>
      </w:r>
    </w:p>
    <w:p>
      <w:pPr>
        <w:pStyle w:val="BodyText"/>
      </w:pPr>
      <w:r>
        <w:t xml:space="preserve">The contribution is operational. The software-mediated outcome</w:t>
      </w:r>
      <w:r>
        <w:t xml:space="preserve"> </w:t>
      </w:r>
      <w:r>
        <w:t xml:space="preserve">guard is, as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put it, an implementation pattern</w:t>
      </w:r>
      <w:r>
        <w:t xml:space="preserve"> </w:t>
      </w:r>
      <w:r>
        <w:t xml:space="preserve">rather than a methodological novelty. Its advantage is</w:t>
      </w:r>
      <w:r>
        <w:t xml:space="preserve"> </w:t>
      </w:r>
      <w:r>
        <w:t xml:space="preserve">transparency: the analysis lock, audit trail, and decision log</w:t>
      </w:r>
      <w:r>
        <w:t xml:space="preserve"> </w:t>
      </w:r>
      <w:r>
        <w:t xml:space="preserve">turn paper-only prespecification checklists into a structured</w:t>
      </w:r>
      <w:r>
        <w:t xml:space="preserve"> </w:t>
      </w:r>
      <w:r>
        <w:t xml:space="preserve">record of analytic decisions, supporting reproducible</w:t>
      </w:r>
      <w:r>
        <w:t xml:space="preserve"> </w:t>
      </w:r>
      <w:r>
        <w:t xml:space="preserve">reconstruction by an external reviewer. cleanTMLE</w:t>
      </w:r>
      <w:r>
        <w:t xml:space="preserve"> </w:t>
      </w:r>
      <w:r>
        <w:t xml:space="preserve">provides a prespecified quantitative stress test of estimator</w:t>
      </w:r>
      <w:r>
        <w:t xml:space="preserve"> </w:t>
      </w:r>
      <w:r>
        <w:t xml:space="preserve">performance under data-quality degradation scenarios derived from</w:t>
      </w:r>
      <w:r>
        <w:t xml:space="preserve"> </w:t>
      </w:r>
      <w:r>
        <w:t xml:space="preserve">a prior fit-for-purpose assessment; it does not itself determine</w:t>
      </w:r>
      <w:r>
        <w:t xml:space="preserve"> </w:t>
      </w:r>
      <w:r>
        <w:t xml:space="preserve">whether the data source is fit for purpose. Section</w:t>
      </w:r>
      <w:r>
        <w:t xml:space="preserve"> </w:t>
      </w:r>
      <w:r>
        <w:t xml:space="preserve">§</w:t>
      </w:r>
      <w:r>
        <w:t xml:space="preserve"> </w:t>
      </w:r>
      <w:r>
        <w:t xml:space="preserve">situates that contribution inside the causal</w:t>
      </w:r>
      <w:r>
        <w:t xml:space="preserve"> </w:t>
      </w:r>
      <w:r>
        <w:t xml:space="preserve">roadmap and Table</w:t>
      </w:r>
      <w:r>
        <w:t xml:space="preserve"> </w:t>
      </w:r>
      <w:r>
        <w:t xml:space="preserve"> </w:t>
      </w:r>
      <w:r>
        <w:t xml:space="preserve">maps each component to the</w:t>
      </w:r>
      <w:r>
        <w:t xml:space="preserve"> </w:t>
      </w:r>
      <w:r>
        <w:t xml:space="preserve">corresponding FDA, EMA, and ICH expectation; we defer the explicit</w:t>
      </w:r>
      <w:r>
        <w:t xml:space="preserve"> </w:t>
      </w:r>
      <w:r>
        <w:t xml:space="preserve">list of activities the package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replace to those</w:t>
      </w:r>
      <w:r>
        <w:t xml:space="preserve"> </w:t>
      </w:r>
      <w:r>
        <w:t xml:space="preserve">locations and to the discussion.</w:t>
      </w:r>
    </w:p>
    <w:p>
      <w:pPr>
        <w:pStyle w:val="BodyText"/>
      </w:pPr>
      <w:r>
        <w:t xml:space="preserve">Throughout, we use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interchangeably with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when discussing software, because the workflow prevents</w:t>
      </w:r>
      <w:r>
        <w:t xml:space="preserve"> </w:t>
      </w:r>
      <w:r>
        <w:t xml:space="preserve">outcome-analysis functions from proceeding until the prespecified</w:t>
      </w:r>
      <w:r>
        <w:t xml:space="preserve"> </w:t>
      </w:r>
      <w:r>
        <w:t xml:space="preserve">review process has been completed, much as a manufacturing clean</w:t>
      </w:r>
      <w:r>
        <w:t xml:space="preserve"> </w:t>
      </w:r>
      <w:r>
        <w:t xml:space="preserve">room blocks access to a sterile area until protocols have been</w:t>
      </w:r>
      <w:r>
        <w:t xml:space="preserve"> </w:t>
      </w:r>
      <w:r>
        <w:t xml:space="preserve">followed. The software-mediated workflow partially substitutes for</w:t>
      </w:r>
      <w:r>
        <w:t xml:space="preserve"> </w:t>
      </w:r>
      <w:r>
        <w:t xml:space="preserve">personnel-based outcome separation by restricting access to the</w:t>
      </w:r>
      <w:r>
        <w:t xml:space="preserve"> </w:t>
      </w:r>
      <w:r>
        <w:t xml:space="preserve">observed outcome until prespecified review steps have been</w:t>
      </w:r>
      <w:r>
        <w:t xml:space="preserve"> </w:t>
      </w:r>
      <w:r>
        <w:t xml:space="preserve">completed; it complements, but does not replace, personnel-based</w:t>
      </w:r>
      <w:r>
        <w:t xml:space="preserve"> </w:t>
      </w:r>
      <w:r>
        <w:t xml:space="preserve">access controls and independent governance. Protocol review, role</w:t>
      </w:r>
      <w:r>
        <w:t xml:space="preserve"> </w:t>
      </w:r>
      <w:r>
        <w:t xml:space="preserve">separation, source-data audit, and independent checkpoint review</w:t>
      </w:r>
      <w:r>
        <w:t xml:space="preserve"> </w:t>
      </w:r>
      <w:r>
        <w:t xml:space="preserve">remain the broader institutional process inside which the software</w:t>
      </w:r>
      <w:r>
        <w:t xml:space="preserve"> </w:t>
      </w:r>
      <w:r>
        <w:t xml:space="preserve">arrangement sits.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contributions are operational. First, we extend the</w:t>
      </w:r>
      <w:r>
        <w:t xml:space="preserve"> </w:t>
      </w:r>
      <w:r>
        <w:t xml:space="preserve">outcome-blind plasmode 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</w:t>
      </w:r>
      <w:r>
        <w:t xml:space="preserve"> </w:t>
      </w:r>
      <w:r>
        <w:t xml:space="preserve">candidate-estimator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</w:t>
      </w:r>
      <w:r>
        <w:t xml:space="preserve"> </w:t>
      </w:r>
      <w:r>
        <w:t xml:space="preserve">threat ranges. Each candidate estimator produces a degradation</w:t>
      </w:r>
      <w:r>
        <w:t xml:space="preserve"> </w:t>
      </w:r>
      <w:r>
        <w:t xml:space="preserve">gradient on the same bias / RMSE / coverage scale as the baseline</w:t>
      </w:r>
      <w:r>
        <w:t xml:space="preserve"> </w:t>
      </w:r>
      <w:r>
        <w:t xml:space="preserve">plasmode, so the prespecified decision rule can be applied</w:t>
      </w:r>
      <w:r>
        <w:t xml:space="preserve"> </w:t>
      </w:r>
      <w:r>
        <w:t xml:space="preserve">uniformly across baseline and stressed scenarios. We position this screen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(§</w:t>
      </w:r>
      <w:r>
        <w:t xml:space="preserve">) rather than as a</w:t>
      </w:r>
      <w:r>
        <w:t xml:space="preserve"> </w:t>
      </w:r>
      <w:r>
        <w:t xml:space="preserve">substitute for variable-validation studies, source-data</w:t>
      </w:r>
      <w:r>
        <w:t xml:space="preserve"> </w:t>
      </w:r>
      <w:r>
        <w:t xml:space="preserve">assessment, or post-outcome quantitative bias analysis. Second, we</w:t>
      </w:r>
      <w:r>
        <w:t xml:space="preserve"> </w:t>
      </w:r>
      <w:r>
        <w:t xml:space="preserve">provide an R implementation that turns prespecification into</w:t>
      </w:r>
      <w:r>
        <w:t xml:space="preserve"> </w:t>
      </w:r>
      <w:r>
        <w:t xml:space="preserve">reproducible analysis records: a fingerprinted analysis-lock</w:t>
      </w:r>
      <w:r>
        <w:t xml:space="preserve"> </w:t>
      </w:r>
      <w:r>
        <w:t xml:space="preserve">object, an audit log, a decision log, and a pre-outcome decision</w:t>
      </w:r>
      <w:r>
        <w:t xml:space="preserve"> </w:t>
      </w:r>
      <w:r>
        <w:t xml:space="preserve">point that the prespecified estimator is checked against before</w:t>
      </w:r>
      <w:r>
        <w:t xml:space="preserve"> </w:t>
      </w:r>
      <w:r>
        <w:t xml:space="preserve">outcome analysis. Third,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</w:t>
      </w:r>
      <w:r>
        <w:t xml:space="preserve"> </w:t>
      </w:r>
      <w:r>
        <w:t xml:space="preserve">proprietary alternative implementation of related cumulative-risk</w:t>
      </w:r>
      <w:r>
        <w:t xml:space="preserve"> </w:t>
      </w:r>
      <w:r>
        <w:t xml:space="preserve">estimators with which cleanTMLE shares conceptual structure but</w:t>
      </w:r>
      <w:r>
        <w:t xml:space="preserve"> </w:t>
      </w:r>
      <w:r>
        <w:t xml:space="preserve">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4566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45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regulatory-grade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 a software</w:t>
      </w:r>
      <w:r>
        <w:t xml:space="preserve"> </w:t>
      </w:r>
      <w:r>
        <w:t xml:space="preserve">clean room from a regulatory clean room.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gate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gate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8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Pre-outcome authorisation: GO/FLAG/STOP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clean-room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7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traditional</w:t>
      </w:r>
      <w:r>
        <w:t xml:space="preserve"> </w:t>
      </w:r>
      <w:r>
        <w:t xml:space="preserve">clean-room governance.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methodological-tradeoffs"/>
    <w:p>
      <w:pPr>
        <w:pStyle w:val="Heading3"/>
      </w:pPr>
      <w:r>
        <w:t xml:space="preserve">4.3.1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clean-room reading would</w:t>
      </w:r>
      <w:r>
        <w:t xml:space="preserve"> </w:t>
      </w:r>
      <w:r>
        <w:t xml:space="preserve">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most pharmacoepidemiology RWE</w:t>
      </w:r>
      <w:r>
        <w:t xml:space="preserve"> </w:t>
      </w:r>
      <w:r>
        <w:t xml:space="preserve">studies the software-only mode is adequate; for high-stakes</w:t>
      </w:r>
      <w:r>
        <w:t xml:space="preserve"> </w:t>
      </w:r>
      <w:r>
        <w:t xml:space="preserve">regulatory submissions we recommend running cleanTMLE inside a</w:t>
      </w:r>
      <w:r>
        <w:t xml:space="preserve"> </w:t>
      </w:r>
      <w:r>
        <w:t xml:space="preserve">traditional clean-room arrangement so that both the institutional</w:t>
      </w:r>
      <w:r>
        <w:t xml:space="preserve"> </w:t>
      </w:r>
      <w:r>
        <w:t xml:space="preserve">and the computational guarantees apply.</w:t>
      </w:r>
    </w:p>
    <w:bookmarkEnd w:id="46"/>
    <w:bookmarkEnd w:id="47"/>
    <w:bookmarkEnd w:id="48"/>
    <w:bookmarkStart w:id="54" w:name="sec-dq"/>
    <w:p>
      <w:pPr>
        <w:pStyle w:val="Heading1"/>
      </w:pPr>
      <w:r>
        <w:t xml:space="preserve">5. Data Quality as a Quantifiable Threat</w:t>
      </w:r>
    </w:p>
    <w:bookmarkStart w:id="49" w:name="X4f009c1ca2a345c3f9f27806faafdc4c5929f9a"/>
    <w:p>
      <w:pPr>
        <w:pStyle w:val="Heading2"/>
      </w:pPr>
      <w:r>
        <w:t xml:space="preserve">5.1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49"/>
    <w:bookmarkStart w:id="50" w:name="the-degradation-gradient"/>
    <w:p>
      <w:pPr>
        <w:pStyle w:val="Heading2"/>
      </w:pPr>
      <w:r>
        <w:t xml:space="preserve">5.2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output is a curve of bias,</w:t>
      </w:r>
      <w:r>
        <w:t xml:space="preserve"> </w:t>
      </w:r>
      <w:r>
        <w:t xml:space="preserve">RMSE, and coverage against the severity, computed separately for</w:t>
      </w:r>
      <w:r>
        <w:t xml:space="preserve"> </w:t>
      </w:r>
      <w:r>
        <w:t xml:space="preserve">each prespecified TMLE candidate. We call this curve a</w:t>
      </w:r>
      <w:r>
        <w:t xml:space="preserve"> </w:t>
      </w:r>
      <w:r>
        <w:rPr>
          <w:i/>
          <w:iCs/>
        </w:rPr>
        <w:t xml:space="preserve">degradation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by analogy with a dose-response curve: it answers the</w:t>
      </w:r>
      <w:r>
        <w:t xml:space="preserve"> </w:t>
      </w:r>
      <w:r>
        <w:t xml:space="preserve">question,</w:t>
      </w:r>
      <w:r>
        <w:t xml:space="preserve"> </w:t>
      </w:r>
      <w:r>
        <w:t xml:space="preserve">“how severe must the data degradation be before this</w:t>
      </w:r>
      <w:r>
        <w:t xml:space="preserve"> </w:t>
      </w:r>
      <w:r>
        <w:t xml:space="preserve">candidate fails the prespecified criteria?”</w:t>
      </w:r>
    </w:p>
    <w:p>
      <w:pPr>
        <w:pStyle w:val="BodyText"/>
      </w:pPr>
      <w:r>
        <w:t xml:space="preserve">A robust candidate produces a flat gradient that remains inside</w:t>
      </w:r>
      <w:r>
        <w:t xml:space="preserve"> </w:t>
      </w:r>
      <w:r>
        <w:t xml:space="preserve">the prespecified thresholds. A fragile candidate shows a cliff: a</w:t>
      </w:r>
      <w:r>
        <w:t xml:space="preserve"> </w:t>
      </w:r>
      <w:r>
        <w:t xml:space="preserve">small worsening of the data tips bias or coverage past the</w:t>
      </w:r>
      <w:r>
        <w:t xml:space="preserve"> </w:t>
      </w:r>
      <w:r>
        <w:t xml:space="preserve">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 tuning</w:t>
      </w:r>
      <w:r>
        <w:t xml:space="preserve"> </w:t>
      </w:r>
      <w:r>
        <w:t xml:space="preserve">knob. Trimming or truncating the propensity score changes the</w:t>
      </w:r>
      <w:r>
        <w:t xml:space="preserve"> </w:t>
      </w:r>
      <w:r>
        <w:t xml:space="preserve">support of the population to which the estimand applies, and</w:t>
      </w:r>
      <w:r>
        <w:t xml:space="preserve"> </w:t>
      </w:r>
      <w:r>
        <w:t xml:space="preserve">therefore the estimand itself</w:t>
      </w:r>
      <w:r>
        <w:t xml:space="preserve"> </w:t>
      </w:r>
      <w:r>
        <w:t xml:space="preserve">(Brookhart, Breskin, and Eledath 2024; Lash et al. 2014)</w:t>
      </w:r>
      <w:r>
        <w:t xml:space="preserve">. cleanTMLE treats the truncation level as part of</w:t>
      </w:r>
      <w:r>
        <w:t xml:space="preserve"> </w:t>
      </w:r>
      <w:r>
        <w:t xml:space="preserve">the prespecified candidate, so any estimand drift induced by</w:t>
      </w:r>
      <w:r>
        <w:t xml:space="preserve"> </w:t>
      </w:r>
      <w:r>
        <w:t xml:space="preserve">truncation is locked into the audit log and scored on the same</w:t>
      </w:r>
      <w:r>
        <w:t xml:space="preserve"> </w:t>
      </w:r>
      <w:r>
        <w:t xml:space="preserve">RMSE and coverage metrics as everything else rather than chosen</w:t>
      </w:r>
      <w:r>
        <w:t xml:space="preserve"> </w:t>
      </w:r>
      <w:r>
        <w:t xml:space="preserve">post-hoc on the realised data.</w:t>
      </w:r>
    </w:p>
    <w:bookmarkEnd w:id="50"/>
    <w:bookmarkStart w:id="52" w:name="sec-threat-matrix"/>
    <w:p>
      <w:pPr>
        <w:pStyle w:val="Heading2"/>
      </w:pPr>
      <w:r>
        <w:t xml:space="preserve">5.3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2"/>
    <w:bookmarkStart w:id="53" w:name="sec-calibration"/>
    <w:p>
      <w:pPr>
        <w:pStyle w:val="Heading2"/>
      </w:pPr>
      <w:r>
        <w:t xml:space="preserve">5.4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3"/>
    <w:bookmarkEnd w:id="54"/>
    <w:bookmarkStart w:id="59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gate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gate.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shorten in figures and tables to</w:t>
      </w:r>
      <w:r>
        <w:t xml:space="preserve"> </w:t>
      </w:r>
      <w:r>
        <w:rPr>
          <w:i/>
          <w:iCs/>
        </w:rPr>
        <w:t xml:space="preserve">proceed</w:t>
      </w:r>
      <w:r>
        <w:t xml:space="preserve">,</w:t>
      </w:r>
      <w: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stop</w:t>
      </w:r>
      <w:r>
        <w:t xml:space="preserve"> </w:t>
      </w:r>
      <w:r>
        <w:t xml:space="preserve">(also written as GO / FLAG / STOP where compactness is</w:t>
      </w:r>
      <w:r>
        <w:t xml:space="preserve"> </w:t>
      </w:r>
      <w:r>
        <w:t xml:space="preserve">helpful). In prose we prefer the longer wording. The cleanTMLE</w:t>
      </w:r>
      <w:r>
        <w:t xml:space="preserve"> </w:t>
      </w:r>
      <w:r>
        <w:t xml:space="preserve">software uses the three labels for the same purpose, and the</w:t>
      </w:r>
      <w:r>
        <w:t xml:space="preserve"> </w:t>
      </w:r>
      <w:r>
        <w:t xml:space="preserve">mapping to the Muntner et al. wording is one-to-one.</w:t>
      </w:r>
    </w:p>
    <w:bookmarkStart w:id="55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gate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5"/>
    <w:bookmarkStart w:id="56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6"/>
    <w:bookmarkStart w:id="57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gate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7"/>
    <w:bookmarkStart w:id="58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58"/>
    <w:bookmarkEnd w:id="59"/>
    <w:bookmarkStart w:id="65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0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gate.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gate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gate,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0"/>
    <w:bookmarkStart w:id="61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1"/>
    <w:bookmarkStart w:id="62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2"/>
    <w:bookmarkStart w:id="63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</w:t>
      </w:r>
    </w:p>
    <w:bookmarkEnd w:id="63"/>
    <w:bookmarkStart w:id="64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4"/>
    <w:bookmarkEnd w:id="65"/>
    <w:bookmarkStart w:id="90" w:name="sec-simulation"/>
    <w:p>
      <w:pPr>
        <w:pStyle w:val="Heading1"/>
      </w:pPr>
      <w:r>
        <w:t xml:space="preserve">8. Simulation Study</w:t>
      </w:r>
    </w:p>
    <w:bookmarkStart w:id="66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6"/>
    <w:bookmarkStart w:id="80" w:name="monte-carlo-results"/>
    <w:p>
      <w:pPr>
        <w:pStyle w:val="Heading2"/>
      </w:pPr>
      <w:r>
        <w:t xml:space="preserve">8.2 Monte Carlo results</w:t>
      </w:r>
    </w:p>
    <w:bookmarkStart w:id="67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7"/>
    <w:bookmarkStart w:id="68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8"/>
    <w:bookmarkStart w:id="69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9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We let the simulation results speak for themselves; the printed</w:t>
      </w:r>
      <w:r>
        <w:t xml:space="preserve"> </w:t>
      </w:r>
      <w:r>
        <w:t xml:space="preserve">tables include the Monte Carlo standard error of the coverage</w:t>
      </w:r>
      <w:r>
        <w:t xml:space="preserve"> </w:t>
      </w:r>
      <w:r>
        <w:t xml:space="preserve">estimate so the reader can judge which differences exceed Monte</w:t>
      </w:r>
      <w:r>
        <w:t xml:space="preserve"> </w:t>
      </w:r>
      <w:r>
        <w:t xml:space="preserve">Carlo noise. Three patterns are robust to noise.</w:t>
      </w:r>
    </w:p>
    <w:p>
      <w:pPr>
        <w:pStyle w:val="BodyText"/>
      </w:pPr>
      <w:r>
        <w:t xml:space="preserve">First, 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Second, 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but TMLE and CV-TMLE remain</w:t>
      </w:r>
      <w:r>
        <w:t xml:space="preserve"> </w:t>
      </w:r>
      <w:r>
        <w:t xml:space="preserve">approximately unbiased.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Third, 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gate correctly returns STOP under the prespecified</w:t>
      </w:r>
      <w:r>
        <w:t xml:space="preserve"> </w:t>
      </w:r>
      <w:r>
        <w:t xml:space="preserve">thresholds for Scenario C, demonstrating that the staged workflow</w:t>
      </w:r>
      <w:r>
        <w:t xml:space="preserve"> </w:t>
      </w:r>
      <w:r>
        <w:t xml:space="preserve">declines to run the primary analysis when the available data</w:t>
      </w:r>
      <w:r>
        <w:t xml:space="preserve"> </w:t>
      </w:r>
      <w:r>
        <w:t xml:space="preserve">cannot identify the estimand.</w:t>
      </w:r>
    </w:p>
    <w:p>
      <w:pPr>
        <w:pStyle w:val="BodyText"/>
      </w:pPr>
      <w:r>
        <w:t xml:space="preserve">A fourth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1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4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7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79"/>
    <w:bookmarkEnd w:id="80"/>
    <w:bookmarkStart w:id="88" w:name="plasmode-dq-stress-test-results"/>
    <w:p>
      <w:pPr>
        <w:pStyle w:val="Heading2"/>
      </w:pPr>
      <w:r>
        <w:t xml:space="preserve">8.3 Plasmode DQ stress-test results</w:t>
      </w:r>
    </w:p>
    <w:bookmarkStart w:id="81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1"/>
    <w:bookmarkStart w:id="82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2"/>
    <w:bookmarkStart w:id="83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3"/>
    <w:bookmarkStart w:id="87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scenarios: median imputation</w:t>
      </w:r>
      <w:r>
        <w:t xml:space="preserve"> </w:t>
      </w:r>
      <w:r>
        <w:t xml:space="preserve">on top of the locked covariate set is enough to absorb a 20% MCAR</w:t>
      </w:r>
      <w:r>
        <w:t xml:space="preserve"> </w:t>
      </w:r>
      <w:r>
        <w:t xml:space="preserve">loss. Treatment misclassification attenuates the estimate toward</w:t>
      </w:r>
      <w:r>
        <w:t xml:space="preserve"> </w:t>
      </w:r>
      <w:r>
        <w:t xml:space="preserve">the null: bias rises as (sens, spec) worsen, but coverage stays</w:t>
      </w:r>
      <w:r>
        <w:t xml:space="preserve"> </w:t>
      </w:r>
      <w:r>
        <w:t xml:space="preserve">near nominal because the estimator is targeting an attenuated</w:t>
      </w:r>
      <w:r>
        <w:t xml:space="preserve"> </w:t>
      </w:r>
      <w:r>
        <w:t xml:space="preserve">truth and the SE shrinks accordingly.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5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7"/>
    <w:bookmarkEnd w:id="88"/>
    <w:bookmarkStart w:id="89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89"/>
    <w:bookmarkEnd w:id="90"/>
    <w:bookmarkStart w:id="100" w:name="sec-casestudy"/>
    <w:p>
      <w:pPr>
        <w:pStyle w:val="Heading1"/>
      </w:pPr>
      <w:r>
        <w:t xml:space="preserve">9. Case Study: Rescue.Co Kenya Trauma Registry</w:t>
      </w:r>
    </w:p>
    <w:bookmarkStart w:id="91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</w:t>
      </w:r>
      <w:r>
        <w:t xml:space="preserve"> </w:t>
      </w:r>
      <w:r>
        <w:rPr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demonstration</w:t>
      </w:r>
      <w:r>
        <w:t xml:space="preserve"> </w:t>
      </w:r>
      <w:r>
        <w:t xml:space="preserve">and software stress test on a real registry</w:t>
      </w:r>
      <w:r>
        <w:t xml:space="preserve"> </w:t>
      </w:r>
      <w:r>
        <w:t xml:space="preserve">structure, not as evidence that the framework improves causal</w:t>
      </w:r>
      <w:r>
        <w:t xml:space="preserve"> </w:t>
      </w:r>
      <w:r>
        <w:t xml:space="preserve">validity. The simulation in 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1"/>
    <w:bookmarkStart w:id="92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2"/>
    <w:bookmarkStart w:id="93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3"/>
    <w:bookmarkStart w:id="94" w:name="sec-casestudy-dq"/>
    <w:p>
      <w:pPr>
        <w:pStyle w:val="Heading2"/>
      </w:pPr>
      <w:r>
        <w:t xml:space="preserve">9.4 Pre-outcome gate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gate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 and 3 replicates per cell (the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, low</w:t>
      </w:r>
      <w:r>
        <w:t xml:space="preserve"> </w:t>
      </w:r>
      <w:r>
        <w:t xml:space="preserve">enough that coverage estimates are noisy; we recommend re-running</w:t>
      </w:r>
      <w:r>
        <w:t xml:space="preserve"> </w:t>
      </w:r>
      <w:r>
        <w:t xml:space="preserve">with at least 50 replicates for inference); the minimax rule</w:t>
      </w:r>
      <w:r>
        <w:t xml:space="preserve"> </w:t>
      </w:r>
      <w:r>
        <w:t xml:space="preserve">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 primary specification. Negative controls</w:t>
      </w:r>
      <w:r>
        <w:t xml:space="preserve"> </w:t>
      </w:r>
      <w:r>
        <w:t xml:space="preserve">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proceed</w:t>
      </w:r>
      <w:r>
        <w:t xml:space="preserve"> </w:t>
      </w:r>
      <w:r>
        <w:t xml:space="preserve">classification. The audit log records the three NC</w:t>
      </w:r>
      <w:r>
        <w:t xml:space="preserve"> </w:t>
      </w:r>
      <w:r>
        <w:t xml:space="preserve">drops alongside the two passing checkpoints, so a reviewer can see</w:t>
      </w:r>
      <w:r>
        <w:t xml:space="preserve"> </w:t>
      </w:r>
      <w:r>
        <w:t xml:space="preserve">at a glance that the negative-control coverage is partial. The</w:t>
      </w:r>
      <w:r>
        <w:t xml:space="preserve"> </w:t>
      </w:r>
      <w:r>
        <w:t xml:space="preserve">analysis is then unmasked and the outcome-analysis functions run.</w:t>
      </w:r>
    </w:p>
    <w:bookmarkEnd w:id="94"/>
    <w:bookmarkStart w:id="95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5"/>
    <w:bookmarkStart w:id="99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6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6"/>
    <w:bookmarkStart w:id="97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threats; the bundled configuration uses 3 replicates</w:t>
      </w:r>
      <w:r>
        <w:t xml:space="preserve"> </w:t>
      </w:r>
      <w:r>
        <w:t xml:space="preserve">per scenario × severity cell, which is low enough that the coverage</w:t>
      </w:r>
      <w:r>
        <w:t xml:space="preserve"> </w:t>
      </w:r>
      <w:r>
        <w:t xml:space="preserve">estimates are noisy (the baseline coverage rounds to 1.00 because</w:t>
      </w:r>
      <w:r>
        <w:t xml:space="preserve"> </w:t>
      </w:r>
      <w:r>
        <w:t xml:space="preserve">all 3 CIs happened to cover), and we treat the DQ run as a</w:t>
      </w:r>
      <w:r>
        <w:t xml:space="preserve"> </w:t>
      </w:r>
      <w:r>
        <w:t xml:space="preserve">structural smoke test rather than a calibration measurement until</w:t>
      </w:r>
      <w:r>
        <w:t xml:space="preserve"> </w:t>
      </w:r>
      <w:r>
        <w:t xml:space="preserve">it is rerun with more replicates. The four 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 exposure misclassification,</w:t>
      </w:r>
      <w:r>
        <w:t xml:space="preserve"> </w:t>
      </w:r>
      <w:r>
        <w:t xml:space="preserve">outcome misclassification, latent</w:t>
      </w:r>
      <w:r>
        <w:t xml:space="preserve"> </w:t>
      </w:r>
      <m:oMath>
        <m:r>
          <m:t>U</m:t>
        </m:r>
      </m:oMath>
      <w:r>
        <w:t xml:space="preserve">) do not cover two design</w:t>
      </w:r>
      <w:r>
        <w:t xml:space="preserve"> </w:t>
      </w:r>
      <w:r>
        <w:t xml:space="preserve">challenges that mattered in the rescueCo study, the strike-window</w:t>
      </w:r>
      <w:r>
        <w:t xml:space="preserve"> </w:t>
      </w:r>
      <w:r>
        <w:t xml:space="preserve">confounder and the inter-facility transfer imbalance, which</w:t>
      </w:r>
      <w:r>
        <w:t xml:space="preserve"> </w:t>
      </w:r>
      <w:r>
        <w:t xml:space="preserve">motivates the time-window and MAR / MNAR extensions planned for</w:t>
      </w:r>
      <w:r>
        <w:t xml:space="preserve"> </w:t>
      </w:r>
      <w:r>
        <w:t xml:space="preserve">cleanTMLE 0.2.</w:t>
      </w:r>
    </w:p>
    <w:bookmarkEnd w:id="97"/>
    <w:bookmarkStart w:id="98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98"/>
    <w:bookmarkEnd w:id="99"/>
    <w:bookmarkEnd w:id="100"/>
    <w:bookmarkStart w:id="114" w:name="sec-discussion"/>
    <w:p>
      <w:pPr>
        <w:pStyle w:val="Heading1"/>
      </w:pPr>
      <w:r>
        <w:t xml:space="preserve">10. Discussion</w:t>
      </w:r>
    </w:p>
    <w:bookmarkStart w:id="101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proceed / review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1"/>
    <w:bookmarkStart w:id="102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2"/>
    <w:bookmarkStart w:id="103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regulatory-grade RWE, cleanTMLE is best used as one layer in a</w:t>
      </w:r>
      <w:r>
        <w:t xml:space="preserve"> </w:t>
      </w:r>
      <w:r>
        <w:t xml:space="preserve">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3"/>
    <w:bookmarkStart w:id="104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gate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4"/>
    <w:bookmarkStart w:id="105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5"/>
    <w:bookmarkStart w:id="106" w:name="Xd4386ded9fe315f7b6aa405cc5d873a8cd07254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6"/>
    <w:bookmarkStart w:id="110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7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7"/>
    <w:bookmarkStart w:id="108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08"/>
    <w:bookmarkStart w:id="109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09"/>
    <w:bookmarkEnd w:id="110"/>
    <w:bookmarkStart w:id="111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1"/>
    <w:bookmarkStart w:id="112" w:name="X50c0ac7ab0120ffdf0ea28dfe97e2979a8971f5"/>
    <w:p>
      <w:pPr>
        <w:pStyle w:val="Heading2"/>
      </w:pPr>
      <w:r>
        <w:t xml:space="preserve">10.9 When to use cleanTMLE inside a broader governed clean-room process</w:t>
      </w:r>
    </w:p>
    <w:p>
      <w:pPr>
        <w:pStyle w:val="FirstParagraph"/>
      </w:pPr>
      <w:r>
        <w:t xml:space="preserve">For routine pharmacoepidemiology and most academic RWE studies,</w:t>
      </w:r>
      <w:r>
        <w:t xml:space="preserve"> </w:t>
      </w:r>
      <w:r>
        <w:t xml:space="preserve">cleanTMLE used on its own provides an adequate prespecification</w:t>
      </w:r>
      <w:r>
        <w:t xml:space="preserve"> </w:t>
      </w:r>
      <w:r>
        <w:t xml:space="preserve">record: the analyst prespecifies the analytic plan, runs the</w:t>
      </w:r>
      <w:r>
        <w:t xml:space="preserve"> </w:t>
      </w:r>
      <w:r>
        <w:t xml:space="preserve">workflow inside a single R session, and archives the analysis</w:t>
      </w:r>
      <w:r>
        <w:t xml:space="preserve"> </w:t>
      </w:r>
      <w:r>
        <w:t xml:space="preserve">lock together with the audit and decision logs. For</w:t>
      </w:r>
      <w:r>
        <w:t xml:space="preserve"> </w:t>
      </w:r>
      <w:r>
        <w:t xml:space="preserve">submission-oriented RWE (FDA, EMA, or HTA contexts), the</w:t>
      </w:r>
      <w:r>
        <w:t xml:space="preserve"> </w:t>
      </w:r>
      <w:r>
        <w:t xml:space="preserve">recommended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2"/>
    <w:bookmarkStart w:id="113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gate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6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6"/>
        </w:numPr>
      </w:pPr>
      <w:r>
        <w:t xml:space="preserve">Lock the candidate grid and the gate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Score the gate.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gate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3"/>
    <w:bookmarkEnd w:id="114"/>
    <w:bookmarkStart w:id="117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cleanTMLE</w:t>
      </w:r>
      <w:r>
        <w:t xml:space="preserve"> </w:t>
      </w:r>
      <w:r>
        <w:t xml:space="preserve">operationalises a quantitative bridge from qualitative</w:t>
      </w:r>
      <w:r>
        <w:t xml:space="preserve"> </w:t>
      </w:r>
      <w:r>
        <w:t xml:space="preserve">data-fitness concerns to prespecified outcome-blind plasmode</w:t>
      </w:r>
      <w:r>
        <w:t xml:space="preserve"> </w:t>
      </w:r>
      <w:r>
        <w:t xml:space="preserve">stress-test scenarios; it does not itself determine whether a data</w:t>
      </w:r>
      <w:r>
        <w:t xml:space="preserve"> </w:t>
      </w:r>
      <w:r>
        <w:t xml:space="preserve">source is fit for purpose, and the severity ranges entered into the</w:t>
      </w:r>
      <w:r>
        <w:t xml:space="preserve"> </w:t>
      </w:r>
      <w:r>
        <w:t xml:space="preserve">stress test must come from prior validation studies, data</w:t>
      </w:r>
      <w:r>
        <w:t xml:space="preserve"> </w:t>
      </w:r>
      <w:r>
        <w:t xml:space="preserve">profiling, or 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5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6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7"/>
    <w:bookmarkStart w:id="11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 whose</w:t>
      </w:r>
      <w:r>
        <w:t xml:space="preserve"> </w:t>
      </w:r>
      <w:r>
        <w:t xml:space="preserve">published frameworks cleanTMLE operationalises in software,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18"/>
    <w:bookmarkStart w:id="200" w:name="references"/>
    <w:p>
      <w:pPr>
        <w:pStyle w:val="Heading1"/>
      </w:pPr>
      <w:r>
        <w:t xml:space="preserve">References</w:t>
      </w:r>
    </w:p>
    <w:bookmarkStart w:id="199" w:name="refs"/>
    <w:bookmarkStart w:id="119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19"/>
    <w:bookmarkStart w:id="120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0"/>
    <w:bookmarkStart w:id="122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2"/>
    <w:bookmarkStart w:id="124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3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4"/>
    <w:bookmarkStart w:id="126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5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6"/>
    <w:bookmarkStart w:id="128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7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28"/>
    <w:bookmarkStart w:id="130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29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0"/>
    <w:bookmarkStart w:id="132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1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2"/>
    <w:bookmarkStart w:id="133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3"/>
    <w:bookmarkStart w:id="135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4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5"/>
    <w:bookmarkStart w:id="137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6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7"/>
    <w:bookmarkStart w:id="139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38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39"/>
    <w:bookmarkStart w:id="141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0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1"/>
    <w:bookmarkStart w:id="143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2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3"/>
    <w:bookmarkStart w:id="145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5"/>
    <w:bookmarkStart w:id="146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6"/>
    <w:bookmarkStart w:id="147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7"/>
    <w:bookmarkStart w:id="148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48"/>
    <w:bookmarkStart w:id="149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49"/>
    <w:bookmarkStart w:id="151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0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1"/>
    <w:bookmarkStart w:id="152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2"/>
    <w:bookmarkStart w:id="154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3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4"/>
    <w:bookmarkStart w:id="156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5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6"/>
    <w:bookmarkStart w:id="158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7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58"/>
    <w:bookmarkStart w:id="160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59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0"/>
    <w:bookmarkStart w:id="162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1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2"/>
    <w:bookmarkStart w:id="164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3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4"/>
    <w:bookmarkStart w:id="166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5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6"/>
    <w:bookmarkStart w:id="168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7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68"/>
    <w:bookmarkStart w:id="170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69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0"/>
    <w:bookmarkStart w:id="172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1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2"/>
    <w:bookmarkStart w:id="174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4"/>
    <w:bookmarkStart w:id="175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5"/>
    <w:bookmarkStart w:id="176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6"/>
    <w:bookmarkStart w:id="177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7"/>
    <w:bookmarkStart w:id="179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78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79"/>
    <w:bookmarkStart w:id="181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0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1"/>
    <w:bookmarkStart w:id="183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2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3"/>
    <w:bookmarkStart w:id="185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4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5"/>
    <w:bookmarkStart w:id="187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6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7"/>
    <w:bookmarkStart w:id="189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89"/>
    <w:bookmarkStart w:id="191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0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1"/>
    <w:bookmarkStart w:id="193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2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3"/>
    <w:bookmarkStart w:id="195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5"/>
    <w:bookmarkStart w:id="196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6"/>
    <w:bookmarkStart w:id="197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7"/>
    <w:bookmarkStart w:id="198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198"/>
    <w:bookmarkEnd w:id="199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3" Target="media/rId73.png" /><Relationship Type="http://schemas.openxmlformats.org/officeDocument/2006/relationships/image" Id="rId84" Target="media/rId8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5" Target="https://doi.org/10.1002/cpt.2399" TargetMode="External" /><Relationship Type="http://schemas.openxmlformats.org/officeDocument/2006/relationships/hyperlink" Id="rId136" Target="https://doi.org/10.1002/cpt.2466" TargetMode="External" /><Relationship Type="http://schemas.openxmlformats.org/officeDocument/2006/relationships/hyperlink" Id="rId138" Target="https://doi.org/10.1002/cpt.2883" TargetMode="External" /><Relationship Type="http://schemas.openxmlformats.org/officeDocument/2006/relationships/hyperlink" Id="rId161" Target="https://doi.org/10.1002/pds.5623" TargetMode="External" /><Relationship Type="http://schemas.openxmlformats.org/officeDocument/2006/relationships/hyperlink" Id="rId194" Target="https://doi.org/10.1002/pds.5642" TargetMode="External" /><Relationship Type="http://schemas.openxmlformats.org/officeDocument/2006/relationships/hyperlink" Id="rId167" Target="https://doi.org/10.1002/pds.5770" TargetMode="External" /><Relationship Type="http://schemas.openxmlformats.org/officeDocument/2006/relationships/hyperlink" Id="rId155" Target="https://doi.org/10.1007/978-1-4419-9782-1" TargetMode="External" /><Relationship Type="http://schemas.openxmlformats.org/officeDocument/2006/relationships/hyperlink" Id="rId134" Target="https://doi.org/10.1016/j.csda.2013.10.018" TargetMode="External" /><Relationship Type="http://schemas.openxmlformats.org/officeDocument/2006/relationships/hyperlink" Id="rId125" Target="https://doi.org/10.1017/cts.2023.635" TargetMode="External" /><Relationship Type="http://schemas.openxmlformats.org/officeDocument/2006/relationships/hyperlink" Id="rId140" Target="https://doi.org/10.1080/19466315.2022.2116104" TargetMode="External" /><Relationship Type="http://schemas.openxmlformats.org/officeDocument/2006/relationships/hyperlink" Id="rId144" Target="https://doi.org/10.1093/aje/kwv254" TargetMode="External" /><Relationship Type="http://schemas.openxmlformats.org/officeDocument/2006/relationships/hyperlink" Id="rId178" Target="https://doi.org/10.1093/aje/kww165" TargetMode="External" /><Relationship Type="http://schemas.openxmlformats.org/officeDocument/2006/relationships/hyperlink" Id="rId171" Target="https://doi.org/10.1093/ije/dyad023" TargetMode="External" /><Relationship Type="http://schemas.openxmlformats.org/officeDocument/2006/relationships/hyperlink" Id="rId159" Target="https://doi.org/10.1093/ije/dyu149" TargetMode="External" /><Relationship Type="http://schemas.openxmlformats.org/officeDocument/2006/relationships/hyperlink" Id="rId169" Target="https://doi.org/10.1097/EDE.0000000000000078" TargetMode="External" /><Relationship Type="http://schemas.openxmlformats.org/officeDocument/2006/relationships/hyperlink" Id="rId163" Target="https://doi.org/10.1097/EDE.0b013e3181d61eeb" TargetMode="External" /><Relationship Type="http://schemas.openxmlformats.org/officeDocument/2006/relationships/hyperlink" Id="rId123" Target="https://doi.org/10.1111/ectj.12097" TargetMode="External" /><Relationship Type="http://schemas.openxmlformats.org/officeDocument/2006/relationships/hyperlink" Id="rId121" Target="https://doi.org/10.1136/bmj-2024-080483" TargetMode="External" /><Relationship Type="http://schemas.openxmlformats.org/officeDocument/2006/relationships/hyperlink" Id="rId192" Target="https://doi.org/10.1136/bmj.m4856" TargetMode="External" /><Relationship Type="http://schemas.openxmlformats.org/officeDocument/2006/relationships/hyperlink" Id="rId142" Target="https://doi.org/10.1186/s12874-024-02244-z" TargetMode="External" /><Relationship Type="http://schemas.openxmlformats.org/officeDocument/2006/relationships/hyperlink" Id="rId150" Target="https://doi.org/10.13063/2327-9214.1244" TargetMode="External" /><Relationship Type="http://schemas.openxmlformats.org/officeDocument/2006/relationships/hyperlink" Id="rId127" Target="https://doi.org/10.1515/ijb-2013-0004" TargetMode="External" /><Relationship Type="http://schemas.openxmlformats.org/officeDocument/2006/relationships/hyperlink" Id="rId153" Target="https://doi.org/10.2202/1544-6115.1309" TargetMode="External" /><Relationship Type="http://schemas.openxmlformats.org/officeDocument/2006/relationships/hyperlink" Id="rId157" Target="https://doi.org/10.2202/1557-4679.1043" TargetMode="External" /><Relationship Type="http://schemas.openxmlformats.org/officeDocument/2006/relationships/hyperlink" Id="rId190" Target="https://doi.org/10.7326/M16-2607" TargetMode="External" /><Relationship Type="http://schemas.openxmlformats.org/officeDocument/2006/relationships/hyperlink" Id="rId116" Target="https://github.com/amertens/clean-room-sim" TargetMode="External" /><Relationship Type="http://schemas.openxmlformats.org/officeDocument/2006/relationships/hyperlink" Id="rId115" Target="https://github.com/amertens/cleanTMLE" TargetMode="External" /><Relationship Type="http://schemas.openxmlformats.org/officeDocument/2006/relationships/hyperlink" Id="rId173" Target="https://www.R-project.org/" TargetMode="External" /><Relationship Type="http://schemas.openxmlformats.org/officeDocument/2006/relationships/hyperlink" Id="rId131" Target="https://www.ema.europa.eu/en/about-us/how-we-work/big-data/real-world-evidence" TargetMode="External" /><Relationship Type="http://schemas.openxmlformats.org/officeDocument/2006/relationships/hyperlink" Id="rId129" Target="https://www.ema.europa.eu/en/guideline-registry-based-studies-scientific-guideline" TargetMode="External" /><Relationship Type="http://schemas.openxmlformats.org/officeDocument/2006/relationships/hyperlink" Id="rId180" Target="https://www.fda.gov/media/120060/download" TargetMode="External" /><Relationship Type="http://schemas.openxmlformats.org/officeDocument/2006/relationships/hyperlink" Id="rId184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6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2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8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https://doi.org/10.1002/cpt.2399" TargetMode="External" /><Relationship Type="http://schemas.openxmlformats.org/officeDocument/2006/relationships/hyperlink" Id="rId136" Target="https://doi.org/10.1002/cpt.2466" TargetMode="External" /><Relationship Type="http://schemas.openxmlformats.org/officeDocument/2006/relationships/hyperlink" Id="rId138" Target="https://doi.org/10.1002/cpt.2883" TargetMode="External" /><Relationship Type="http://schemas.openxmlformats.org/officeDocument/2006/relationships/hyperlink" Id="rId161" Target="https://doi.org/10.1002/pds.5623" TargetMode="External" /><Relationship Type="http://schemas.openxmlformats.org/officeDocument/2006/relationships/hyperlink" Id="rId194" Target="https://doi.org/10.1002/pds.5642" TargetMode="External" /><Relationship Type="http://schemas.openxmlformats.org/officeDocument/2006/relationships/hyperlink" Id="rId167" Target="https://doi.org/10.1002/pds.5770" TargetMode="External" /><Relationship Type="http://schemas.openxmlformats.org/officeDocument/2006/relationships/hyperlink" Id="rId155" Target="https://doi.org/10.1007/978-1-4419-9782-1" TargetMode="External" /><Relationship Type="http://schemas.openxmlformats.org/officeDocument/2006/relationships/hyperlink" Id="rId134" Target="https://doi.org/10.1016/j.csda.2013.10.018" TargetMode="External" /><Relationship Type="http://schemas.openxmlformats.org/officeDocument/2006/relationships/hyperlink" Id="rId125" Target="https://doi.org/10.1017/cts.2023.635" TargetMode="External" /><Relationship Type="http://schemas.openxmlformats.org/officeDocument/2006/relationships/hyperlink" Id="rId140" Target="https://doi.org/10.1080/19466315.2022.2116104" TargetMode="External" /><Relationship Type="http://schemas.openxmlformats.org/officeDocument/2006/relationships/hyperlink" Id="rId144" Target="https://doi.org/10.1093/aje/kwv254" TargetMode="External" /><Relationship Type="http://schemas.openxmlformats.org/officeDocument/2006/relationships/hyperlink" Id="rId178" Target="https://doi.org/10.1093/aje/kww165" TargetMode="External" /><Relationship Type="http://schemas.openxmlformats.org/officeDocument/2006/relationships/hyperlink" Id="rId171" Target="https://doi.org/10.1093/ije/dyad023" TargetMode="External" /><Relationship Type="http://schemas.openxmlformats.org/officeDocument/2006/relationships/hyperlink" Id="rId159" Target="https://doi.org/10.1093/ije/dyu149" TargetMode="External" /><Relationship Type="http://schemas.openxmlformats.org/officeDocument/2006/relationships/hyperlink" Id="rId169" Target="https://doi.org/10.1097/EDE.0000000000000078" TargetMode="External" /><Relationship Type="http://schemas.openxmlformats.org/officeDocument/2006/relationships/hyperlink" Id="rId163" Target="https://doi.org/10.1097/EDE.0b013e3181d61eeb" TargetMode="External" /><Relationship Type="http://schemas.openxmlformats.org/officeDocument/2006/relationships/hyperlink" Id="rId123" Target="https://doi.org/10.1111/ectj.12097" TargetMode="External" /><Relationship Type="http://schemas.openxmlformats.org/officeDocument/2006/relationships/hyperlink" Id="rId121" Target="https://doi.org/10.1136/bmj-2024-080483" TargetMode="External" /><Relationship Type="http://schemas.openxmlformats.org/officeDocument/2006/relationships/hyperlink" Id="rId192" Target="https://doi.org/10.1136/bmj.m4856" TargetMode="External" /><Relationship Type="http://schemas.openxmlformats.org/officeDocument/2006/relationships/hyperlink" Id="rId142" Target="https://doi.org/10.1186/s12874-024-02244-z" TargetMode="External" /><Relationship Type="http://schemas.openxmlformats.org/officeDocument/2006/relationships/hyperlink" Id="rId150" Target="https://doi.org/10.13063/2327-9214.1244" TargetMode="External" /><Relationship Type="http://schemas.openxmlformats.org/officeDocument/2006/relationships/hyperlink" Id="rId127" Target="https://doi.org/10.1515/ijb-2013-0004" TargetMode="External" /><Relationship Type="http://schemas.openxmlformats.org/officeDocument/2006/relationships/hyperlink" Id="rId153" Target="https://doi.org/10.2202/1544-6115.1309" TargetMode="External" /><Relationship Type="http://schemas.openxmlformats.org/officeDocument/2006/relationships/hyperlink" Id="rId157" Target="https://doi.org/10.2202/1557-4679.1043" TargetMode="External" /><Relationship Type="http://schemas.openxmlformats.org/officeDocument/2006/relationships/hyperlink" Id="rId190" Target="https://doi.org/10.7326/M16-2607" TargetMode="External" /><Relationship Type="http://schemas.openxmlformats.org/officeDocument/2006/relationships/hyperlink" Id="rId116" Target="https://github.com/amertens/clean-room-sim" TargetMode="External" /><Relationship Type="http://schemas.openxmlformats.org/officeDocument/2006/relationships/hyperlink" Id="rId115" Target="https://github.com/amertens/cleanTMLE" TargetMode="External" /><Relationship Type="http://schemas.openxmlformats.org/officeDocument/2006/relationships/hyperlink" Id="rId173" Target="https://www.R-project.org/" TargetMode="External" /><Relationship Type="http://schemas.openxmlformats.org/officeDocument/2006/relationships/hyperlink" Id="rId131" Target="https://www.ema.europa.eu/en/about-us/how-we-work/big-data/real-world-evidence" TargetMode="External" /><Relationship Type="http://schemas.openxmlformats.org/officeDocument/2006/relationships/hyperlink" Id="rId129" Target="https://www.ema.europa.eu/en/guideline-registry-based-studies-scientific-guideline" TargetMode="External" /><Relationship Type="http://schemas.openxmlformats.org/officeDocument/2006/relationships/hyperlink" Id="rId180" Target="https://www.fda.gov/media/120060/download" TargetMode="External" /><Relationship Type="http://schemas.openxmlformats.org/officeDocument/2006/relationships/hyperlink" Id="rId184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6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2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8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2026-05-07T15:34:57Z</dcterms:created>
  <dcterms:modified xsi:type="dcterms:W3CDTF">2026-05-07T15:34:57Z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2026-05-07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