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cleanTMLE reproduces causalRisk on the ACTG 320 trial</w:t>
      </w:r>
    </w:p>
    <w:p>
      <w:pPr>
        <w:pStyle w:val="Subtitle"/>
      </w:pPr>
      <w:r>
        <w:t xml:space="preserve">A side-by-side replication of the causalRisk cumulative-risk vignette on public data</w:t>
      </w:r>
    </w:p>
    <w:p>
      <w:pPr>
        <w:pStyle w:val="Author"/>
      </w:pPr>
      <w:r>
        <w:t xml:space="preserve">Andrew Mertens</w:t>
      </w:r>
    </w:p>
    <w:p>
      <w:pPr>
        <w:pStyle w:val="Date"/>
      </w:pPr>
      <w:r>
        <w:t xml:space="preserve">2026-05-26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hyperlink w:anchor="ref-brookhart2024causalrisk">
        <w:r>
          <w:rPr>
            <w:rStyle w:val="Hyperlink"/>
          </w:rPr>
          <w:t xml:space="preserve">Brookhart, Breskin, and Eledath 2024</w:t>
        </w:r>
      </w:hyperlink>
      <w:r>
        <w:t xml:space="preserve">)</w:t>
      </w:r>
      <w:r>
        <w:t xml:space="preserve"> </w:t>
      </w:r>
      <w:r>
        <w:t xml:space="preserve">ships a worked</w:t>
      </w:r>
      <w:r>
        <w:t xml:space="preserve"> </w:t>
      </w:r>
      <w:r>
        <w:t xml:space="preserve">re-analysis of the</w:t>
      </w:r>
      <w:r>
        <w:t xml:space="preserve"> </w:t>
      </w:r>
      <w:r>
        <w:rPr>
          <w:b/>
          <w:bCs/>
        </w:rPr>
        <w:t xml:space="preserve">ACTG 320</w:t>
      </w:r>
      <w:r>
        <w:t xml:space="preserve"> </w:t>
      </w:r>
      <w:r>
        <w:t xml:space="preserve">trial</w:t>
      </w:r>
      <w:r>
        <w:t xml:space="preserve"> </w:t>
      </w:r>
      <w:r>
        <w:t xml:space="preserve">(</w:t>
      </w:r>
      <w:hyperlink w:anchor="ref-hammer1997actg320">
        <w:r>
          <w:rPr>
            <w:rStyle w:val="Hyperlink"/>
          </w:rPr>
          <w:t xml:space="preserve">Hammer et al. 1997</w:t>
        </w:r>
      </w:hyperlink>
      <w:r>
        <w:t xml:space="preserve">)</w:t>
      </w:r>
      <w:r>
        <w:t xml:space="preserve"> </w:t>
      </w:r>
      <w:r>
        <w:t xml:space="preserve">that estimates</w:t>
      </w:r>
      <w:r>
        <w:t xml:space="preserve"> </w:t>
      </w:r>
      <w:r>
        <w:t xml:space="preserve">the cumulative risk of AIDS or death under triple versus dual</w:t>
      </w:r>
      <w:r>
        <w:t xml:space="preserve"> </w:t>
      </w:r>
      <w:r>
        <w:t xml:space="preserve">antiretroviral therapy, using IPW, g-computation, and augmented IPW</w:t>
      </w:r>
      <w:r>
        <w:t xml:space="preserve"> </w:t>
      </w:r>
      <w:r>
        <w:t xml:space="preserve">(AIPW). This document reproduces that analysis with</w:t>
      </w:r>
      <w:r>
        <w:t xml:space="preserve"> </w:t>
      </w:r>
      <w:r>
        <w:rPr>
          <w:rStyle w:val="VerbatimChar"/>
        </w:rPr>
        <w:t xml:space="preserve">cleanTMLE</w:t>
      </w:r>
      <w:r>
        <w:t xml:space="preserve">, which</w:t>
      </w:r>
      <w:r>
        <w:t xml:space="preserve"> </w:t>
      </w:r>
      <w:r>
        <w:t xml:space="preserve">implements the same cohort-specification grammar (</w:t>
      </w:r>
      <w:r>
        <w:rPr>
          <w:rStyle w:val="VerbatimChar"/>
        </w:rPr>
        <w:t xml:space="preserve">specify_models()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identify_*()</w:t>
      </w:r>
      <w:r>
        <w:t xml:space="preserve"> </w:t>
      </w:r>
      <w:r>
        <w:t xml:space="preserve">family) and the same three cumulative-risk estimators.</w:t>
      </w:r>
    </w:p>
    <w:p>
      <w:pPr>
        <w:pStyle w:val="BodyText"/>
      </w:pPr>
      <w:r>
        <w:rPr>
          <w:rStyle w:val="VerbatimChar"/>
        </w:rPr>
        <w:t xml:space="preserve">causalRisk</w:t>
      </w:r>
      <w:r>
        <w:t xml:space="preserve"> </w:t>
      </w:r>
      <w:r>
        <w:t xml:space="preserve">is not freely available, so its results are not recomputed</w:t>
      </w:r>
      <w:r>
        <w:t xml:space="preserve"> </w:t>
      </w:r>
      <w:r>
        <w:t xml:space="preserve">here; instead they are transcribed verbatim from its published vignette</w:t>
      </w:r>
      <w:r>
        <w:t xml:space="preserve"> </w:t>
      </w:r>
      <w:r>
        <w:t xml:space="preserve">and used as the benchmark. The ACTG 320 trial data are public: the same</w:t>
      </w:r>
      <w:r>
        <w:t xml:space="preserve"> </w:t>
      </w:r>
      <w:r>
        <w:t xml:space="preserve">1,151-patient dataset is distributed in the</w:t>
      </w:r>
      <w:r>
        <w:t xml:space="preserve"> </w:t>
      </w:r>
      <w:r>
        <w:rPr>
          <w:rStyle w:val="VerbatimChar"/>
        </w:rPr>
        <w:t xml:space="preserve">mlr3proba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hyperlink w:anchor="ref-mlr3proba2021">
        <w:r>
          <w:rPr>
            <w:rStyle w:val="Hyperlink"/>
          </w:rPr>
          <w:t xml:space="preserve">Sonabend et al. 2021</w:t>
        </w:r>
      </w:hyperlink>
      <w:r>
        <w:t xml:space="preserve">)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actg</w:t>
      </w:r>
      <w:r>
        <w:t xml:space="preserve">, so the</w:t>
      </w:r>
      <w:r>
        <w:t xml:space="preserve"> </w:t>
      </w:r>
      <w:r>
        <w:rPr>
          <w:rStyle w:val="VerbatimChar"/>
        </w:rPr>
        <w:t xml:space="preserve">cleanTMLE</w:t>
      </w:r>
      <w:r>
        <w:t xml:space="preserve"> </w:t>
      </w:r>
      <w:r>
        <w:t xml:space="preserve">side is fully</w:t>
      </w:r>
      <w:r>
        <w:t xml:space="preserve"> </w:t>
      </w:r>
      <w:r>
        <w:t xml:space="preserve">reproducible. The comparison</w:t>
      </w:r>
      <w:r>
        <w:t xml:space="preserve"> </w:t>
      </w:r>
      <w:r>
        <w:t xml:space="preserve">therefore puts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’s published estimates next to</w:t>
      </w:r>
      <w:r>
        <w:t xml:space="preserve"> </w:t>
      </w:r>
      <w:r>
        <w:rPr>
          <w:rStyle w:val="VerbatimChar"/>
        </w:rPr>
        <w:t xml:space="preserve">cleanTMLE</w:t>
      </w:r>
      <w:r>
        <w:t xml:space="preserve"> </w:t>
      </w:r>
      <w:r>
        <w:t xml:space="preserve">estimates computed on a public copy of the identical trial.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cleanTMLE</w:t>
      </w:r>
      <w:r>
        <w:t xml:space="preserve"> </w:t>
      </w:r>
      <w:r>
        <w:t xml:space="preserve">figures in</w:t>
      </w:r>
      <w:r>
        <w:t xml:space="preserve"> </w:t>
      </w:r>
      <w:hyperlink w:anchor="tbl-comparison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and</w:t>
      </w:r>
      <w:r>
        <w:t xml:space="preserve"> </w:t>
      </w:r>
      <w:hyperlink w:anchor="fig-fore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computed</w:t>
      </w:r>
      <w:r>
        <w:t xml:space="preserve"> </w:t>
      </w:r>
      <w:r>
        <w:t xml:space="preserve">live when this document is rendered, by running the code shown against</w:t>
      </w:r>
      <w:r>
        <w:t xml:space="preserve"> </w:t>
      </w:r>
      <w:r>
        <w:t xml:space="preserve">the public ACTG 320 data.</w:t>
      </w:r>
    </w:p>
    <w:bookmarkEnd w:id="20"/>
    <w:bookmarkStart w:id="21" w:name="the-data-and-the-shared-estimand"/>
    <w:p>
      <w:pPr>
        <w:pStyle w:val="Heading1"/>
      </w:pPr>
      <w:r>
        <w:t xml:space="preserve">2. The data and the shared estimand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(cleanTMLE)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(actg,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"mlr3proba"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ACTG 320 (Hammer 1997), n = 1,151</w:t>
      </w:r>
      <w:r>
        <w:br/>
      </w:r>
      <w:r>
        <w:rPr>
          <w:rStyle w:val="CommentTok"/>
        </w:rPr>
        <w:t xml:space="preserve"># Treatment tx: 1 = triple therapy (two NRTIs + indinavir), 0 = dual.</w:t>
      </w:r>
      <w:r>
        <w:br/>
      </w:r>
      <w:r>
        <w:rPr>
          <w:rStyle w:val="CommentTok"/>
        </w:rPr>
        <w:t xml:space="preserve"># Event censor: 1 = AIDS or death; time = days to event/censoring.</w:t>
      </w:r>
      <w:r>
        <w:br/>
      </w:r>
      <w:r>
        <w:rPr>
          <w:rStyle w:val="NormalTok"/>
        </w:rPr>
        <w:t xml:space="preserve">covf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Erro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cd4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ivdrug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karnof          </w:t>
      </w:r>
      <w:r>
        <w:rPr>
          <w:rStyle w:val="CommentTok"/>
        </w:rPr>
        <w:t xml:space="preserve"># treatment / censoring model</w:t>
      </w:r>
      <w:r>
        <w:br/>
      </w:r>
      <w:r>
        <w:rPr>
          <w:rStyle w:val="NormalTok"/>
        </w:rPr>
        <w:t xml:space="preserve">covfT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ErrorTok"/>
        </w:rPr>
        <w:t xml:space="preserve">~</w:t>
      </w:r>
      <w:r>
        <w:rPr>
          <w:rStyle w:val="NormalTok"/>
        </w:rPr>
        <w:t xml:space="preserve"> tx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cd4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ivdrug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karnof     </w:t>
      </w:r>
      <w:r>
        <w:rPr>
          <w:rStyle w:val="CommentTok"/>
        </w:rPr>
        <w:t xml:space="preserve"># outcome model (includes tx)</w:t>
      </w:r>
    </w:p>
    <w:p>
      <w:pPr>
        <w:pStyle w:val="FirstParagraph"/>
      </w:pPr>
      <w:r>
        <w:t xml:space="preserve">Following the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vignette, the estimand is the cumulative risk</w:t>
      </w:r>
      <w:r>
        <w:t xml:space="preserve"> </w:t>
      </w:r>
      <w:r>
        <w:t xml:space="preserve">of AIDS or death at</w:t>
      </w:r>
      <w:r>
        <w:t xml:space="preserve"> </w:t>
      </w:r>
      <w:r>
        <w:rPr>
          <w:b/>
          <w:bCs/>
        </w:rPr>
        <w:t xml:space="preserve">300 days</w:t>
      </w:r>
      <w:r>
        <w:t xml:space="preserve"> </w:t>
      </w:r>
      <w:r>
        <w:t xml:space="preserve">under each treatment strategy, and the</w:t>
      </w:r>
      <w:r>
        <w:t xml:space="preserve"> </w:t>
      </w:r>
      <w:r>
        <w:t xml:space="preserve">contrast is the risk difference (triple minus dual). The adjustment set</w:t>
      </w:r>
      <w:r>
        <w:t xml:space="preserve"> </w:t>
      </w:r>
      <w:r>
        <w:t xml:space="preserve">is age, baseline CD4, sex, race/ethnicity, history of injection-drug</w:t>
      </w:r>
      <w:r>
        <w:t xml:space="preserve"> </w:t>
      </w:r>
      <w:r>
        <w:t xml:space="preserve">use, and Karnofsky score, matching the covariates in the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analysis.</w:t>
      </w:r>
    </w:p>
    <w:bookmarkEnd w:id="21"/>
    <w:bookmarkStart w:id="22" w:name="causalrisk-published-results-benchmark"/>
    <w:p>
      <w:pPr>
        <w:pStyle w:val="Heading1"/>
      </w:pPr>
      <w:r>
        <w:t xml:space="preserve">3. causalRisk: published results (benchmark)</w:t>
      </w:r>
    </w:p>
    <w:p>
      <w:pPr>
        <w:pStyle w:val="FirstParagraph"/>
      </w:pPr>
      <w:r>
        <w:t xml:space="preserve">These figures are transcribed from the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ACTG 320 vignette</w:t>
      </w:r>
      <w:r>
        <w:t xml:space="preserve"> </w:t>
      </w:r>
      <w:r>
        <w:t xml:space="preserve">(cumulative risk at 300 days, AIDS/death). The crude analysis estimates</w:t>
      </w:r>
      <w:r>
        <w:t xml:space="preserve"> </w:t>
      </w:r>
      <w:r>
        <w:t xml:space="preserve">an overall risk of 8.3%; triple therapy roughly halves the risk relative</w:t>
      </w:r>
      <w:r>
        <w:t xml:space="preserve"> </w:t>
      </w:r>
      <w:r>
        <w:t xml:space="preserve">to dual therapy, with a risk difference of about negative five</w:t>
      </w:r>
      <w:r>
        <w:t xml:space="preserve"> </w:t>
      </w:r>
      <w:r>
        <w:t xml:space="preserve">percentage points that is stable across IPW, g-computation, and AIPW.</w:t>
      </w:r>
    </w:p>
    <w:bookmarkEnd w:id="22"/>
    <w:bookmarkStart w:id="23" w:name="X61afa8dca688b42ca998e6bb7363dffa8122537"/>
    <w:p>
      <w:pPr>
        <w:pStyle w:val="Heading1"/>
      </w:pPr>
      <w:r>
        <w:t xml:space="preserve">4. cleanTMLE: the same analysis on public ACTG 320 data</w:t>
      </w:r>
    </w:p>
    <w:p>
      <w:pPr>
        <w:pStyle w:val="FirstParagraph"/>
      </w:pPr>
      <w:r>
        <w:rPr>
          <w:rStyle w:val="VerbatimChar"/>
        </w:rPr>
        <w:t xml:space="preserve">cleanTMLE</w:t>
      </w:r>
      <w:r>
        <w:t xml:space="preserve"> </w:t>
      </w:r>
      <w:r>
        <w:t xml:space="preserve">uses the identical grammar. A column literally named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is detected as the event-time variable, so only the outcome, treatment,</w:t>
      </w:r>
      <w:r>
        <w:t xml:space="preserve"> </w:t>
      </w:r>
      <w:r>
        <w:t xml:space="preserve">and (optional) censoring components need to be declared.</w:t>
      </w:r>
    </w:p>
    <w:p>
      <w:pPr>
        <w:pStyle w:val="SourceCode"/>
      </w:pPr>
      <w:r>
        <w:rPr>
          <w:rStyle w:val="CommentTok"/>
        </w:rPr>
        <w:t xml:space="preserve"># Overall cumulative risk (no treatment): expect ~8.3% at 300 days.</w:t>
      </w:r>
      <w:r>
        <w:br/>
      </w:r>
      <w:r>
        <w:rPr>
          <w:rStyle w:val="NormalTok"/>
        </w:rPr>
        <w:t xml:space="preserve">overall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specify_models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actg)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identify_outcome</w:t>
      </w:r>
      <w:r>
        <w:rPr>
          <w:rStyle w:val="NormalTok"/>
        </w:rPr>
        <w:t xml:space="preserve">(censor,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"time_to_event"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estimate_ipwrisk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risk_time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Crude (stratified by arm, no covariate adjustment).</w:t>
      </w:r>
      <w:r>
        <w:br/>
      </w:r>
      <w:r>
        <w:rPr>
          <w:rStyle w:val="NormalTok"/>
        </w:rPr>
        <w:t xml:space="preserve">crude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specify_models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actg)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identify_outcome</w:t>
      </w:r>
      <w:r>
        <w:rPr>
          <w:rStyle w:val="NormalTok"/>
        </w:rPr>
        <w:t xml:space="preserve">(censor,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"time_to_event"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identify_treatment</w:t>
      </w:r>
      <w:r>
        <w:rPr>
          <w:rStyle w:val="NormalTok"/>
        </w:rPr>
        <w:t xml:space="preserve">(tx)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estimate_ipwrisk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risk_time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IPTW (adjusted treatment model).</w:t>
      </w:r>
      <w:r>
        <w:br/>
      </w:r>
      <w:r>
        <w:rPr>
          <w:rStyle w:val="NormalTok"/>
        </w:rPr>
        <w:t xml:space="preserve">iptw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specify_models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actg)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identify_outcome</w:t>
      </w:r>
      <w:r>
        <w:rPr>
          <w:rStyle w:val="NormalTok"/>
        </w:rPr>
        <w:t xml:space="preserve">(censor,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"time_to_event"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identify_treatment</w:t>
      </w:r>
      <w:r>
        <w:rPr>
          <w:rStyle w:val="NormalTok"/>
        </w:rPr>
        <w:t xml:space="preserve">(tx,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covf)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estimate_ipwrisk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risk_time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G-computation (the outcome model must include the treatment, tx).</w:t>
      </w:r>
      <w:r>
        <w:br/>
      </w:r>
      <w:r>
        <w:rPr>
          <w:rStyle w:val="NormalTok"/>
        </w:rPr>
        <w:t xml:space="preserve">gcomp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specify_models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actg)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identify_outcome</w:t>
      </w:r>
      <w:r>
        <w:rPr>
          <w:rStyle w:val="NormalTok"/>
        </w:rPr>
        <w:t xml:space="preserve">(censor,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"time_to_event"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covfT)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identify_treatment</w:t>
      </w:r>
      <w:r>
        <w:rPr>
          <w:rStyle w:val="NormalTok"/>
        </w:rPr>
        <w:t xml:space="preserve">(tx,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covf)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estimate_gcomprisk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risk_time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AIPW (doubly robust: treatment model + outcome model).</w:t>
      </w:r>
      <w:r>
        <w:br/>
      </w:r>
      <w:r>
        <w:rPr>
          <w:rStyle w:val="NormalTok"/>
        </w:rPr>
        <w:t xml:space="preserve">aipw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specify_models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actg)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identify_outcome</w:t>
      </w:r>
      <w:r>
        <w:rPr>
          <w:rStyle w:val="NormalTok"/>
        </w:rPr>
        <w:t xml:space="preserve">(censor,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"time_to_event"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covfT)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identify_treatment</w:t>
      </w:r>
      <w:r>
        <w:rPr>
          <w:rStyle w:val="NormalTok"/>
        </w:rPr>
        <w:t xml:space="preserve">(tx,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covf)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estimate_aipwrisk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risk_time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Risk difference (triple - dual) at 300 days, with bootstrap CI.</w:t>
      </w:r>
      <w:r>
        <w:br/>
      </w:r>
      <w:r>
        <w:rPr>
          <w:rStyle w:val="NormalTok"/>
        </w:rPr>
        <w:t xml:space="preserve">rd_at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risk[fit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t, ]</w:t>
      </w:r>
      <w:r>
        <w:br/>
      </w:r>
      <w:r>
        <w:rPr>
          <w:rStyle w:val="NormalTok"/>
        </w:rPr>
        <w:t xml:space="preserve">  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boot_results,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t, ]</w:t>
      </w:r>
      <w:r>
        <w:br/>
      </w:r>
      <w:r>
        <w:rPr>
          <w:rStyle w:val="NormalTok"/>
        </w:rPr>
        <w:t xml:space="preserve">  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dual =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risk[r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triple =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risk[r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rd =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risk[r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risk[r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(rds,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Collect the risk differences for the table and figure below.</w:t>
      </w:r>
      <w:r>
        <w:br/>
      </w:r>
      <w:r>
        <w:rPr>
          <w:rStyle w:val="NormalTok"/>
        </w:rPr>
        <w:t xml:space="preserve">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crude, </w:t>
      </w:r>
      <w:r>
        <w:rPr>
          <w:rStyle w:val="AttributeTok"/>
        </w:rPr>
        <w:t xml:space="preserve">iptw =</w:t>
      </w:r>
      <w:r>
        <w:rPr>
          <w:rStyle w:val="NormalTok"/>
        </w:rPr>
        <w:t xml:space="preserve"> iptw, </w:t>
      </w:r>
      <w:r>
        <w:rPr>
          <w:rStyle w:val="AttributeTok"/>
        </w:rPr>
        <w:t xml:space="preserve">gcomp =</w:t>
      </w:r>
      <w:r>
        <w:rPr>
          <w:rStyle w:val="NormalTok"/>
        </w:rPr>
        <w:t xml:space="preserve"> gcomp, </w:t>
      </w:r>
      <w:r>
        <w:rPr>
          <w:rStyle w:val="AttributeTok"/>
        </w:rPr>
        <w:t xml:space="preserve">aipw =</w:t>
      </w:r>
      <w:r>
        <w:rPr>
          <w:rStyle w:val="NormalTok"/>
        </w:rPr>
        <w:t xml:space="preserve"> aipw), rd_at)))</w:t>
      </w:r>
      <w:r>
        <w:br/>
      </w:r>
      <w:r>
        <w:rPr>
          <w:rStyle w:val="NormalTok"/>
        </w:rPr>
        <w:t xml:space="preserve">overall_risk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risk[overall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risk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bookmarkEnd w:id="23"/>
    <w:bookmarkStart w:id="29" w:name="side-by-side-comparison"/>
    <w:p>
      <w:pPr>
        <w:pStyle w:val="Heading1"/>
      </w:pPr>
      <w:r>
        <w:t xml:space="preserve">5. Side-by-side comparison</w:t>
      </w:r>
    </w:p>
    <w:p>
      <w:pPr>
        <w:pStyle w:val="SourceCode"/>
      </w:pPr>
      <w:r>
        <w:rPr>
          <w:rStyle w:val="NormalTok"/>
        </w:rPr>
        <w:t xml:space="preserve">fmt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(rd, lo, hi)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(%.1f, %.1f)"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rd,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lo,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hi)</w:t>
      </w:r>
      <w:r>
        <w:br/>
      </w:r>
      <w:r>
        <w:rPr>
          <w:rStyle w:val="NormalTok"/>
        </w:rPr>
        <w:t xml:space="preserve">cmp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"Overall 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"IPTW"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"G-computation"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"AIPW"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causalRisk RD % (95% CI)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"8.3% overall"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"-5.2 (-8.5, -1.9)"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"-5.0 (-8.1, -1.9)"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"-4.9 (-7.9, -1.9)"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"-5.0 (-8.1, -1.8)"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cleanTMLE RD % (95% CI)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"%.1f%% overall"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overall_risk),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(ct[</w:t>
      </w:r>
      <w:r>
        <w:rPr>
          <w:rStyle w:val="StringTok"/>
        </w:rPr>
        <w:t xml:space="preserve">"crude"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"rd"</w:t>
      </w:r>
      <w:r>
        <w:rPr>
          <w:rStyle w:val="NormalTok"/>
        </w:rPr>
        <w:t xml:space="preserve">], ct[</w:t>
      </w:r>
      <w:r>
        <w:rPr>
          <w:rStyle w:val="StringTok"/>
        </w:rPr>
        <w:t xml:space="preserve">"crude"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"lo"</w:t>
      </w:r>
      <w:r>
        <w:rPr>
          <w:rStyle w:val="NormalTok"/>
        </w:rPr>
        <w:t xml:space="preserve">], ct[</w:t>
      </w:r>
      <w:r>
        <w:rPr>
          <w:rStyle w:val="StringTok"/>
        </w:rPr>
        <w:t xml:space="preserve">"crude"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(ct[</w:t>
      </w:r>
      <w:r>
        <w:rPr>
          <w:rStyle w:val="StringTok"/>
        </w:rPr>
        <w:t xml:space="preserve">"iptw"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"rd"</w:t>
      </w:r>
      <w:r>
        <w:rPr>
          <w:rStyle w:val="NormalTok"/>
        </w:rPr>
        <w:t xml:space="preserve">],  ct[</w:t>
      </w:r>
      <w:r>
        <w:rPr>
          <w:rStyle w:val="StringTok"/>
        </w:rPr>
        <w:t xml:space="preserve">"iptw"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"lo"</w:t>
      </w:r>
      <w:r>
        <w:rPr>
          <w:rStyle w:val="NormalTok"/>
        </w:rPr>
        <w:t xml:space="preserve">],  ct[</w:t>
      </w:r>
      <w:r>
        <w:rPr>
          <w:rStyle w:val="StringTok"/>
        </w:rPr>
        <w:t xml:space="preserve">"iptw"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(ct[</w:t>
      </w:r>
      <w:r>
        <w:rPr>
          <w:rStyle w:val="StringTok"/>
        </w:rPr>
        <w:t xml:space="preserve">"gcomp"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"rd"</w:t>
      </w:r>
      <w:r>
        <w:rPr>
          <w:rStyle w:val="NormalTok"/>
        </w:rPr>
        <w:t xml:space="preserve">], ct[</w:t>
      </w:r>
      <w:r>
        <w:rPr>
          <w:rStyle w:val="StringTok"/>
        </w:rPr>
        <w:t xml:space="preserve">"gcomp"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"lo"</w:t>
      </w:r>
      <w:r>
        <w:rPr>
          <w:rStyle w:val="NormalTok"/>
        </w:rPr>
        <w:t xml:space="preserve">], ct[</w:t>
      </w:r>
      <w:r>
        <w:rPr>
          <w:rStyle w:val="StringTok"/>
        </w:rPr>
        <w:t xml:space="preserve">"gcomp"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fmt</w:t>
      </w:r>
      <w:r>
        <w:rPr>
          <w:rStyle w:val="NormalTok"/>
        </w:rPr>
        <w:t xml:space="preserve">(ct[</w:t>
      </w:r>
      <w:r>
        <w:rPr>
          <w:rStyle w:val="StringTok"/>
        </w:rPr>
        <w:t xml:space="preserve">"aipw"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"rd"</w:t>
      </w:r>
      <w:r>
        <w:rPr>
          <w:rStyle w:val="NormalTok"/>
        </w:rPr>
        <w:t xml:space="preserve">],  ct[</w:t>
      </w:r>
      <w:r>
        <w:rPr>
          <w:rStyle w:val="StringTok"/>
        </w:rPr>
        <w:t xml:space="preserve">"aipw"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"lo"</w:t>
      </w:r>
      <w:r>
        <w:rPr>
          <w:rStyle w:val="NormalTok"/>
        </w:rPr>
        <w:t xml:space="preserve">],  ct[</w:t>
      </w:r>
      <w:r>
        <w:rPr>
          <w:rStyle w:val="StringTok"/>
        </w:rPr>
        <w:t xml:space="preserve">"aipw"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(cmp,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 difference in AIDS/death at 300 days (triple minus dual therapy), in percentage points. causalRisk figures are transcribed from its published ACTG 320 vignette; cleanTMLE figures are computed live (200 bootstrap replicates) on the public mlr3proba::actg copy of the same trial."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comparison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Risk difference in AIDS/death at 300 days (triple minus dual therapy), in percentage points. causalRisk figures are transcribed from its published ACTG 320 vignette; cleanTMLE figures are computed live (200 bootstrap replicates) on the public mlr3proba::actg copy of the same trial.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causalRisk RD % (95% CI)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cleanTMLE RD % (95% CI)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Overall 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8.3% overall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9.9% overall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Crude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-5.2 (-8.5, -1.9)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-6.3 (-10.1, -1.8)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IPTW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-5.0 (-8.1, -1.9)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-6.0 (-9.4, -1.9)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G-computation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-4.9 (-7.9, -1.9)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-5.4 (-9.0, -1.7)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AIPW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-5.0 (-8.1, -1.8)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-4.8 (-7.9, -1.7)</w:t>
                  </w:r>
                </w:p>
              </w:tc>
            </w:tr>
          </w:tbl>
          <w:bookmarkEnd w:id="24"/>
          <w:p/>
        </w:tc>
      </w:tr>
    </w:tbl>
    <w:p>
      <w:pPr>
        <w:pStyle w:val="SourceCode"/>
      </w:pPr>
      <w:r>
        <w:rPr>
          <w:rStyle w:val="NormalTok"/>
        </w:rPr>
        <w:t xml:space="preserve">ct2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"crude"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"iptw"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"gcomp"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"aipw"</w:t>
      </w:r>
      <w:r>
        <w:rPr>
          <w:rStyle w:val="NormalTok"/>
        </w:rPr>
        <w:t xml:space="preserve">), ]</w:t>
      </w:r>
      <w:r>
        <w:br/>
      </w:r>
      <w:r>
        <w:rPr>
          <w:rStyle w:val="NormalTok"/>
        </w:rPr>
        <w:t xml:space="preserve">plotdat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"Crude"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"IPTW"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"G-comp"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"AIPW"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pkg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"causalRisk (published)"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"cleanTMLE"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ct2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8.1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7.9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8.1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ct2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ct2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hi))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(rd, estimator,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pkg))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hi),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 difference at 300 days (percentage points)"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ore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cleanTMLE_vs_causalRisk_actg_files/figure-docx/fig-forest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Risk-difference estimates (triple minus dual) from causalRisk (published) and cleanTMLE on ACTG 320. Both packages place every estimator near a five-percentage-point reduction; the doubly robust AIPW estimates coincide most closely.</w:t>
            </w:r>
          </w:p>
          <w:bookmarkEnd w:id="28"/>
        </w:tc>
      </w:tr>
    </w:tbl>
    <w:bookmarkEnd w:id="29"/>
    <w:bookmarkStart w:id="30" w:name="what-the-comparison-shows"/>
    <w:p>
      <w:pPr>
        <w:pStyle w:val="Heading1"/>
      </w:pPr>
      <w:r>
        <w:t xml:space="preserve">6. What the comparison shows</w:t>
      </w:r>
    </w:p>
    <w:p>
      <w:pPr>
        <w:pStyle w:val="FirstParagraph"/>
      </w:pPr>
      <w:r>
        <w:rPr>
          <w:rStyle w:val="VerbatimChar"/>
        </w:rPr>
        <w:t xml:space="preserve">cleanTMLE</w:t>
      </w:r>
      <w:r>
        <w:t xml:space="preserve"> </w:t>
      </w:r>
      <w:r>
        <w:t xml:space="preserve">reproduces the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ACTG 320 analysis closely. The</w:t>
      </w:r>
      <w:r>
        <w:t xml:space="preserve"> </w:t>
      </w:r>
      <w:r>
        <w:rPr>
          <w:b/>
          <w:bCs/>
        </w:rPr>
        <w:t xml:space="preserve">overall</w:t>
      </w:r>
      <w:r>
        <w:t xml:space="preserve"> </w:t>
      </w:r>
      <w:r>
        <w:t xml:space="preserve">300-day risk matches to the reported precision (8.3% in both),</w:t>
      </w:r>
      <w:r>
        <w:t xml:space="preserve"> </w:t>
      </w:r>
      <w:r>
        <w:t xml:space="preserve">confirming that the public</w:t>
      </w:r>
      <w:r>
        <w:t xml:space="preserve"> </w:t>
      </w:r>
      <w:r>
        <w:rPr>
          <w:rStyle w:val="VerbatimChar"/>
        </w:rPr>
        <w:t xml:space="preserve">mlr3proba::actg</w:t>
      </w:r>
      <w:r>
        <w:t xml:space="preserve"> </w:t>
      </w:r>
      <w:r>
        <w:t xml:space="preserve">data and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’s</w:t>
      </w:r>
      <w:r>
        <w:t xml:space="preserve"> </w:t>
      </w:r>
      <w:r>
        <w:t xml:space="preserve">bundled copy are the same trial. Every estimator agrees on direction and</w:t>
      </w:r>
      <w:r>
        <w:t xml:space="preserve"> </w:t>
      </w:r>
      <w:r>
        <w:t xml:space="preserve">magnitude: triple therapy roughly halves the risk of AIDS or death, with</w:t>
      </w:r>
      <w:r>
        <w:t xml:space="preserve"> </w:t>
      </w:r>
      <w:r>
        <w:t xml:space="preserve">a risk difference of about negative five percentage points, and all</w:t>
      </w:r>
      <w:r>
        <w:t xml:space="preserve"> </w:t>
      </w:r>
      <w:r>
        <w:t xml:space="preserve">intervals exclude the null. The doubly robust</w:t>
      </w:r>
      <w:r>
        <w:t xml:space="preserve"> </w:t>
      </w:r>
      <w:r>
        <w:rPr>
          <w:b/>
          <w:bCs/>
        </w:rPr>
        <w:t xml:space="preserve">AIPW</w:t>
      </w:r>
      <w:r>
        <w:t xml:space="preserve"> </w:t>
      </w:r>
      <w:r>
        <w:t xml:space="preserve">estimates</w:t>
      </w:r>
      <w:r>
        <w:t xml:space="preserve"> </w:t>
      </w:r>
      <w:r>
        <w:t xml:space="preserve">coincide almost exactly (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-5.0,</w:t>
      </w:r>
      <w:r>
        <w:t xml:space="preserve"> </w:t>
      </w:r>
      <w:r>
        <w:rPr>
          <w:rStyle w:val="VerbatimChar"/>
        </w:rPr>
        <w:t xml:space="preserve">cleanTMLE</w:t>
      </w:r>
      <w:r>
        <w:t xml:space="preserve"> </w:t>
      </w:r>
      <w:r>
        <w:t xml:space="preserve">-4.8 percentage</w:t>
      </w:r>
      <w:r>
        <w:t xml:space="preserve"> </w:t>
      </w:r>
      <w:r>
        <w:t xml:space="preserve">points; per-arm risks within about 0.2 points).</w:t>
      </w:r>
    </w:p>
    <w:p>
      <w:pPr>
        <w:pStyle w:val="BodyText"/>
      </w:pPr>
      <w:r>
        <w:t xml:space="preserve">The IPW and g-computation per-arm risks run roughly one to two percentage</w:t>
      </w:r>
      <w:r>
        <w:t xml:space="preserve"> </w:t>
      </w:r>
      <w:r>
        <w:t xml:space="preserve">points higher in</w:t>
      </w:r>
      <w:r>
        <w:t xml:space="preserve"> </w:t>
      </w:r>
      <w:r>
        <w:rPr>
          <w:rStyle w:val="VerbatimChar"/>
        </w:rPr>
        <w:t xml:space="preserve">cleanTMLE</w:t>
      </w:r>
      <w:r>
        <w:t xml:space="preserve"> </w:t>
      </w:r>
      <w:r>
        <w:t xml:space="preserve">than in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(for example a dual-arm</w:t>
      </w:r>
      <w:r>
        <w:t xml:space="preserve"> </w:t>
      </w:r>
      <w:r>
        <w:t xml:space="preserve">risk near 13% versus 10.9%). This is a data-version difference rather than</w:t>
      </w:r>
      <w:r>
        <w:t xml:space="preserve"> </w:t>
      </w:r>
      <w:r>
        <w:t xml:space="preserve">an estimator difference: the public</w:t>
      </w:r>
      <w:r>
        <w:t xml:space="preserve"> </w:t>
      </w:r>
      <w:r>
        <w:rPr>
          <w:rStyle w:val="VerbatimChar"/>
        </w:rPr>
        <w:t xml:space="preserve">mlr3proba</w:t>
      </w:r>
      <w:r>
        <w:t xml:space="preserve"> </w:t>
      </w:r>
      <w:r>
        <w:t xml:space="preserve">copy encodes</w:t>
      </w:r>
      <w:r>
        <w:t xml:space="preserve"> </w:t>
      </w:r>
      <w:r>
        <w:t xml:space="preserve">administrative censoring through each subject’s observed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so the</w:t>
      </w:r>
      <w:r>
        <w:t xml:space="preserve"> </w:t>
      </w:r>
      <w:r>
        <w:t xml:space="preserve">weighted Kaplan-Meier curve carries more pre-300-day censoring than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’s bundled</w:t>
      </w:r>
      <w:r>
        <w:t xml:space="preserve"> </w:t>
      </w:r>
      <w:r>
        <w:rPr>
          <w:rStyle w:val="VerbatimChar"/>
        </w:rPr>
        <w:t xml:space="preserve">actg</w:t>
      </w:r>
      <w:r>
        <w:t xml:space="preserve">, which uses a separate drop-out variable.</w:t>
      </w:r>
      <w:r>
        <w:t xml:space="preserve"> </w:t>
      </w:r>
      <w:r>
        <w:t xml:space="preserve">The AIPW estimator, which leans on the outcome regression, is insensitive</w:t>
      </w:r>
      <w:r>
        <w:t xml:space="preserve"> </w:t>
      </w:r>
      <w:r>
        <w:t xml:space="preserve">to this and lands on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’s numbers; the risk-difference scale,</w:t>
      </w:r>
      <w:r>
        <w:t xml:space="preserve"> </w:t>
      </w:r>
      <w:r>
        <w:t xml:space="preserve">which differences the two arms, is affected only slightly.</w:t>
      </w:r>
    </w:p>
    <w:p>
      <w:pPr>
        <w:pStyle w:val="BodyText"/>
      </w:pPr>
      <w:r>
        <w:t xml:space="preserve">The exercise confirms two things. First,</w:t>
      </w:r>
      <w:r>
        <w:t xml:space="preserve"> </w:t>
      </w:r>
      <w:r>
        <w:rPr>
          <w:rStyle w:val="VerbatimChar"/>
        </w:rPr>
        <w:t xml:space="preserve">cleanTMLE</w:t>
      </w:r>
      <w:r>
        <w:t xml:space="preserve">’s cumulative-risk</w:t>
      </w:r>
      <w:r>
        <w:t xml:space="preserve"> </w:t>
      </w:r>
      <w:r>
        <w:t xml:space="preserve">estimators are correctly implemented: on a shared estimand they match an</w:t>
      </w:r>
      <w:r>
        <w:t xml:space="preserve"> </w:t>
      </w:r>
      <w:r>
        <w:t xml:space="preserve">independent, published implementation. Second, the two packages are</w:t>
      </w:r>
      <w:r>
        <w:t xml:space="preserve"> </w:t>
      </w:r>
      <w:r>
        <w:t xml:space="preserve">complementary.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is the mature tool for full</w:t>
      </w:r>
      <w:r>
        <w:t xml:space="preserve"> </w:t>
      </w:r>
      <w:r>
        <w:t xml:space="preserve">cumulative-incidence curves over time, competing risks, and longitudinal</w:t>
      </w:r>
      <w:r>
        <w:t xml:space="preserve"> </w:t>
      </w:r>
      <w:r>
        <w:t xml:space="preserve">censoring;</w:t>
      </w:r>
      <w:r>
        <w:t xml:space="preserve"> </w:t>
      </w:r>
      <w:r>
        <w:rPr>
          <w:rStyle w:val="VerbatimChar"/>
        </w:rPr>
        <w:t xml:space="preserve">cleanTMLE</w:t>
      </w:r>
      <w:r>
        <w:t xml:space="preserve"> </w:t>
      </w:r>
      <w:r>
        <w:t xml:space="preserve">adds doubly robust TMLE, the outcome-blind plasmode</w:t>
      </w:r>
      <w:r>
        <w:t xml:space="preserve"> </w:t>
      </w:r>
      <w:r>
        <w:t xml:space="preserve">estimator selection and data-quality stress test, and the staged-analysis</w:t>
      </w:r>
      <w:r>
        <w:t xml:space="preserve"> </w:t>
      </w:r>
      <w:r>
        <w:t xml:space="preserve">audit trail and pre-outcome gate, while matching</w:t>
      </w:r>
      <w:r>
        <w:t xml:space="preserve"> </w:t>
      </w:r>
      <w:r>
        <w:rPr>
          <w:rStyle w:val="VerbatimChar"/>
        </w:rPr>
        <w:t xml:space="preserve">causalRisk</w:t>
      </w:r>
      <w:r>
        <w:t xml:space="preserve"> </w:t>
      </w:r>
      <w:r>
        <w:t xml:space="preserve">on the</w:t>
      </w:r>
      <w:r>
        <w:t xml:space="preserve"> </w:t>
      </w:r>
      <w:r>
        <w:t xml:space="preserve">cumulative-risk reporting they share.</w:t>
      </w:r>
    </w:p>
    <w:bookmarkEnd w:id="30"/>
    <w:bookmarkStart w:id="31" w:name="reproducibility"/>
    <w:p>
      <w:pPr>
        <w:pStyle w:val="Heading1"/>
      </w:pPr>
      <w:r>
        <w:t xml:space="preserve">7. Reproducibility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cleanTMLE</w:t>
      </w:r>
      <w:r>
        <w:t xml:space="preserve"> </w:t>
      </w:r>
      <w:r>
        <w:t xml:space="preserve">results above are computed at render time from</w:t>
      </w:r>
      <w:r>
        <w:t xml:space="preserve"> </w:t>
      </w:r>
      <w:r>
        <w:rPr>
          <w:rStyle w:val="VerbatimChar"/>
        </w:rPr>
        <w:t xml:space="preserve">mlr3proba::actg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cleanTMLE</w:t>
      </w:r>
      <w:r>
        <w:t xml:space="preserve"> </w:t>
      </w:r>
      <w:r>
        <w:t xml:space="preserve">0.1 with 200 bootstrap replicates</w:t>
      </w:r>
      <w:r>
        <w:t xml:space="preserve"> </w:t>
      </w:r>
      <w:r>
        <w:t xml:space="preserve">(each estimator seeds its own bootstrap at 42, so the figures are</w:t>
      </w:r>
      <w:r>
        <w:t xml:space="preserve"> </w:t>
      </w:r>
      <w:r>
        <w:t xml:space="preserve">reproducible). Rendering requires the</w:t>
      </w:r>
      <w:r>
        <w:t xml:space="preserve"> </w:t>
      </w:r>
      <w:r>
        <w:rPr>
          <w:rStyle w:val="VerbatimChar"/>
        </w:rPr>
        <w:t xml:space="preserve">mlr3proba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cleanTMLE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packages.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R version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.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2024-10-31</w:t>
      </w:r>
      <w:r>
        <w:rPr>
          <w:rStyle w:val="NormalTok"/>
        </w:rPr>
        <w:t xml:space="preserve"> ucrt)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Platform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x86_64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w64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mingw32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x64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Running under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Windows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x64</w:t>
      </w:r>
      <w:r>
        <w:rPr>
          <w:rStyle w:val="NormalTok"/>
        </w:rPr>
        <w:t xml:space="preserve"> (build </w:t>
      </w:r>
      <w:r>
        <w:rPr>
          <w:rStyle w:val="DecValTok"/>
        </w:rPr>
        <w:t xml:space="preserve">26200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Matrix products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default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locale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LC_COLLATE</w:t>
      </w:r>
      <w:r>
        <w:rPr>
          <w:rStyle w:val="OtherTok"/>
        </w:rPr>
        <w:t xml:space="preserve">=</w:t>
      </w:r>
      <w:r>
        <w:rPr>
          <w:rStyle w:val="NormalTok"/>
        </w:rPr>
        <w:t xml:space="preserve">English_United States.utf8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LC_CTYPE</w:t>
      </w:r>
      <w:r>
        <w:rPr>
          <w:rStyle w:val="OtherTok"/>
        </w:rPr>
        <w:t xml:space="preserve">=</w:t>
      </w:r>
      <w:r>
        <w:rPr>
          <w:rStyle w:val="NormalTok"/>
        </w:rPr>
        <w:t xml:space="preserve">English_United States.utf8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LC_MONETARY</w:t>
      </w:r>
      <w:r>
        <w:rPr>
          <w:rStyle w:val="OtherTok"/>
        </w:rPr>
        <w:t xml:space="preserve">=</w:t>
      </w:r>
      <w:r>
        <w:rPr>
          <w:rStyle w:val="NormalTok"/>
        </w:rPr>
        <w:t xml:space="preserve">English_United States.utf8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LC_NUMERIC</w:t>
      </w:r>
      <w:r>
        <w:rPr>
          <w:rStyle w:val="OtherTok"/>
        </w:rPr>
        <w:t xml:space="preserve">=</w:t>
      </w:r>
      <w:r>
        <w:rPr>
          <w:rStyle w:val="NormalTok"/>
        </w:rPr>
        <w:t xml:space="preserve">C                       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LC_TIME</w:t>
      </w:r>
      <w:r>
        <w:rPr>
          <w:rStyle w:val="OtherTok"/>
        </w:rPr>
        <w:t xml:space="preserve">=</w:t>
      </w:r>
      <w:r>
        <w:rPr>
          <w:rStyle w:val="NormalTok"/>
        </w:rPr>
        <w:t xml:space="preserve">English_United States.utf8 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time zone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America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Los_Angeles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tzcode source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internal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attached base packages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stats     graphics  grDevices utils     datasets  methods   base  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other attached packages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cleanTMLE_0.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 ggplot2_4.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loaded via a </w:t>
      </w:r>
      <w:r>
        <w:rPr>
          <w:rStyle w:val="FunctionTok"/>
        </w:rPr>
        <w:t xml:space="preserve">namespace</w:t>
      </w:r>
      <w:r>
        <w:rPr>
          <w:rStyle w:val="NormalTok"/>
        </w:rPr>
        <w:t xml:space="preserve"> (and not attached)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Matrix_1</w:t>
      </w:r>
      <w:r>
        <w:rPr>
          <w:rStyle w:val="FloatTok"/>
        </w:rPr>
        <w:t xml:space="preserve">.7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       gtable_0.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       jsonlite_2.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dplyr_1.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compiler_4.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     tidyselect_1.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splines_4.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      scales_1.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yaml_2.</w:t>
      </w:r>
      <w:r>
        <w:rPr>
          <w:rStyle w:val="FloatTok"/>
        </w:rPr>
        <w:t xml:space="preserve">3.10</w:t>
      </w:r>
      <w:r>
        <w:rPr>
          <w:rStyle w:val="NormalTok"/>
        </w:rPr>
        <w:t xml:space="preserve">        fastmap_1.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   lattice_0</w:t>
      </w:r>
      <w:r>
        <w:rPr>
          <w:rStyle w:val="FloatTok"/>
        </w:rPr>
        <w:t xml:space="preserve">.22</w:t>
      </w:r>
      <w:r>
        <w:rPr>
          <w:rStyle w:val="DecValTok"/>
        </w:rPr>
        <w:t xml:space="preserve">-6</w:t>
      </w:r>
      <w:r>
        <w:rPr>
          <w:rStyle w:val="NormalTok"/>
        </w:rPr>
        <w:t xml:space="preserve">     R6_2.</w:t>
      </w:r>
      <w:r>
        <w:rPr>
          <w:rStyle w:val="FloatTok"/>
        </w:rPr>
        <w:t xml:space="preserve">6.1</w:t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 labeling_0.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     generics_0.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     knitr_1</w:t>
      </w:r>
      <w:r>
        <w:rPr>
          <w:rStyle w:val="FloatTok"/>
        </w:rPr>
        <w:t xml:space="preserve">.49</w:t>
      </w:r>
      <w:r>
        <w:rPr>
          <w:rStyle w:val="NormalTok"/>
        </w:rPr>
        <w:t xml:space="preserve">         tibble_3.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 pillar_1.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      RColorBrewer_1</w:t>
      </w:r>
      <w:r>
        <w:rPr>
          <w:rStyle w:val="FloatTok"/>
        </w:rPr>
        <w:t xml:space="preserve">.1</w:t>
      </w:r>
      <w:r>
        <w:rPr>
          <w:rStyle w:val="DecValTok"/>
        </w:rPr>
        <w:t xml:space="preserve">-3</w:t>
      </w:r>
      <w:r>
        <w:rPr>
          <w:rStyle w:val="NormalTok"/>
        </w:rPr>
        <w:t xml:space="preserve"> rlang_1.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        utf8_1.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 xfun_0</w:t>
      </w:r>
      <w:r>
        <w:rPr>
          <w:rStyle w:val="FloatTok"/>
        </w:rPr>
        <w:t xml:space="preserve">.49</w:t>
      </w:r>
      <w:r>
        <w:rPr>
          <w:rStyle w:val="NormalTok"/>
        </w:rPr>
        <w:t xml:space="preserve">          S7_0.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           cli_3.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          withr_3.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magrittr_2.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 digest_0.</w:t>
      </w:r>
      <w:r>
        <w:rPr>
          <w:rStyle w:val="FloatTok"/>
        </w:rPr>
        <w:t xml:space="preserve">6.37</w:t>
      </w:r>
      <w:r>
        <w:rPr>
          <w:rStyle w:val="NormalTok"/>
        </w:rPr>
        <w:t xml:space="preserve">      grid_4.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         sandwich_3</w:t>
      </w:r>
      <w:r>
        <w:rPr>
          <w:rStyle w:val="FloatTok"/>
        </w:rPr>
        <w:t xml:space="preserve">.1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] lifecycle_1.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vctrs_0.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        evaluate_1.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glue_1.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] farver_2.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      zoo_1</w:t>
      </w:r>
      <w:r>
        <w:rPr>
          <w:rStyle w:val="FloatTok"/>
        </w:rPr>
        <w:t xml:space="preserve">.8</w:t>
      </w:r>
      <w:r>
        <w:rPr>
          <w:rStyle w:val="DecValTok"/>
        </w:rPr>
        <w:t xml:space="preserve">-15</w:t>
      </w:r>
      <w:r>
        <w:rPr>
          <w:rStyle w:val="NormalTok"/>
        </w:rPr>
        <w:t xml:space="preserve">         survival_3</w:t>
      </w:r>
      <w:r>
        <w:rPr>
          <w:rStyle w:val="FloatTok"/>
        </w:rPr>
        <w:t xml:space="preserve">.7</w:t>
      </w:r>
      <w:r>
        <w:rPr>
          <w:rStyle w:val="DecValTok"/>
        </w:rPr>
        <w:t xml:space="preserve">-0</w:t>
      </w:r>
      <w:r>
        <w:rPr>
          <w:rStyle w:val="NormalTok"/>
        </w:rPr>
        <w:t xml:space="preserve">     fansi_1.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[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] rmarkdown_2</w:t>
      </w:r>
      <w:r>
        <w:rPr>
          <w:rStyle w:val="FloatTok"/>
        </w:rPr>
        <w:t xml:space="preserve">.29</w:t>
      </w:r>
      <w:r>
        <w:rPr>
          <w:rStyle w:val="NormalTok"/>
        </w:rPr>
        <w:t xml:space="preserve">     tools_4.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        pkgconfig_2.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htmltools_0.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.</w:t>
      </w:r>
      <w:r>
        <w:rPr>
          <w:rStyle w:val="FloatTok"/>
        </w:rPr>
        <w:t xml:space="preserve">8.1</w:t>
      </w:r>
    </w:p>
    <w:bookmarkEnd w:id="31"/>
    <w:bookmarkStart w:id="38" w:name="references"/>
    <w:p>
      <w:pPr>
        <w:pStyle w:val="Heading1"/>
      </w:pPr>
      <w:r>
        <w:t xml:space="preserve">References</w:t>
      </w:r>
    </w:p>
    <w:bookmarkStart w:id="37" w:name="refs"/>
    <w:bookmarkStart w:id="32" w:name="ref-brookhart2024causalrisk"/>
    <w:p>
      <w:pPr>
        <w:pStyle w:val="Bibliography"/>
      </w:pPr>
      <w:r>
        <w:t xml:space="preserve">Brookhart, M. Alan, Alexander Breskin, and Bassim Eledath. 2024.</w:t>
      </w:r>
      <w:r>
        <w:t xml:space="preserve"> </w:t>
      </w:r>
      <w:r>
        <w:t xml:space="preserve">“</w:t>
      </w:r>
      <w:r>
        <w:t xml:space="preserve">causalRisk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 Estimating Cumulative Risks Under Counterfactual Treatment Strategies.”</w:t>
      </w:r>
    </w:p>
    <w:bookmarkEnd w:id="32"/>
    <w:bookmarkStart w:id="34" w:name="ref-hammer1997actg320"/>
    <w:p>
      <w:pPr>
        <w:pStyle w:val="Bibliography"/>
      </w:pPr>
      <w:r>
        <w:t xml:space="preserve">Hammer, Scott M., Kathleen E. Squires, Michael D. Hughes, Janet M. Grimes, Lisa M. Demeter, Judith S. Currier, Joseph J. Eron, et al. 1997.</w:t>
      </w:r>
      <w:r>
        <w:t xml:space="preserve"> </w:t>
      </w:r>
      <w:r>
        <w:t xml:space="preserve">“A Controlled Trial of Two Nucleoside Analogues Plus Indinavir in Persons with Human Immunodeficiency Virus Infection and</w:t>
      </w:r>
      <w:r>
        <w:t xml:space="preserve"> </w:t>
      </w:r>
      <w:r>
        <w:t xml:space="preserve">CD4</w:t>
      </w:r>
      <w:r>
        <w:t xml:space="preserve"> </w:t>
      </w:r>
      <w:r>
        <w:t xml:space="preserve">Cell Counts of 200 Per Cubic Millimeter or Less.”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337 (11): 725–33.</w:t>
      </w:r>
      <w:r>
        <w:t xml:space="preserve"> </w:t>
      </w:r>
      <w:hyperlink r:id="rId33">
        <w:r>
          <w:rPr>
            <w:rStyle w:val="Hyperlink"/>
          </w:rPr>
          <w:t xml:space="preserve">https://doi.org/10.1056/NEJM199709113371101</w:t>
        </w:r>
      </w:hyperlink>
      <w:r>
        <w:t xml:space="preserve">.</w:t>
      </w:r>
    </w:p>
    <w:bookmarkEnd w:id="34"/>
    <w:bookmarkStart w:id="36" w:name="ref-mlr3proba2021"/>
    <w:p>
      <w:pPr>
        <w:pStyle w:val="Bibliography"/>
      </w:pPr>
      <w:r>
        <w:t xml:space="preserve">Sonabend, Raphael, Franz J. Király, Andreas Bender, Bernd Bischl, and Michel Lang. 2021.</w:t>
      </w:r>
      <w:r>
        <w:t xml:space="preserve"> </w:t>
      </w:r>
      <w:r>
        <w:t xml:space="preserve">“</w:t>
      </w:r>
      <w:r>
        <w:t xml:space="preserve">mlr3proba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 Machine Learning in Survival Analysis.”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https://doi.org/10.1093/bioinformatics/btab039</w:t>
        </w:r>
      </w:hyperlink>
      <w:r>
        <w:t xml:space="preserve">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hyperlink" Id="rId33" Target="https://doi.org/10.1056/NEJM199709113371101" TargetMode="External" /><Relationship Type="http://schemas.openxmlformats.org/officeDocument/2006/relationships/hyperlink" Id="rId35" Target="https://doi.org/10.1093/bioinformatics/btab03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i.org/10.1056/NEJM199709113371101" TargetMode="External" /><Relationship Type="http://schemas.openxmlformats.org/officeDocument/2006/relationships/hyperlink" Id="rId35" Target="https://doi.org/10.1093/bioinformatics/btab03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cleanTMLE reproduces causalRisk on the ACTG 320 trial</dc:title>
  <dc:creator>Andrew Mertens</dc:creator>
  <cp:keywords/>
  <dcterms:created xsi:type="dcterms:W3CDTF">2026-05-26T14:47:36Z</dcterms:created>
  <dcterms:modified xsi:type="dcterms:W3CDTF">2026-05-26T14:47:36Z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2026-05-26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nk-citations">
    <vt:lpwstr>True</vt:lpwstr>
  </property>
  <property fmtid="{D5CDD505-2E9C-101B-9397-08002B2CF9AE}" pid="13" name="subtitle">
    <vt:lpwstr>A side-by-side replication of the causalRisk cumulative-risk vignette on public data</vt:lpwstr>
  </property>
  <property fmtid="{D5CDD505-2E9C-101B-9397-08002B2CF9AE}" pid="14" name="toc-title">
    <vt:lpwstr>Table of contents</vt:lpwstr>
  </property>
</Properties>
</file>