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25.png" ContentType="image/png"/>
  <Override PartName="/word/media/rId109.png" ContentType="image/png"/>
  <Override PartName="/word/media/rId170.png" ContentType="image/png"/>
  <Override PartName="/word/media/rId166.png" ContentType="image/png"/>
  <Override PartName="/word/media/rId82.png" ContentType="image/png"/>
  <Override PartName="/word/media/rId102.png" ContentType="image/png"/>
  <Override PartName="/word/media/rId78.png" ContentType="image/png"/>
  <Override PartName="/word/media/rId90.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cleanTMLE: An R Package for Staged, Outcome-Blind Targeted Learning with Plasmode Data-Quality Stress Testing</w:t>
      </w:r>
    </w:p>
    <w:p>
      <w:pPr>
        <w:pStyle w:val="Author"/>
      </w:pPr>
      <w:r>
        <w:t xml:space="preserve">Andrew Mertens</w:t>
      </w:r>
    </w:p>
    <w:p>
      <w:pPr>
        <w:pStyle w:val="Date"/>
      </w:pPr>
      <w:r>
        <w:t xml:space="preserve">2026-09-14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Two failures poison comparative analyses of real-world data. The first is</w:t>
      </w:r>
      <w:r>
        <w:t xml:space="preserve"> </w:t>
      </w:r>
      <w:r>
        <w:t xml:space="preserve">analyst degrees of freedom: when the person choosing the model can see how</w:t>
      </w:r>
      <w:r>
        <w:t xml:space="preserve"> </w:t>
      </w:r>
      <w:r>
        <w:t xml:space="preserve">each choice moves the answer, the final estimate carries those peeks,</w:t>
      </w:r>
      <w:r>
        <w:t xml:space="preserve"> </w:t>
      </w:r>
      <w:r>
        <w:t xml:space="preserve">however honest the person. The second is quieter and worse. Some</w:t>
      </w:r>
      <w:r>
        <w:t xml:space="preserve"> </w:t>
      </w:r>
      <w:r>
        <w:t xml:space="preserve">comparisons are not estimable at all, and the estimator does not say so. An</w:t>
      </w:r>
      <w:r>
        <w:t xml:space="preserve"> </w:t>
      </w:r>
      <w:r>
        <w:t xml:space="preserve">average treatment effect requires every kind of patient to have had a real</w:t>
      </w:r>
      <w:r>
        <w:t xml:space="preserve"> </w:t>
      </w:r>
      <w:r>
        <w:t xml:space="preserve">chance of receiving either treatment; when a whole stratum essentially</w:t>
      </w:r>
      <w:r>
        <w:t xml:space="preserve"> </w:t>
      </w:r>
      <w:r>
        <w:t xml:space="preserve">never receives one of them, the estimator extrapolates rather than</w:t>
      </w:r>
      <w:r>
        <w:t xml:space="preserve"> </w:t>
      </w:r>
      <w:r>
        <w:t xml:space="preserve">refusing, and truncation limits its variance without touching the</w:t>
      </w:r>
      <w:r>
        <w:t xml:space="preserve"> </w:t>
      </w:r>
      <w:r>
        <w:t xml:space="preserve">extrapolation. The result can be an estimate that is wrong by an order of</w:t>
      </w:r>
      <w:r>
        <w:t xml:space="preserve"> </w:t>
      </w:r>
      <w:r>
        <w:t xml:space="preserve">magnitude inside a narrow confidence interval. A clean-room design</w:t>
      </w:r>
      <w:r>
        <w:t xml:space="preserve"> </w:t>
      </w:r>
      <w:r>
        <w:t xml:space="preserve">(Muntner et al. 2024)</w:t>
      </w:r>
      <w:r>
        <w:t xml:space="preserve"> </w:t>
      </w:r>
      <w:r>
        <w:t xml:space="preserve">addresses the first failure by fixing the design</w:t>
      </w:r>
      <w:r>
        <w:t xml:space="preserve"> </w:t>
      </w:r>
      <w:r>
        <w:t xml:space="preserve">before anyone sees the treatment-outcome association. It does nothing</w:t>
      </w:r>
      <w:r>
        <w:t xml:space="preserve"> </w:t>
      </w:r>
      <w:r>
        <w:t xml:space="preserve">about the second: a perfectly blinded team can still promise an estimand</w:t>
      </w:r>
      <w:r>
        <w:t xml:space="preserve"> </w:t>
      </w:r>
      <w:r>
        <w:t xml:space="preserve">the data cannot deliver.</w:t>
      </w:r>
    </w:p>
    <w:p>
      <w:pPr>
        <w:pStyle w:val="BodyText"/>
      </w:pPr>
      <w:r>
        <w:t xml:space="preserve">cleanTMLE is an R package that answers the estimability question during</w:t>
      </w:r>
      <w:r>
        <w:t xml:space="preserve"> </w:t>
      </w:r>
      <w:r>
        <w:t xml:space="preserve">the blind phase of a staged analysis of a binary point-treatment study,</w:t>
      </w:r>
      <w:r>
        <w:t xml:space="preserve"> </w:t>
      </w:r>
      <w:r>
        <w:t xml:space="preserve">and then estimates with targeted maximum likelihood. The design stage</w:t>
      </w:r>
      <w:r>
        <w:t xml:space="preserve"> </w:t>
      </w:r>
      <w:r>
        <w:t xml:space="preserve">grades the overlap on the fitted propensity score, reads the same fit per</w:t>
      </w:r>
      <w:r>
        <w:t xml:space="preserve"> </w:t>
      </w:r>
      <w:r>
        <w:t xml:space="preserve">estimand (the effect among the treated and the overlap-weighted effect</w:t>
      </w:r>
      <w:r>
        <w:t xml:space="preserve"> </w:t>
      </w:r>
      <w:r>
        <w:t xml:space="preserve">can remain estimable where the average treatment effect is not), profiles</w:t>
      </w:r>
      <w:r>
        <w:t xml:space="preserve"> </w:t>
      </w:r>
      <w:r>
        <w:t xml:space="preserve">the patients a trimmed analysis would no longer be about, and maps, with</w:t>
      </w:r>
      <w:r>
        <w:t xml:space="preserve"> </w:t>
      </w:r>
      <w:r>
        <w:t xml:space="preserve">an outcome-blind plasmode simulation over a prespecified family of</w:t>
      </w:r>
      <w:r>
        <w:t xml:space="preserve"> </w:t>
      </w:r>
      <w:r>
        <w:t xml:space="preserve">outcome surfaces, where each estimand’s estimator stays within a bias</w:t>
      </w:r>
      <w:r>
        <w:t xml:space="preserve"> </w:t>
      </w:r>
      <w:r>
        <w:t xml:space="preserve">tolerance at near-nominal coverage. A pre-registered estimand ladder then</w:t>
      </w:r>
      <w:r>
        <w:t xml:space="preserve"> </w:t>
      </w:r>
      <w:r>
        <w:t xml:space="preserve">makes switching to a feasible fallback a logged design decision rather</w:t>
      </w:r>
      <w:r>
        <w:t xml:space="preserve"> </w:t>
      </w:r>
      <w:r>
        <w:t xml:space="preserve">than a silent substitution. The simulation uses the generate-treatment</w:t>
      </w:r>
      <w:r>
        <w:t xml:space="preserve"> </w:t>
      </w:r>
      <w:r>
        <w:t xml:space="preserve">plasmode design throughout; keeping each subject’s observed treatment,</w:t>
      </w:r>
      <w:r>
        <w:t xml:space="preserve"> </w:t>
      </w:r>
      <w:r>
        <w:t xml:space="preserve">the common alternative, induces a positivity violation by construction</w:t>
      </w:r>
      <w:r>
        <w:t xml:space="preserve"> </w:t>
      </w:r>
      <w:r>
        <w:t xml:space="preserve">(Shaw et al. 2025)</w:t>
      </w:r>
      <w:r>
        <w:t xml:space="preserve">. The package extends the same loop with a plasmode</w:t>
      </w:r>
      <w:r>
        <w:t xml:space="preserve"> </w:t>
      </w:r>
      <w:r>
        <w:t xml:space="preserve">data-quality stress test that evaluates each candidate estimator under</w:t>
      </w:r>
      <w:r>
        <w:t xml:space="preserve"> </w:t>
      </w:r>
      <w:r>
        <w:t xml:space="preserve">five prespecified threat families: covariate missingness, exposure</w:t>
      </w:r>
      <w:r>
        <w:t xml:space="preserve"> </w:t>
      </w:r>
      <w:r>
        <w:t xml:space="preserve">misclassification, outcome misclassification, near-positivity, and</w:t>
      </w:r>
      <w:r>
        <w:t xml:space="preserve"> </w:t>
      </w:r>
      <w:r>
        <w:t xml:space="preserve">unmeasured confounding.</w:t>
      </w:r>
    </w:p>
    <w:p>
      <w:pPr>
        <w:pStyle w:val="BodyText"/>
      </w:pPr>
      <w:r>
        <w:t xml:space="preserve">In Monte Carlo experiments, adjusted estimators recovered the true</w:t>
      </w:r>
      <w:r>
        <w:t xml:space="preserve"> </w:t>
      </w:r>
      <w:r>
        <w:t xml:space="preserve">risk difference under good overlap, and TMLE and cross-validated</w:t>
      </w:r>
      <w:r>
        <w:t xml:space="preserve"> </w:t>
      </w:r>
      <w:r>
        <w:t xml:space="preserve">TMLE held bias small relative to the empirical standard deviation</w:t>
      </w:r>
      <w:r>
        <w:t xml:space="preserve"> </w:t>
      </w:r>
      <w:r>
        <w:t xml:space="preserve">under marginal overlap. Under a deliberately misspecified outcome</w:t>
      </w:r>
      <w:r>
        <w:t xml:space="preserve"> </w:t>
      </w:r>
      <w:r>
        <w:t xml:space="preserve">surface, cross-validated TMLE with a flexible library recovered the</w:t>
      </w:r>
      <w:r>
        <w:t xml:space="preserve"> </w:t>
      </w:r>
      <w:r>
        <w:t xml:space="preserve">true risk difference, while the unadjusted crude estimator carried the</w:t>
      </w:r>
      <w:r>
        <w:t xml:space="preserve"> </w:t>
      </w:r>
      <w:r>
        <w:t xml:space="preserve">wrong sign and the GLM-based adjusted estimators, though correctly</w:t>
      </w:r>
      <w:r>
        <w:t xml:space="preserve"> </w:t>
      </w:r>
      <w:r>
        <w:t xml:space="preserve">signed, remained substantially biased. A supplementary variance comparison found that the</w:t>
      </w:r>
      <w:r>
        <w:t xml:space="preserve"> </w:t>
      </w:r>
      <w:r>
        <w:t xml:space="preserve">matched-cohort TMLE paired-difference SE is anti-conservative under</w:t>
      </w:r>
      <w:r>
        <w:t xml:space="preserve"> </w:t>
      </w:r>
      <w:r>
        <w:t xml:space="preserve">good overlap (95% CI coverage 0.89, Monte Carlo SE</w:t>
      </w:r>
      <w:r>
        <w:t xml:space="preserve"> </w:t>
      </w:r>
      <w:r>
        <w:t xml:space="preserve">0.03) because it ignores matching-draw variance,</w:t>
      </w:r>
      <w:r>
        <w:t xml:space="preserve"> </w:t>
      </w:r>
      <w:r>
        <w:t xml:space="preserve">and a full-pipeline bootstrap that re-runs matching on each resample</w:t>
      </w:r>
      <w:r>
        <w:t xml:space="preserve"> </w:t>
      </w:r>
      <w:r>
        <w:t xml:space="preserve">raised coverage to 0.95</w:t>
      </w:r>
      <w:r>
        <w:t xml:space="preserve"> </w:t>
      </w:r>
      <w:r>
        <w:t xml:space="preserve">(Abadie and Imbens 2008)</w:t>
      </w:r>
      <w:r>
        <w:t xml:space="preserve">.</w:t>
      </w:r>
      <w:r>
        <w:t xml:space="preserve"> </w:t>
      </w:r>
      <w:r>
        <w:rPr>
          <w:rStyle w:val="VerbatimChar"/>
        </w:rPr>
        <w:t xml:space="preserve">select_variance_method()</w:t>
      </w:r>
      <w:r>
        <w:t xml:space="preserve"> </w:t>
      </w:r>
      <w:r>
        <w:t xml:space="preserve">uses oracle coverage on plasmode-generated</w:t>
      </w:r>
      <w:r>
        <w:t xml:space="preserve"> </w:t>
      </w:r>
      <w:r>
        <w:t xml:space="preserve">synthetic data to identify, for each estimator-scenario combination,</w:t>
      </w:r>
      <w:r>
        <w:t xml:space="preserve"> </w:t>
      </w:r>
      <w:r>
        <w:t xml:space="preserve">which variance method achieves nominal coverage. When</w:t>
      </w:r>
      <w:r>
        <w:t xml:space="preserve"> </w:t>
      </w:r>
      <w:r>
        <w:t xml:space="preserve">unmeasured confounding was introduced, all estimators were biased</w:t>
      </w:r>
      <w:r>
        <w:t xml:space="preserve"> </w:t>
      </w:r>
      <w:r>
        <w:t xml:space="preserve">in the same direction, and the prespecified pre-outcome decision</w:t>
      </w:r>
      <w:r>
        <w:t xml:space="preserve"> </w:t>
      </w:r>
      <w:r>
        <w:t xml:space="preserve">correctly returned STOP: the workflow flags a prespecified</w:t>
      </w:r>
      <w:r>
        <w:t xml:space="preserve"> </w:t>
      </w:r>
      <w:r>
        <w:t xml:space="preserve">unmeasured-confounding scenario under which the planned analysis</w:t>
      </w:r>
      <w:r>
        <w:t xml:space="preserve"> </w:t>
      </w:r>
      <w:r>
        <w:t xml:space="preserve">would no longer meet the locked operating-characteristic</w:t>
      </w:r>
      <w:r>
        <w:t xml:space="preserve"> </w:t>
      </w:r>
      <w:r>
        <w:t xml:space="preserve">thresholds. The data-quality stress test further showed that</w:t>
      </w:r>
      <w:r>
        <w:t xml:space="preserve"> </w:t>
      </w:r>
      <w:r>
        <w:t xml:space="preserve">outcome misclassification and unmeasured confounding produced the</w:t>
      </w:r>
      <w:r>
        <w:t xml:space="preserve"> </w:t>
      </w:r>
      <w:r>
        <w:t xml:space="preserve">largest degradation in estimator performance. The package also ships a worst-case selection rule (</w:t>
      </w:r>
      <w:r>
        <w:rPr>
          <w:rStyle w:val="VerbatimChar"/>
        </w:rPr>
        <w:t xml:space="preserve">min_max_rmse</w:t>
      </w:r>
      <w:r>
        <w:t xml:space="preserve">) that</w:t>
      </w:r>
      <w:r>
        <w:t xml:space="preserve"> </w:t>
      </w:r>
      <w:r>
        <w:t xml:space="preserve">ranks candidates by their maximum RMSE across all declared threats;</w:t>
      </w:r>
      <w:r>
        <w:t xml:space="preserve"> </w:t>
      </w:r>
      <w:r>
        <w:t xml:space="preserve">a companion vignette illustrates a setting where this rule locks a</w:t>
      </w:r>
      <w:r>
        <w:t xml:space="preserve"> </w:t>
      </w:r>
      <w:r>
        <w:t xml:space="preserve">different candidate from the baseline</w:t>
      </w:r>
      <w:r>
        <w:t xml:space="preserve"> </w:t>
      </w:r>
      <w:r>
        <w:rPr>
          <w:rStyle w:val="VerbatimChar"/>
        </w:rPr>
        <w:t xml:space="preserve">min_rmse</w:t>
      </w:r>
      <w:r>
        <w:t xml:space="preserve"> </w:t>
      </w:r>
      <w:r>
        <w:t xml:space="preserve">rule.</w:t>
      </w:r>
    </w:p>
    <w:p>
      <w:pPr>
        <w:pStyle w:val="BodyText"/>
      </w:pPr>
      <w:r>
        <w:t xml:space="preserve">We illustrate the workflow on the Rescue.Co Kenya Trauma Registry, five</w:t>
      </w:r>
      <w:r>
        <w:t xml:space="preserve"> </w:t>
      </w:r>
      <w:r>
        <w:t xml:space="preserve">transport contrasts on 8,323 patients with known transport mode. The</w:t>
      </w:r>
      <w:r>
        <w:t xml:space="preserve"> </w:t>
      </w:r>
      <w:r>
        <w:t xml:space="preserve">protocol’s primary comparison, Rescue.Co against all other transport,</w:t>
      </w:r>
      <w:r>
        <w:t xml:space="preserve"> </w:t>
      </w:r>
      <w:r>
        <w:t xml:space="preserve">placed 41 percent of the sample outside the propensity band [0.05, 0.95]</w:t>
      </w:r>
      <w:r>
        <w:t xml:space="preserve"> </w:t>
      </w:r>
      <w:r>
        <w:t xml:space="preserve">with a maximum inverse-probability weight above 250; the design stage</w:t>
      </w:r>
      <w:r>
        <w:t xml:space="preserve"> </w:t>
      </w:r>
      <w:r>
        <w:t xml:space="preserve">graded it severe, refused the average treatment effect, and moved the</w:t>
      </w:r>
      <w:r>
        <w:t xml:space="preserve"> </w:t>
      </w:r>
      <w:r>
        <w:t xml:space="preserve">analysis down the declared ladder to the trimmed, treated-population and</w:t>
      </w:r>
      <w:r>
        <w:t xml:space="preserve"> </w:t>
      </w:r>
      <w:r>
        <w:t xml:space="preserve">overlap-weighted estimands, all before any outcome was joined. The two</w:t>
      </w:r>
      <w:r>
        <w:t xml:space="preserve"> </w:t>
      </w:r>
      <w:r>
        <w:t xml:space="preserve">socioeconomic negative controls that fail on the full ambulance cohort</w:t>
      </w:r>
      <w:r>
        <w:t xml:space="preserve"> </w:t>
      </w:r>
      <w:r>
        <w:t xml:space="preserve">turn null after the pre-registered transfer and prior-care exclusions,</w:t>
      </w:r>
      <w:r>
        <w:t xml:space="preserve"> </w:t>
      </w:r>
      <w:r>
        <w:t xml:space="preserve">reproducing the parallel unblinded analysis to four decimals; the</w:t>
      </w:r>
      <w:r>
        <w:t xml:space="preserve"> </w:t>
      </w:r>
      <w:r>
        <w:t xml:space="preserve">exclusions, not adjustment, removed the measurable confounding. cleanTMLE</w:t>
      </w:r>
      <w:r>
        <w:t xml:space="preserve"> </w:t>
      </w:r>
      <w:r>
        <w:t xml:space="preserve">is the software layer of an outcome-blind staged workflow: it does not</w:t>
      </w:r>
      <w:r>
        <w:t xml:space="preserve"> </w:t>
      </w:r>
      <w:r>
        <w:t xml:space="preserve">replace target-trial design, fit-for-purpose data review, validation</w:t>
      </w:r>
      <w:r>
        <w:t xml:space="preserve"> </w:t>
      </w:r>
      <w:r>
        <w:t xml:space="preserve">studies, independent governance, or post-outcome sensitivity analyses.</w:t>
      </w:r>
      <w:r>
        <w:t xml:space="preserve"> </w:t>
      </w:r>
      <w:r>
        <w:t xml:space="preserve">Its contribution is to make</w:t>
      </w:r>
      <w:r>
        <w:t xml:space="preserve"> </w:t>
      </w:r>
      <w:r>
        <w:t xml:space="preserve">“is this comparison estimable, and with which</w:t>
      </w:r>
      <w:r>
        <w:t xml:space="preserve"> </w:t>
      </w:r>
      <w:r>
        <w:t xml:space="preserve">estimand”</w:t>
      </w:r>
      <w:r>
        <w:t xml:space="preserve"> </w:t>
      </w:r>
      <w:r>
        <w:t xml:space="preserve">a question the design team answers, with a reproducible record,</w:t>
      </w:r>
      <w:r>
        <w:t xml:space="preserve"> </w:t>
      </w:r>
      <w:r>
        <w:t xml:space="preserve">before outcomes are unlocked.</w:t>
      </w:r>
    </w:p>
    <w:p>
      <w:pPr>
        <w:pStyle w:val="BodyText"/>
      </w:pPr>
      <w:r>
        <w:rPr>
          <w:b/>
          <w:bCs/>
        </w:rPr>
        <w:t xml:space="preserve">Keywords:</w:t>
      </w:r>
      <w:r>
        <w:t xml:space="preserve"> </w:t>
      </w:r>
      <w:r>
        <w:t xml:space="preserve">targeted maximum likelihood estimation, plasmode</w:t>
      </w:r>
      <w:r>
        <w:t xml:space="preserve"> </w:t>
      </w:r>
      <w:r>
        <w:t xml:space="preserve">simulation, real-world evidence, positivity, estimand, outcome-blind</w:t>
      </w:r>
      <w:r>
        <w:t xml:space="preserve"> </w:t>
      </w:r>
      <w:r>
        <w:t xml:space="preserve">analysis, R, statistical analysis plan, regulatory science.</w:t>
      </w:r>
    </w:p>
    <w:bookmarkEnd w:id="20"/>
    <w:bookmarkStart w:id="27" w:name="introduction"/>
    <w:p>
      <w:pPr>
        <w:pStyle w:val="Heading1"/>
      </w:pPr>
      <w:r>
        <w:t xml:space="preserve">1. Introduction</w:t>
      </w:r>
    </w:p>
    <w:bookmarkStart w:id="21" w:name="two-failure-modes-one-blind-phase"/>
    <w:p>
      <w:pPr>
        <w:pStyle w:val="Heading2"/>
      </w:pPr>
      <w:r>
        <w:t xml:space="preserve">1.1 Two failure modes, one blind phase</w:t>
      </w:r>
    </w:p>
    <w:p>
      <w:pPr>
        <w:pStyle w:val="FirstParagraph"/>
      </w:pPr>
      <w:r>
        <w:t xml:space="preserve">Comparative analyses of real-world data fail in two ways that no amount</w:t>
      </w:r>
      <w:r>
        <w:t xml:space="preserve"> </w:t>
      </w:r>
      <w:r>
        <w:t xml:space="preserve">of estimator sophistication repairs after the fact. The first is analyst</w:t>
      </w:r>
      <w:r>
        <w:t xml:space="preserve"> </w:t>
      </w:r>
      <w:r>
        <w:t xml:space="preserve">degrees of freedom: when the person choosing the model can see how each</w:t>
      </w:r>
      <w:r>
        <w:t xml:space="preserve"> </w:t>
      </w:r>
      <w:r>
        <w:t xml:space="preserve">choice moves the answer, the final estimate carries those peeks, however</w:t>
      </w:r>
      <w:r>
        <w:t xml:space="preserve"> </w:t>
      </w:r>
      <w:r>
        <w:t xml:space="preserve">honest the person</w:t>
      </w:r>
      <w:r>
        <w:t xml:space="preserve"> </w:t>
      </w:r>
      <w:r>
        <w:t xml:space="preserve">(Muntner et al. 2024)</w:t>
      </w:r>
      <w:r>
        <w:t xml:space="preserve">. The second is quieter and</w:t>
      </w:r>
      <w:r>
        <w:t xml:space="preserve"> </w:t>
      </w:r>
      <w:r>
        <w:t xml:space="preserve">worse. Some comparisons are not estimable at all, and the estimator does</w:t>
      </w:r>
      <w:r>
        <w:t xml:space="preserve"> </w:t>
      </w:r>
      <w:r>
        <w:t xml:space="preserve">not say so. The average treatment effect asks what would have happened</w:t>
      </w:r>
      <w:r>
        <w:t xml:space="preserve"> </w:t>
      </w:r>
      <w:r>
        <w:t xml:space="preserve">had everyone received treatment versus no one, and answering it requires</w:t>
      </w:r>
      <w:r>
        <w:t xml:space="preserve"> </w:t>
      </w:r>
      <w:r>
        <w:t xml:space="preserve">that every kind of patient had a real chance of landing in either arm</w:t>
      </w:r>
      <w:r>
        <w:t xml:space="preserve"> </w:t>
      </w:r>
      <w:r>
        <w:t xml:space="preserve">(Petersen et al. 2012)</w:t>
      </w:r>
      <w:r>
        <w:t xml:space="preserve">. When a whole stratum essentially never</w:t>
      </w:r>
      <w:r>
        <w:t xml:space="preserve"> </w:t>
      </w:r>
      <w:r>
        <w:t xml:space="preserve">receives one of the treatments, the estimator does not refuse; it</w:t>
      </w:r>
      <w:r>
        <w:t xml:space="preserve"> </w:t>
      </w:r>
      <w:r>
        <w:t xml:space="preserve">extrapolates. In the trauma registry that motivates our case study</w:t>
      </w:r>
      <w:r>
        <w:t xml:space="preserve"> </w:t>
      </w:r>
      <w:r>
        <w:t xml:space="preserve">(</w:t>
      </w:r>
      <w:hyperlink w:anchor="sec-casestudy">
        <w:r>
          <w:rPr>
            <w:rStyle w:val="Hyperlink"/>
          </w:rPr>
          <w:t xml:space="preserve">Section 12</w:t>
        </w:r>
      </w:hyperlink>
      <w:r>
        <w:t xml:space="preserve">), a time-to-arrival analysis under exactly this</w:t>
      </w:r>
      <w:r>
        <w:t xml:space="preserve"> </w:t>
      </w:r>
      <w:r>
        <w:t xml:space="preserve">condition produced an effect of +14,637 minutes inside a narrow</w:t>
      </w:r>
      <w:r>
        <w:t xml:space="preserve"> </w:t>
      </w:r>
      <w:r>
        <w:t xml:space="preserve">confidence interval, against a crude difference of about seven hours in</w:t>
      </w:r>
      <w:r>
        <w:t xml:space="preserve"> </w:t>
      </w:r>
      <w:r>
        <w:t xml:space="preserve">the opposite direction. Nothing in the estimator’s own output flags the</w:t>
      </w:r>
      <w:r>
        <w:t xml:space="preserve"> </w:t>
      </w:r>
      <w:r>
        <w:t xml:space="preserve">failure. Weight truncation controls the variance without touching the</w:t>
      </w:r>
      <w:r>
        <w:t xml:space="preserve"> </w:t>
      </w:r>
      <w:r>
        <w:t xml:space="preserve">extrapolation, so the interval stays narrow around a meaningless number.</w:t>
      </w:r>
    </w:p>
    <w:p>
      <w:pPr>
        <w:pStyle w:val="BodyText"/>
      </w:pPr>
      <w:r>
        <w:t xml:space="preserve">The staged, outcome-blind (</w:t>
      </w:r>
      <w:r>
        <w:t xml:space="preserve">“clean-room”</w:t>
      </w:r>
      <w:r>
        <w:t xml:space="preserve">) design of</w:t>
      </w:r>
      <w:r>
        <w:t xml:space="preserve"> </w:t>
      </w:r>
      <w:r>
        <w:t xml:space="preserve">Muntner et al. (2024)</w:t>
      </w:r>
      <w:r>
        <w:t xml:space="preserve"> </w:t>
      </w:r>
      <w:r>
        <w:t xml:space="preserve">addresses the first failure: a design team defines the cohort, fits the</w:t>
      </w:r>
      <w:r>
        <w:t xml:space="preserve"> </w:t>
      </w:r>
      <w:r>
        <w:t xml:space="preserve">propensity model, and completes the design diagnostics without seeing</w:t>
      </w:r>
      <w:r>
        <w:t xml:space="preserve"> </w:t>
      </w:r>
      <w:r>
        <w:t xml:space="preserve">the outcome, and only then does an outcome team estimate. It does</w:t>
      </w:r>
      <w:r>
        <w:t xml:space="preserve"> </w:t>
      </w:r>
      <w:r>
        <w:t xml:space="preserve">nothing about the second. A perfectly blinded team can still promise an</w:t>
      </w:r>
      <w:r>
        <w:t xml:space="preserve"> </w:t>
      </w:r>
      <w:r>
        <w:t xml:space="preserve">estimand the data cannot deliver, and blinding, if anything, raises the</w:t>
      </w:r>
      <w:r>
        <w:t xml:space="preserve"> </w:t>
      </w:r>
      <w:r>
        <w:t xml:space="preserve">stakes, because the promise is locked before the data can contradict it.</w:t>
      </w:r>
      <w:r>
        <w:t xml:space="preserve"> </w:t>
      </w:r>
      <w:r>
        <w:t xml:space="preserve">The premise of this paper is that the blind phase is the right place to</w:t>
      </w:r>
      <w:r>
        <w:t xml:space="preserve"> </w:t>
      </w:r>
      <w:r>
        <w:t xml:space="preserve">answer the estimability question: whether the declared comparison is</w:t>
      </w:r>
      <w:r>
        <w:t xml:space="preserve"> </w:t>
      </w:r>
      <w:r>
        <w:t xml:space="preserve">estimable in these data, and if not, which neighbouring estimand is. The</w:t>
      </w:r>
      <w:r>
        <w:t xml:space="preserve"> </w:t>
      </w:r>
      <w:r>
        <w:t xml:space="preserve">effect among the treated and the overlap-weighted effect reweight the</w:t>
      </w:r>
      <w:r>
        <w:t xml:space="preserve"> </w:t>
      </w:r>
      <w:r>
        <w:t xml:space="preserve">same fitted propensity score with bounded weights</w:t>
      </w:r>
      <w:r>
        <w:t xml:space="preserve"> </w:t>
      </w:r>
      <w:r>
        <w:t xml:space="preserve">(Li, Morgan, and Zaslavsky 2018; Mao, Li, and Greene 2019)</w:t>
      </w:r>
      <w:r>
        <w:t xml:space="preserve">, so both can remain estimable where the average treatment</w:t>
      </w:r>
      <w:r>
        <w:t xml:space="preserve"> </w:t>
      </w:r>
      <w:r>
        <w:t xml:space="preserve">effect is not, and a trimmed analysis changes the population, which the</w:t>
      </w:r>
      <w:r>
        <w:t xml:space="preserve"> </w:t>
      </w:r>
      <w:r>
        <w:t xml:space="preserve">design team should profile and disclose</w:t>
      </w:r>
      <w:r>
        <w:t xml:space="preserve"> </w:t>
      </w:r>
      <w:r>
        <w:t xml:space="preserve">(Crump et al. 2009)</w:t>
      </w:r>
      <w:r>
        <w:t xml:space="preserve">. Deciding</w:t>
      </w:r>
      <w:r>
        <w:t xml:space="preserve"> </w:t>
      </w:r>
      <w:r>
        <w:t xml:space="preserve">among these before outcome access, by a rule declared in advance, turns</w:t>
      </w:r>
      <w:r>
        <w:t xml:space="preserve"> </w:t>
      </w:r>
      <w:r>
        <w:t xml:space="preserve">what is usually a silent post-hoc substitution into a documented design</w:t>
      </w:r>
      <w:r>
        <w:t xml:space="preserve"> </w:t>
      </w:r>
      <w:r>
        <w:t xml:space="preserve">decision.</w:t>
      </w:r>
      <w:r>
        <w:t xml:space="preserve"> </w:t>
      </w:r>
      <w:hyperlink w:anchor="sec-support">
        <w:r>
          <w:rPr>
            <w:rStyle w:val="Hyperlink"/>
          </w:rPr>
          <w:t xml:space="preserve">Section 6</w:t>
        </w:r>
      </w:hyperlink>
      <w:r>
        <w:t xml:space="preserve"> </w:t>
      </w:r>
      <w:r>
        <w:t xml:space="preserve">develops this into a graded support assessment,</w:t>
      </w:r>
      <w:r>
        <w:t xml:space="preserve"> </w:t>
      </w:r>
      <w:r>
        <w:t xml:space="preserve">a per-estimand feasibility map, and a pre-registered estimand ladder.</w:t>
      </w:r>
    </w:p>
    <w:bookmarkEnd w:id="21"/>
    <w:bookmarkStart w:id="22" w:name="X2d9055429bcade42d1fa9cad455e8a37eb29cb6"/>
    <w:p>
      <w:pPr>
        <w:pStyle w:val="Heading2"/>
      </w:pPr>
      <w:r>
        <w:t xml:space="preserve">1.2 Prespecification and fit-for-purpose data in RWE</w:t>
      </w:r>
    </w:p>
    <w:p>
      <w:pPr>
        <w:pStyle w:val="FirstParagraph"/>
      </w:pPr>
      <w:r>
        <w:t xml:space="preserve">Outcome blinding and prespecification are governance tools, not</w:t>
      </w:r>
      <w:r>
        <w:t xml:space="preserve"> </w:t>
      </w:r>
      <w:r>
        <w:t xml:space="preserve">substitutes for causal design. In a real-world evidence (RWE) study</w:t>
      </w:r>
      <w:r>
        <w:t xml:space="preserve"> </w:t>
      </w:r>
      <w:r>
        <w:t xml:space="preserve">the analyst still has to define the target trial</w:t>
      </w:r>
      <w:r>
        <w:t xml:space="preserve"> </w:t>
      </w:r>
      <w:r>
        <w:t xml:space="preserve">(M. A. Hernán and Robins 2016; Miguel A. Hernán and Robins 2016)</w:t>
      </w:r>
      <w:r>
        <w:t xml:space="preserve">, specify a statistical</w:t>
      </w:r>
      <w:r>
        <w:t xml:space="preserve"> </w:t>
      </w:r>
      <w:r>
        <w:t xml:space="preserve">estimand consistent with the ICH E9(R1) framework</w:t>
      </w:r>
      <w:r>
        <w:t xml:space="preserve"> </w:t>
      </w:r>
      <w:r>
        <w:t xml:space="preserve">(International Council for Harmonisation 2019)</w:t>
      </w:r>
      <w:r>
        <w:t xml:space="preserve">,</w:t>
      </w:r>
      <w:r>
        <w:t xml:space="preserve"> </w:t>
      </w:r>
      <w:r>
        <w:t xml:space="preserve">justify identification from the available data, and defend the</w:t>
      </w:r>
      <w:r>
        <w:t xml:space="preserve"> </w:t>
      </w:r>
      <w:r>
        <w:t xml:space="preserve">relevance and reliability of the data source for the regulatory or</w:t>
      </w:r>
      <w:r>
        <w:t xml:space="preserve"> </w:t>
      </w:r>
      <w:r>
        <w:t xml:space="preserve">scientific question.</w:t>
      </w:r>
    </w:p>
    <w:p>
      <w:pPr>
        <w:pStyle w:val="BodyText"/>
      </w:pPr>
      <w:r>
        <w:t xml:space="preserve">Regulatory bodies have converged on this list. The FDA RWE</w:t>
      </w:r>
      <w:r>
        <w:t xml:space="preserve"> </w:t>
      </w:r>
      <w:r>
        <w:t xml:space="preserve">framework and its source-specific guidances cover</w:t>
      </w:r>
      <w:r>
        <w:t xml:space="preserve"> </w:t>
      </w:r>
      <w:r>
        <w:t xml:space="preserve">real-world data and evidence</w:t>
      </w:r>
      <w:r>
        <w:t xml:space="preserve"> </w:t>
      </w:r>
      <w:r>
        <w:t xml:space="preserve">(U.S. Food and Drug Administration 2018, 2024a)</w:t>
      </w:r>
      <w:r>
        <w:t xml:space="preserve">,</w:t>
      </w:r>
      <w:r>
        <w:t xml:space="preserve"> </w:t>
      </w:r>
      <w:r>
        <w:t xml:space="preserve">EHR and claims data</w:t>
      </w:r>
      <w:r>
        <w:t xml:space="preserve"> </w:t>
      </w:r>
      <w:r>
        <w:t xml:space="preserve">(U.S. Food and Drug Administration 2024b)</w:t>
      </w:r>
      <w:r>
        <w:t xml:space="preserve">, registries</w:t>
      </w:r>
      <w:r>
        <w:t xml:space="preserve"> </w:t>
      </w:r>
      <w:r>
        <w:t xml:space="preserve">(U.S. Food and Drug Administration 2021)</w:t>
      </w:r>
      <w:r>
        <w:t xml:space="preserve">, and non-interventional studies</w:t>
      </w:r>
      <w:r>
        <w:t xml:space="preserve"> </w:t>
      </w:r>
      <w:r>
        <w:t xml:space="preserve">(U.S. Food and Drug Administration 2024c)</w:t>
      </w:r>
      <w:r>
        <w:t xml:space="preserve">. The EMA materials add registry-based</w:t>
      </w:r>
      <w:r>
        <w:t xml:space="preserve"> </w:t>
      </w:r>
      <w:r>
        <w:t xml:space="preserve">studies</w:t>
      </w:r>
      <w:r>
        <w:t xml:space="preserve"> </w:t>
      </w:r>
      <w:r>
        <w:t xml:space="preserve">(European Medicines Agency 2021)</w:t>
      </w:r>
      <w:r>
        <w:t xml:space="preserve">, a regulator-led RWE guide</w:t>
      </w:r>
      <w:r>
        <w:t xml:space="preserve"> </w:t>
      </w:r>
      <w:r>
        <w:t xml:space="preserve">(European Medicines Agency 2024)</w:t>
      </w:r>
      <w:r>
        <w:t xml:space="preserve">, and an RWD data-quality framework</w:t>
      </w:r>
      <w:r>
        <w:t xml:space="preserve"> </w:t>
      </w:r>
      <w:r>
        <w:t xml:space="preserve">(European Medicines Agency 2026)</w:t>
      </w:r>
      <w:r>
        <w:t xml:space="preserve">. ICH M14 (March 2026) sets harmonised principles</w:t>
      </w:r>
      <w:r>
        <w:t xml:space="preserve"> </w:t>
      </w:r>
      <w:r>
        <w:t xml:space="preserve">for non-interventional studies that use real-world data for safety</w:t>
      </w:r>
      <w:r>
        <w:t xml:space="preserve"> </w:t>
      </w:r>
      <w:r>
        <w:t xml:space="preserve">assessment of medicines</w:t>
      </w:r>
      <w:r>
        <w:t xml:space="preserve"> </w:t>
      </w:r>
      <w:r>
        <w:t xml:space="preserve">(International Council for Harmonisation 2026)</w:t>
      </w:r>
      <w:r>
        <w:t xml:space="preserve">.</w:t>
      </w:r>
    </w:p>
    <w:p>
      <w:pPr>
        <w:pStyle w:val="BodyText"/>
      </w:pPr>
      <w:r>
        <w:t xml:space="preserve">Within this broader workflow, two arguments are typically</w:t>
      </w:r>
      <w:r>
        <w:t xml:space="preserve"> </w:t>
      </w:r>
      <w:r>
        <w:t xml:space="preserve">developed in parallel but reported separately. The</w:t>
      </w:r>
      <w:r>
        <w:t xml:space="preserve"> </w:t>
      </w:r>
      <w:r>
        <w:rPr>
          <w:i/>
          <w:iCs/>
        </w:rPr>
        <w:t xml:space="preserve">estimator-selection</w:t>
      </w:r>
      <w:r>
        <w:t xml:space="preserve"> </w:t>
      </w:r>
      <w:r>
        <w:t xml:space="preserve">argument is checked with outcome-blind</w:t>
      </w:r>
      <w:r>
        <w:t xml:space="preserve"> </w:t>
      </w:r>
      <w:r>
        <w:t xml:space="preserve">plasmode simulation</w:t>
      </w:r>
      <w:r>
        <w:t xml:space="preserve"> </w:t>
      </w:r>
      <w:r>
        <w:t xml:space="preserve">(Franklin et al. 2014; Schuler and Rose 2017; Dang et al. 2023; Gruber, Lee, et al. 2024; Schreck et al. 2024)</w:t>
      </w:r>
      <w:r>
        <w:t xml:space="preserve">. The</w:t>
      </w:r>
      <w:r>
        <w:t xml:space="preserve"> </w:t>
      </w:r>
      <w:r>
        <w:rPr>
          <w:i/>
          <w:iCs/>
        </w:rPr>
        <w:t xml:space="preserve">fit-for-purpose</w:t>
      </w:r>
      <w:r>
        <w:t xml:space="preserve"> </w:t>
      </w:r>
      <w:r>
        <w:t xml:space="preserve">argument is documented qualitatively through</w:t>
      </w:r>
      <w:r>
        <w:t xml:space="preserve"> </w:t>
      </w:r>
      <w:r>
        <w:t xml:space="preserve">templates such as SPIFD2, the Structured Process to Identify</w:t>
      </w:r>
      <w:r>
        <w:t xml:space="preserve"> </w:t>
      </w:r>
      <w:r>
        <w:t xml:space="preserve">Fit-for-purpose study Design and Data</w:t>
      </w:r>
      <w:r>
        <w:t xml:space="preserve"> </w:t>
      </w:r>
      <w:r>
        <w:t xml:space="preserve">(Gatto, Reynolds, and Campbell 2022; Gatto et al. 2023)</w:t>
      </w:r>
      <w:r>
        <w:t xml:space="preserve">,</w:t>
      </w:r>
      <w:r>
        <w:t xml:space="preserve"> </w:t>
      </w:r>
      <w:r>
        <w:t xml:space="preserve">or HARPER</w:t>
      </w:r>
      <w:r>
        <w:t xml:space="preserve"> </w:t>
      </w:r>
      <w:r>
        <w:t xml:space="preserve">(Wang, Sreedhara, and Schneeweiss 2023)</w:t>
      </w:r>
      <w:r>
        <w:t xml:space="preserve">, and through reporting tools such as</w:t>
      </w:r>
      <w:r>
        <w:t xml:space="preserve"> </w:t>
      </w:r>
      <w:r>
        <w:t xml:space="preserve">TARGET, the Target Trial reporting tool for observational studies</w:t>
      </w:r>
      <w:r>
        <w:t xml:space="preserve"> </w:t>
      </w:r>
      <w:r>
        <w:t xml:space="preserve">(Cashin et al. 2024)</w:t>
      </w:r>
      <w:r>
        <w:t xml:space="preserve">, and STaRT-RWE, the Structured Template for</w:t>
      </w:r>
      <w:r>
        <w:t xml:space="preserve"> </w:t>
      </w:r>
      <w:r>
        <w:t xml:space="preserve">Planning and Reporting on the Implementation of real-world evidence</w:t>
      </w:r>
      <w:r>
        <w:t xml:space="preserve"> </w:t>
      </w:r>
      <w:r>
        <w:t xml:space="preserve">studies</w:t>
      </w:r>
      <w:r>
        <w:t xml:space="preserve"> </w:t>
      </w:r>
      <w:r>
        <w:t xml:space="preserve">(Wang et al. 2021)</w:t>
      </w:r>
      <w:r>
        <w:t xml:space="preserve">.</w:t>
      </w:r>
    </w:p>
    <w:p>
      <w:pPr>
        <w:pStyle w:val="BodyText"/>
      </w:pPr>
      <w:r>
        <w:t xml:space="preserve">These two arguments are connected: a candidate estimator that</w:t>
      </w:r>
      <w:r>
        <w:t xml:space="preserve"> </w:t>
      </w:r>
      <w:r>
        <w:t xml:space="preserve">performs well on a simulation derived from real covariate and</w:t>
      </w:r>
      <w:r>
        <w:t xml:space="preserve"> </w:t>
      </w:r>
      <w:r>
        <w:t xml:space="preserve">treatment distributions may still fail under realistic measurement</w:t>
      </w:r>
      <w:r>
        <w:t xml:space="preserve"> </w:t>
      </w:r>
      <w:r>
        <w:t xml:space="preserve">error, missingness, or unmeasured confounding. The plasmode loop is</w:t>
      </w:r>
      <w:r>
        <w:t xml:space="preserve"> </w:t>
      </w:r>
      <w:r>
        <w:t xml:space="preserve">under the analyst’s control, so it can be extended to ask not only</w:t>
      </w:r>
      <w:r>
        <w:t xml:space="preserve"> </w:t>
      </w:r>
      <w:r>
        <w:t xml:space="preserve">“which candidate has the lowest RMSE under the locked</w:t>
      </w:r>
      <w:r>
        <w:t xml:space="preserve"> </w:t>
      </w:r>
      <w:r>
        <w:t xml:space="preserve">data-generating process?”</w:t>
      </w:r>
      <w:r>
        <w:t xml:space="preserve"> </w:t>
      </w:r>
      <w:r>
        <w:t xml:space="preserve">but also</w:t>
      </w:r>
      <w:r>
        <w:t xml:space="preserve"> </w:t>
      </w:r>
      <w:r>
        <w:t xml:space="preserve">“which candidate maintains</w:t>
      </w:r>
      <w:r>
        <w:t xml:space="preserve"> </w:t>
      </w:r>
      <w:r>
        <w:t xml:space="preserve">acceptable bias, RMSE, and coverage across the plausible range of</w:t>
      </w:r>
      <w:r>
        <w:t xml:space="preserve"> </w:t>
      </w:r>
      <w:r>
        <w:t xml:space="preserve">each threat documented in the fit-for-purpose review?”</w:t>
      </w:r>
      <w:r>
        <w:t xml:space="preserve"> </w:t>
      </w:r>
      <w:r>
        <w:t xml:space="preserve">We refer to</w:t>
      </w:r>
      <w:r>
        <w:t xml:space="preserve"> </w:t>
      </w:r>
      <w:r>
        <w:t xml:space="preserve">this extension as a</w:t>
      </w:r>
      <w:r>
        <w:t xml:space="preserve"> </w:t>
      </w:r>
      <w:r>
        <w:rPr>
          <w:i/>
          <w:iCs/>
        </w:rPr>
        <w:t xml:space="preserve">data-quality (DQ) stress test</w:t>
      </w:r>
      <w:r>
        <w:t xml:space="preserve">. It is a</w:t>
      </w:r>
      <w:r>
        <w:t xml:space="preserve"> </w:t>
      </w:r>
      <w:r>
        <w:t xml:space="preserve">pre-outcome robustness screen rather than a substitute for</w:t>
      </w:r>
      <w:r>
        <w:t xml:space="preserve"> </w:t>
      </w:r>
      <w:r>
        <w:t xml:space="preserve">variable validation or for post-unblinding sensitivity analysis.</w:t>
      </w:r>
      <w:r>
        <w:t xml:space="preserve"> </w:t>
      </w:r>
      <w:r>
        <w:t xml:space="preserve">The workflow does not guarantee that estimator rankings under</w:t>
      </w:r>
      <w:r>
        <w:t xml:space="preserve"> </w:t>
      </w:r>
      <w:r>
        <w:t xml:space="preserve">synthetic outcomes will generalise to the realised outcome</w:t>
      </w:r>
      <w:r>
        <w:t xml:space="preserve"> </w:t>
      </w:r>
      <w:r>
        <w:t xml:space="preserve">process; the conclusions are only as credible as the</w:t>
      </w:r>
      <w:r>
        <w:t xml:space="preserve"> </w:t>
      </w:r>
      <w:r>
        <w:t xml:space="preserve">synthetic-outcome model and the externally justified severity</w:t>
      </w:r>
      <w:r>
        <w:t xml:space="preserve"> </w:t>
      </w:r>
      <w:r>
        <w:t xml:space="preserve">ranges entered into the DQ stress test.</w:t>
      </w:r>
    </w:p>
    <w:p>
      <w:pPr>
        <w:pStyle w:val="BodyText"/>
      </w:pPr>
      <w:r>
        <w:t xml:space="preserve">We use</w:t>
      </w:r>
      <w:r>
        <w:t xml:space="preserve"> </w:t>
      </w:r>
      <w:r>
        <w:t xml:space="preserve">“data-quality stress testing”</w:t>
      </w:r>
      <w:r>
        <w:t xml:space="preserve"> </w:t>
      </w:r>
      <w:r>
        <w:t xml:space="preserve">in a restricted sense: the</w:t>
      </w:r>
      <w:r>
        <w:t xml:space="preserve"> </w:t>
      </w:r>
      <w:r>
        <w:t xml:space="preserve">procedure does not assess data provenance, phenotype validity,</w:t>
      </w:r>
      <w:r>
        <w:t xml:space="preserve"> </w:t>
      </w:r>
      <w:r>
        <w:t xml:space="preserve">linkage accuracy, representativeness, or regulatory acceptability,</w:t>
      </w:r>
      <w:r>
        <w:t xml:space="preserve"> </w:t>
      </w:r>
      <w:r>
        <w:t xml:space="preserve">which remain study-level evaluations. Once investigators have</w:t>
      </w:r>
      <w:r>
        <w:t xml:space="preserve"> </w:t>
      </w:r>
      <w:r>
        <w:t xml:space="preserve">specified plausible threats and severity ranges from external</w:t>
      </w:r>
      <w:r>
        <w:t xml:space="preserve"> </w:t>
      </w:r>
      <w:r>
        <w:t xml:space="preserve">validation studies, data profiling, or expert elicitation, the</w:t>
      </w:r>
      <w:r>
        <w:t xml:space="preserve"> </w:t>
      </w:r>
      <w:r>
        <w:t xml:space="preserve">package evaluates how candidate estimators behave under those</w:t>
      </w:r>
      <w:r>
        <w:t xml:space="preserve"> </w:t>
      </w:r>
      <w:r>
        <w:t xml:space="preserve">prespecified perturbations before the observed treatment-outcome</w:t>
      </w:r>
      <w:r>
        <w:t xml:space="preserve"> </w:t>
      </w:r>
      <w:r>
        <w:t xml:space="preserve">association is examined. The central contribution is a</w:t>
      </w:r>
      <w:r>
        <w:t xml:space="preserve"> </w:t>
      </w:r>
      <w:r>
        <w:t xml:space="preserve">quantitative bridge between fit-for-purpose review and estimator</w:t>
      </w:r>
      <w:r>
        <w:t xml:space="preserve"> </w:t>
      </w:r>
      <w:r>
        <w:t xml:space="preserve">selection. In a conventional workflow, data-fitness concerns are</w:t>
      </w:r>
      <w:r>
        <w:t xml:space="preserve"> </w:t>
      </w:r>
      <w:r>
        <w:t xml:space="preserve">documented qualitatively, while estimator choice is justified</w:t>
      </w:r>
      <w:r>
        <w:t xml:space="preserve"> </w:t>
      </w:r>
      <w:r>
        <w:t xml:space="preserve">separately through modeling preferences or diagnostics. cleanTMLE</w:t>
      </w:r>
      <w:r>
        <w:t xml:space="preserve"> </w:t>
      </w:r>
      <w:r>
        <w:t xml:space="preserve">uses the same outcome-blind plasmode loop used for candidate</w:t>
      </w:r>
      <w:r>
        <w:t xml:space="preserve"> </w:t>
      </w:r>
      <w:r>
        <w:t xml:space="preserve">selection to evaluate whether prespecified TMLE candidates remain</w:t>
      </w:r>
      <w:r>
        <w:t xml:space="preserve"> </w:t>
      </w:r>
      <w:r>
        <w:t xml:space="preserve">acceptable under data-quality threats derived from the</w:t>
      </w:r>
      <w:r>
        <w:t xml:space="preserve"> </w:t>
      </w:r>
      <w:r>
        <w:t xml:space="preserve">fit-for-purpose review.</w:t>
      </w:r>
    </w:p>
    <w:p>
      <w:pPr>
        <w:pStyle w:val="BodyText"/>
      </w:pPr>
      <w:r>
        <w:t xml:space="preserve">In this manuscript,</w:t>
      </w:r>
      <w:r>
        <w:t xml:space="preserve"> </w:t>
      </w:r>
      <w:r>
        <w:rPr>
          <w:i/>
          <w:iCs/>
        </w:rPr>
        <w:t xml:space="preserve">outcome-blind</w:t>
      </w:r>
      <w:r>
        <w:t xml:space="preserve"> </w:t>
      </w:r>
      <w:r>
        <w:t xml:space="preserve">means that decisions about</w:t>
      </w:r>
      <w:r>
        <w:t xml:space="preserve"> </w:t>
      </w:r>
      <w:r>
        <w:t xml:space="preserve">cohort construction, candidate estimators, simulation scenarios,</w:t>
      </w:r>
      <w:r>
        <w:t xml:space="preserve"> </w:t>
      </w:r>
      <w:r>
        <w:t xml:space="preserve">decision thresholds, and primary-estimator selection are made</w:t>
      </w:r>
      <w:r>
        <w:t xml:space="preserve"> </w:t>
      </w:r>
      <w:r>
        <w:t xml:space="preserve">without inspecting the observed treatment-outcome association.</w:t>
      </w:r>
      <w:r>
        <w:t xml:space="preserve"> </w:t>
      </w:r>
      <w:r>
        <w:t xml:space="preserve">Analysts may use baseline covariates, treatment assignment,</w:t>
      </w:r>
      <w:r>
        <w:t xml:space="preserve"> </w:t>
      </w:r>
      <w:r>
        <w:t xml:space="preserve">missingness indicators, and synthetic outcomes generated for</w:t>
      </w:r>
      <w:r>
        <w:t xml:space="preserve"> </w:t>
      </w:r>
      <w:r>
        <w:t xml:space="preserve">plasmode simulations; the marginal mean of the observed outcome on</w:t>
      </w:r>
      <w:r>
        <w:t xml:space="preserve"> </w:t>
      </w:r>
      <w:r>
        <w:t xml:space="preserve">covariates is also used internally to fit the plasmode generator.</w:t>
      </w:r>
      <w:r>
        <w:t xml:space="preserve"> </w:t>
      </w:r>
      <w:r>
        <w:t xml:space="preserve">The observed treatment-outcome relationship is not used for</w:t>
      </w:r>
      <w:r>
        <w:t xml:space="preserve"> </w:t>
      </w:r>
      <w:r>
        <w:t xml:space="preserve">estimator selection or design revision before the pre-outcome</w:t>
      </w:r>
      <w:r>
        <w:t xml:space="preserve"> </w:t>
      </w:r>
      <w:r>
        <w:t xml:space="preserve">decision point.</w:t>
      </w:r>
    </w:p>
    <w:p>
      <w:pPr>
        <w:pStyle w:val="BodyText"/>
      </w:pPr>
      <w:r>
        <w:t xml:space="preserve">Standard pre-outcome review often separates three activities:</w:t>
      </w:r>
      <w:r>
        <w:t xml:space="preserve"> </w:t>
      </w:r>
      <w:r>
        <w:t xml:space="preserve">target-trial / protocol design, qualitative fit-for-purpose data</w:t>
      </w:r>
      <w:r>
        <w:t xml:space="preserve"> </w:t>
      </w:r>
      <w:r>
        <w:t xml:space="preserve">review, and estimator selection. Standard plasmode simulation can</w:t>
      </w:r>
      <w:r>
        <w:t xml:space="preserve"> </w:t>
      </w:r>
      <w:r>
        <w:t xml:space="preserve">compare estimators before outcome access, but it usually evaluates</w:t>
      </w:r>
      <w:r>
        <w:t xml:space="preserve"> </w:t>
      </w:r>
      <w:r>
        <w:t xml:space="preserve">performance under one locked synthetic outcome mechanism. cleanTMLE</w:t>
      </w:r>
      <w:r>
        <w:t xml:space="preserve"> </w:t>
      </w:r>
      <w:r>
        <w:t xml:space="preserve">extends that loop by stress-testing the selected estimator across</w:t>
      </w:r>
      <w:r>
        <w:t xml:space="preserve"> </w:t>
      </w:r>
      <w:r>
        <w:t xml:space="preserve">prespecified data-quality threats derived from the fit-for-purpose</w:t>
      </w:r>
      <w:r>
        <w:t xml:space="preserve"> </w:t>
      </w:r>
      <w:r>
        <w:t xml:space="preserve">review. This builds a quantitative bridge between the qualitative</w:t>
      </w:r>
      <w:r>
        <w:t xml:space="preserve"> </w:t>
      </w:r>
      <w:r>
        <w:t xml:space="preserve">data-fitness argument and the estimator-selection argument.</w:t>
      </w:r>
    </w:p>
    <w:bookmarkEnd w:id="22"/>
    <w:bookmarkStart w:id="23" w:name="X5c4e3544c882e58403c1eebacd36445ecf9c780"/>
    <w:p>
      <w:pPr>
        <w:pStyle w:val="Heading2"/>
      </w:pPr>
      <w:r>
        <w:t xml:space="preserve">1.3 What the package adds, and what it does not</w:t>
      </w:r>
    </w:p>
    <w:p>
      <w:pPr>
        <w:pStyle w:val="FirstParagraph"/>
      </w:pPr>
      <w:r>
        <w:t xml:space="preserve">cleanTMLE is an R</w:t>
      </w:r>
      <w:r>
        <w:t xml:space="preserve"> </w:t>
      </w:r>
      <w:r>
        <w:t xml:space="preserve">(R Core Team 2024)</w:t>
      </w:r>
      <w:r>
        <w:t xml:space="preserve"> </w:t>
      </w:r>
      <w:r>
        <w:t xml:space="preserve">package that operationalises the</w:t>
      </w:r>
      <w:r>
        <w:t xml:space="preserve"> </w:t>
      </w:r>
      <w:r>
        <w:t xml:space="preserve">design and estimator-selection steps of a staged analysis within the</w:t>
      </w:r>
      <w:r>
        <w:t xml:space="preserve"> </w:t>
      </w:r>
      <w:r>
        <w:t xml:space="preserve">causal roadmap</w:t>
      </w:r>
      <w:r>
        <w:t xml:space="preserve"> </w:t>
      </w:r>
      <w:r>
        <w:t xml:space="preserve">(Dang et al. 2023; Petersen and Laan 2014; Gruber, Lee, et al. 2024)</w:t>
      </w:r>
      <w:r>
        <w:t xml:space="preserve">.</w:t>
      </w:r>
      <w:r>
        <w:t xml:space="preserve"> </w:t>
      </w:r>
      <w:r>
        <w:t xml:space="preserve">It contributes three methodological components. The first is the</w:t>
      </w:r>
      <w:r>
        <w:t xml:space="preserve"> </w:t>
      </w:r>
      <w:r>
        <w:t xml:space="preserve">estimability layer introduced above: a graded assessment of overlap on</w:t>
      </w:r>
      <w:r>
        <w:t xml:space="preserve"> </w:t>
      </w:r>
      <w:r>
        <w:t xml:space="preserve">the fitted propensity score, a per-estimand feasibility reading of the</w:t>
      </w:r>
      <w:r>
        <w:t xml:space="preserve"> </w:t>
      </w:r>
      <w:r>
        <w:t xml:space="preserve">same fit, an outcome-blind simulation that maps where each estimand’s</w:t>
      </w:r>
      <w:r>
        <w:t xml:space="preserve"> </w:t>
      </w:r>
      <w:r>
        <w:t xml:space="preserve">estimator holds its operating characteristics, and a pre-registered</w:t>
      </w:r>
      <w:r>
        <w:t xml:space="preserve"> </w:t>
      </w:r>
      <w:r>
        <w:t xml:space="preserve">estimand ladder that governs switching (</w:t>
      </w:r>
      <w:hyperlink w:anchor="sec-support">
        <w:r>
          <w:rPr>
            <w:rStyle w:val="Hyperlink"/>
          </w:rPr>
          <w:t xml:space="preserve">Section 6</w:t>
        </w:r>
      </w:hyperlink>
      <w:r>
        <w:t xml:space="preserve">). The second is an</w:t>
      </w:r>
      <w:r>
        <w:t xml:space="preserve"> </w:t>
      </w:r>
      <w:r>
        <w:t xml:space="preserve">outcome-blind plasmode candidate selector, and the third is the</w:t>
      </w:r>
      <w:r>
        <w:t xml:space="preserve"> </w:t>
      </w:r>
      <w:r>
        <w:t xml:space="preserve">data-quality stress test, which extends that selector to score each</w:t>
      </w:r>
      <w:r>
        <w:t xml:space="preserve"> </w:t>
      </w:r>
      <w:r>
        <w:t xml:space="preserve">candidate against prespecified data-quality threats (</w:t>
      </w:r>
      <w:hyperlink w:anchor="sec-dq">
        <w:r>
          <w:rPr>
            <w:rStyle w:val="Hyperlink"/>
          </w:rPr>
          <w:t xml:space="preserve">Section 7</w:t>
        </w:r>
      </w:hyperlink>
      <w:r>
        <w:t xml:space="preserve">). All</w:t>
      </w:r>
      <w:r>
        <w:t xml:space="preserve"> </w:t>
      </w:r>
      <w:r>
        <w:t xml:space="preserve">three build on targeted maximum likelihood estimation (TMLE)</w:t>
      </w:r>
      <w:r>
        <w:t xml:space="preserve"> </w:t>
      </w:r>
      <w:r>
        <w:t xml:space="preserve">(Laan and Rubin 2006; Laan and Rose 2011; Schuler and Rose 2017; Zheng and Laan 2011; Chernozhukov et al. 2018)</w:t>
      </w:r>
      <w:r>
        <w:t xml:space="preserve">, the natural setting</w:t>
      </w:r>
      <w:r>
        <w:t xml:space="preserve"> </w:t>
      </w:r>
      <w:r>
        <w:t xml:space="preserve">because every analytic decision (the SuperLearner library</w:t>
      </w:r>
      <w:r>
        <w:t xml:space="preserve"> </w:t>
      </w:r>
      <w:r>
        <w:t xml:space="preserve">(Laan, Polley, and Hubbard 2007; Phillips et al. 2023)</w:t>
      </w:r>
      <w:r>
        <w:t xml:space="preserve">, the truncation rule, the</w:t>
      </w:r>
      <w:r>
        <w:t xml:space="preserve"> </w:t>
      </w:r>
      <w:r>
        <w:t xml:space="preserve">targeting procedure, and the prespecified set of candidate estimators)</w:t>
      </w:r>
      <w:r>
        <w:t xml:space="preserve"> </w:t>
      </w:r>
      <w:r>
        <w:t xml:space="preserve">can be listed in advance, while the estimator remains data-adaptive and</w:t>
      </w:r>
      <w:r>
        <w:t xml:space="preserve"> </w:t>
      </w:r>
      <w:r>
        <w:t xml:space="preserve">still admits valid Wald-type confidence intervals under standard</w:t>
      </w:r>
      <w:r>
        <w:t xml:space="preserve"> </w:t>
      </w:r>
      <w:r>
        <w:t xml:space="preserve">regularity conditions. This modular structure makes it possible to</w:t>
      </w:r>
      <w:r>
        <w:t xml:space="preserve"> </w:t>
      </w:r>
      <w:r>
        <w:t xml:space="preserve">compare prespecified candidates under synthetic outcomes without</w:t>
      </w:r>
      <w:r>
        <w:t xml:space="preserve"> </w:t>
      </w:r>
      <w:r>
        <w:t xml:space="preserve">revising the analytic plan after inspecting observed treatment-outcome</w:t>
      </w:r>
      <w:r>
        <w:t xml:space="preserve"> </w:t>
      </w:r>
      <w:r>
        <w:t xml:space="preserve">associations.</w:t>
      </w:r>
    </w:p>
    <w:p>
      <w:pPr>
        <w:pStyle w:val="BodyText"/>
      </w:pPr>
      <w:r>
        <w:t xml:space="preserve">Around these statistical components the package adds a transparency</w:t>
      </w:r>
      <w:r>
        <w:t xml:space="preserve"> </w:t>
      </w:r>
      <w:r>
        <w:t xml:space="preserve">layer, for analysts who want their prespecification to be a reproducible</w:t>
      </w:r>
      <w:r>
        <w:t xml:space="preserve"> </w:t>
      </w:r>
      <w:r>
        <w:t xml:space="preserve">record rather than a separate paper document: an analysis-lock object</w:t>
      </w:r>
      <w:r>
        <w:t xml:space="preserve"> </w:t>
      </w:r>
      <w:r>
        <w:t xml:space="preserve">that fingerprints the specification and masks the outcome, and a design</w:t>
      </w:r>
      <w:r>
        <w:t xml:space="preserve"> </w:t>
      </w:r>
      <w:r>
        <w:t xml:space="preserve">log that timestamps the ladder declaration, the support verdicts, and</w:t>
      </w:r>
      <w:r>
        <w:t xml:space="preserve"> </w:t>
      </w:r>
      <w:r>
        <w:t xml:space="preserve">any estimand switch or override. The pre-outcome decision applies the</w:t>
      </w:r>
      <w:r>
        <w:t xml:space="preserve"> </w:t>
      </w:r>
      <w:r>
        <w:t xml:space="preserve">three review-team recommendations of</w:t>
      </w:r>
      <w:r>
        <w:t xml:space="preserve"> </w:t>
      </w:r>
      <w:r>
        <w:t xml:space="preserve">Muntner et al. (2024)</w:t>
      </w:r>
      <w:r>
        <w:t xml:space="preserve">, namely</w:t>
      </w:r>
      <w:r>
        <w:t xml:space="preserve"> </w:t>
      </w:r>
      <w:r>
        <w:t xml:space="preserve">proceeding to the comparative analysis, proceeding with a documented</w:t>
      </w:r>
      <w:r>
        <w:t xml:space="preserve"> </w:t>
      </w:r>
      <w:r>
        <w:t xml:space="preserve">qualification or additional analysis, or stopping before it. Earlier</w:t>
      </w:r>
      <w:r>
        <w:t xml:space="preserve"> </w:t>
      </w:r>
      <w:r>
        <w:t xml:space="preserve">versions of the package enforced this sequence by withholding the</w:t>
      </w:r>
      <w:r>
        <w:t xml:space="preserve"> </w:t>
      </w:r>
      <w:r>
        <w:t xml:space="preserve">primary-analysis functions until every checkpoint had been recorded; in</w:t>
      </w:r>
      <w:r>
        <w:t xml:space="preserve"> </w:t>
      </w:r>
      <w:r>
        <w:t xml:space="preserve">the current version outcome masking is always enforced, while the</w:t>
      </w:r>
      <w:r>
        <w:t xml:space="preserve"> </w:t>
      </w:r>
      <w:r>
        <w:t xml:space="preserve">authorisation gate is an option for institutional settings rather than</w:t>
      </w:r>
      <w:r>
        <w:t xml:space="preserve"> </w:t>
      </w:r>
      <w:r>
        <w:t xml:space="preserve">the default, because in practice the gate added ceremony without adding</w:t>
      </w:r>
      <w:r>
        <w:t xml:space="preserve"> </w:t>
      </w:r>
      <w:r>
        <w:t xml:space="preserve">evidence (</w:t>
      </w:r>
      <w:hyperlink w:anchor="sec-framework">
        <w:r>
          <w:rPr>
            <w:rStyle w:val="Hyperlink"/>
          </w:rPr>
          <w:t xml:space="preserve">Section 5</w:t>
        </w:r>
      </w:hyperlink>
      <w:r>
        <w:t xml:space="preserve">). This software arrangement sits inside, rather</w:t>
      </w:r>
      <w:r>
        <w:t xml:space="preserve"> </w:t>
      </w:r>
      <w:r>
        <w:t xml:space="preserve">than substitutes for, the personnel-based governance of a clean room</w:t>
      </w:r>
      <w:r>
        <w:t xml:space="preserve"> </w:t>
      </w:r>
      <w:r>
        <w:t xml:space="preserve">such as role separation, credentialed data access, and an independent</w:t>
      </w:r>
      <w:r>
        <w:t xml:space="preserve"> </w:t>
      </w:r>
      <w:r>
        <w:t xml:space="preserve">masked review team, which we return to in</w:t>
      </w:r>
      <w:r>
        <w:t xml:space="preserve"> </w:t>
      </w:r>
      <w:hyperlink w:anchor="sec-discussion">
        <w:r>
          <w:rPr>
            <w:rStyle w:val="Hyperlink"/>
          </w:rPr>
          <w:t xml:space="preserve">Section 13</w:t>
        </w:r>
      </w:hyperlink>
      <w:r>
        <w:t xml:space="preserve">. The</w:t>
      </w:r>
      <w:r>
        <w:t xml:space="preserve"> </w:t>
      </w:r>
      <w:r>
        <w:t xml:space="preserve">“clean</w:t>
      </w:r>
      <w:r>
        <w:t xml:space="preserve"> </w:t>
      </w:r>
      <w:r>
        <w:t xml:space="preserve">room”</w:t>
      </w:r>
      <w:r>
        <w:t xml:space="preserve"> </w:t>
      </w:r>
      <w:r>
        <w:t xml:space="preserve">label is the manufacturing analogy adopted by</w:t>
      </w:r>
      <w:r>
        <w:t xml:space="preserve"> </w:t>
      </w:r>
      <w:r>
        <w:t xml:space="preserve">Muntner et al. (2024)</w:t>
      </w:r>
      <w:r>
        <w:t xml:space="preserve">,</w:t>
      </w:r>
      <w:r>
        <w:t xml:space="preserve"> </w:t>
      </w:r>
      <w:r>
        <w:t xml:space="preserve">in which access to a sterile area is blocked until protocols have been</w:t>
      </w:r>
      <w:r>
        <w:t xml:space="preserve"> </w:t>
      </w:r>
      <w:r>
        <w:t xml:space="preserve">followed; the substantive content here is the staged restriction of</w:t>
      </w:r>
      <w:r>
        <w:t xml:space="preserve"> </w:t>
      </w:r>
      <w:r>
        <w:t xml:space="preserve">outcome access.</w:t>
      </w:r>
      <w:r>
        <w:t xml:space="preserve"> </w:t>
      </w:r>
      <w:hyperlink w:anchor="sec-roadmap">
        <w:r>
          <w:rPr>
            <w:rStyle w:val="Hyperlink"/>
          </w:rPr>
          <w:t xml:space="preserve">Section 2</w:t>
        </w:r>
      </w:hyperlink>
      <w:r>
        <w:t xml:space="preserve"> </w:t>
      </w:r>
      <w:r>
        <w:t xml:space="preserve">situates the package inside the causal</w:t>
      </w:r>
      <w:r>
        <w:t xml:space="preserve"> </w:t>
      </w:r>
      <w:r>
        <w:t xml:space="preserve">roadmap.</w:t>
      </w:r>
    </w:p>
    <w:bookmarkEnd w:id="23"/>
    <w:bookmarkStart w:id="24" w:name="current-scope-of-cleantmle"/>
    <w:p>
      <w:pPr>
        <w:pStyle w:val="Heading2"/>
      </w:pPr>
      <w:r>
        <w:t xml:space="preserve">1.4 Current scope of cleanTMLE</w:t>
      </w:r>
    </w:p>
    <w:p>
      <w:pPr>
        <w:pStyle w:val="FirstParagraph"/>
      </w:pPr>
      <w:r>
        <w:t xml:space="preserve">The simulation and case study in this paper run on a binary point</w:t>
      </w:r>
      <w:r>
        <w:t xml:space="preserve"> </w:t>
      </w:r>
      <w:r>
        <w:t xml:space="preserve">exposure and a binary outcome. Within that setting the package now</w:t>
      </w:r>
      <w:r>
        <w:t xml:space="preserve"> </w:t>
      </w:r>
      <w:r>
        <w:t xml:space="preserve">estimates a family of related estimands rather than a single one: the</w:t>
      </w:r>
      <w:r>
        <w:t xml:space="preserve"> </w:t>
      </w:r>
      <w:r>
        <w:t xml:space="preserve">marginal risk difference for the average treatment effect (ATE), the</w:t>
      </w:r>
      <w:r>
        <w:t xml:space="preserve"> </w:t>
      </w:r>
      <w:r>
        <w:t xml:space="preserve">trimmed ATE on the region of common support</w:t>
      </w:r>
      <w:r>
        <w:t xml:space="preserve"> </w:t>
      </w:r>
      <w:r>
        <w:t xml:space="preserve">(Crump et al. 2009)</w:t>
      </w:r>
      <w:r>
        <w:t xml:space="preserve">, the</w:t>
      </w:r>
      <w:r>
        <w:t xml:space="preserve"> </w:t>
      </w:r>
      <w:r>
        <w:t xml:space="preserve">effect among the treated (ATT), the overlap-weighted effect (ATO)</w:t>
      </w:r>
      <w:r>
        <w:t xml:space="preserve"> </w:t>
      </w:r>
      <w:r>
        <w:t xml:space="preserve">(Li, Morgan, and Zaslavsky 2018; Mao, Li, and Greene 2019)</w:t>
      </w:r>
      <w:r>
        <w:t xml:space="preserve">, and a matched-cohort ATT sensitivity</w:t>
      </w:r>
      <w:r>
        <w:t xml:space="preserve"> </w:t>
      </w:r>
      <w:r>
        <w:t xml:space="preserve">analysis. One front door,</w:t>
      </w:r>
      <w:r>
        <w:t xml:space="preserve"> </w:t>
      </w:r>
      <w:r>
        <w:rPr>
          <w:rStyle w:val="VerbatimChar"/>
        </w:rPr>
        <w:t xml:space="preserve">estimate_effect()</w:t>
      </w:r>
      <w:r>
        <w:t xml:space="preserve">, takes the estimand, the</w:t>
      </w:r>
      <w:r>
        <w:t xml:space="preserve"> </w:t>
      </w:r>
      <w:r>
        <w:t xml:space="preserve">estimator family (TMLE, inverse-probability weighting, matching, or the</w:t>
      </w:r>
      <w:r>
        <w:t xml:space="preserve"> </w:t>
      </w:r>
      <w:r>
        <w:t xml:space="preserve">crude contrast), and the missing-outcome handling (complete-case or</w:t>
      </w:r>
      <w:r>
        <w:t xml:space="preserve"> </w:t>
      </w:r>
      <w:r>
        <w:t xml:space="preserve">inverse-probability-of-censoring weighting, IPCW) as arguments; the</w:t>
      </w:r>
      <w:r>
        <w:t xml:space="preserve"> </w:t>
      </w:r>
      <w:r>
        <w:t xml:space="preserve">complete-case path is unbiased under missingness completely at random,</w:t>
      </w:r>
      <w:r>
        <w:t xml:space="preserve"> </w:t>
      </w:r>
      <w:r>
        <w:t xml:space="preserve">and the IPCW path under conditional independent censoring given measured</w:t>
      </w:r>
      <w:r>
        <w:t xml:space="preserve"> </w:t>
      </w:r>
      <w:r>
        <w:t xml:space="preserve">covariates and treatment. The prespecified primary estimator is TMLE,</w:t>
      </w:r>
      <w:r>
        <w:t xml:space="preserve"> </w:t>
      </w:r>
      <w:r>
        <w:t xml:space="preserve">with the alternatives reported as concordance checks. Multi-arm</w:t>
      </w:r>
      <w:r>
        <w:t xml:space="preserve"> </w:t>
      </w:r>
      <w:r>
        <w:t xml:space="preserve">exposures are handled as prespecified pairwise contrasts, each under its</w:t>
      </w:r>
      <w:r>
        <w:t xml:space="preserve"> </w:t>
      </w:r>
      <w:r>
        <w:t xml:space="preserve">own lock on a shared cohort (</w:t>
      </w:r>
      <w:r>
        <w:rPr>
          <w:rStyle w:val="VerbatimChar"/>
        </w:rPr>
        <w:t xml:space="preserve">create_contrast_locks()</w:t>
      </w:r>
      <w:r>
        <w:t xml:space="preserve">), which is how</w:t>
      </w:r>
      <w:r>
        <w:t xml:space="preserve"> </w:t>
      </w:r>
      <w:r>
        <w:t xml:space="preserve">the case study analyses its five transport comparisons. A companion</w:t>
      </w:r>
      <w:r>
        <w:t xml:space="preserve"> </w:t>
      </w:r>
      <w:r>
        <w:t xml:space="preserve">grammar of</w:t>
      </w:r>
      <w:r>
        <w:t xml:space="preserve"> </w:t>
      </w:r>
      <w:r>
        <w:rPr>
          <w:rStyle w:val="VerbatimChar"/>
        </w:rPr>
        <w:t xml:space="preserve">specify_models()</w:t>
      </w:r>
      <w:r>
        <w:t xml:space="preserve">,</w:t>
      </w:r>
      <w:r>
        <w:t xml:space="preserve"> </w:t>
      </w:r>
      <w:r>
        <w:rPr>
          <w:rStyle w:val="VerbatimChar"/>
        </w:rPr>
        <w:t xml:space="preserve">identify_*()</w:t>
      </w:r>
      <w:r>
        <w:t xml:space="preserve">, and</w:t>
      </w:r>
      <w:r>
        <w:t xml:space="preserve"> </w:t>
      </w:r>
      <w:r>
        <w:rPr>
          <w:rStyle w:val="VerbatimChar"/>
        </w:rPr>
        <w:t xml:space="preserve">estimate_*()</w:t>
      </w:r>
      <w:r>
        <w:t xml:space="preserve"> </w:t>
      </w:r>
      <w:r>
        <w:t xml:space="preserve">verbs</w:t>
      </w:r>
      <w:r>
        <w:t xml:space="preserve"> </w:t>
      </w:r>
      <w:r>
        <w:t xml:space="preserve">covers cumulative risks for time-to-event outcomes with censoring and</w:t>
      </w:r>
      <w:r>
        <w:t xml:space="preserve"> </w:t>
      </w:r>
      <w:r>
        <w:t xml:space="preserve">competing risks. Time-varying treatments and native</w:t>
      </w:r>
      <w:r>
        <w:t xml:space="preserve"> </w:t>
      </w:r>
      <w:r>
        <w:t xml:space="preserve">missingness-handling models (multiple imputation,</w:t>
      </w:r>
      <w:r>
        <w:t xml:space="preserve"> </w:t>
      </w:r>
      <w:r>
        <w:t xml:space="preserve">inverse-probability-of-missingness weighting for covariates) remain out</w:t>
      </w:r>
      <w:r>
        <w:t xml:space="preserve"> </w:t>
      </w:r>
      <w:r>
        <w:t xml:space="preserve">of scope, although the data-quality stress test degrades covariates</w:t>
      </w:r>
      <w:r>
        <w:t xml:space="preserve"> </w:t>
      </w:r>
      <w:r>
        <w:t xml:space="preserve">under MAR and MNAR to test the default median-imputation handling</w:t>
      </w:r>
      <w:r>
        <w:t xml:space="preserve"> </w:t>
      </w:r>
      <w:r>
        <w:t xml:space="preserve">against them. Analysts who need longitudinal estimands can compose</w:t>
      </w:r>
      <w:r>
        <w:t xml:space="preserve"> </w:t>
      </w:r>
      <w:r>
        <w:t xml:space="preserve">cleanTMLE’s prespecification functions with</w:t>
      </w:r>
      <w:r>
        <w:t xml:space="preserve"> </w:t>
      </w:r>
      <w:r>
        <w:rPr>
          <w:rStyle w:val="VerbatimChar"/>
        </w:rPr>
        <w:t xml:space="preserve">survtmle</w:t>
      </w:r>
      <w:r>
        <w:t xml:space="preserve"> </w:t>
      </w:r>
      <w:r>
        <w:t xml:space="preserve">(Benkeser and Hejazi 2018)</w:t>
      </w:r>
      <w:r>
        <w:t xml:space="preserve"> </w:t>
      </w:r>
      <w:r>
        <w:t xml:space="preserve">or</w:t>
      </w:r>
      <w:r>
        <w:t xml:space="preserve"> </w:t>
      </w:r>
      <w:r>
        <w:rPr>
          <w:rStyle w:val="VerbatimChar"/>
        </w:rPr>
        <w:t xml:space="preserve">lmtp</w:t>
      </w:r>
      <w:r>
        <w:t xml:space="preserve"> </w:t>
      </w:r>
      <w:r>
        <w:t xml:space="preserve">(Williams and Dı́az 2021)</w:t>
      </w:r>
      <w:r>
        <w:t xml:space="preserve">. This paper</w:t>
      </w:r>
      <w:r>
        <w:t xml:space="preserve"> </w:t>
      </w:r>
      <w:r>
        <w:t xml:space="preserve">documents version 0.2.0 of the package, which consolidated the exported</w:t>
      </w:r>
      <w:r>
        <w:t xml:space="preserve"> </w:t>
      </w:r>
      <w:r>
        <w:t xml:space="preserve">surface to 54 functions after earlier versions accreted governance</w:t>
      </w:r>
      <w:r>
        <w:t xml:space="preserve"> </w:t>
      </w:r>
      <w:r>
        <w:t xml:space="preserve">helpers faster than they earned their place; a typical analysis touches</w:t>
      </w:r>
      <w:r>
        <w:t xml:space="preserve"> </w:t>
      </w:r>
      <w:r>
        <w:t xml:space="preserve">about ten of them. The case-study estimates in</w:t>
      </w:r>
      <w:r>
        <w:t xml:space="preserve"> </w:t>
      </w:r>
      <w:hyperlink w:anchor="sec-casestudy">
        <w:r>
          <w:rPr>
            <w:rStyle w:val="Hyperlink"/>
          </w:rPr>
          <w:t xml:space="preserve">Section 12</w:t>
        </w:r>
      </w:hyperlink>
      <w:r>
        <w:t xml:space="preserve"> </w:t>
      </w:r>
      <w:r>
        <w:t xml:space="preserve">were</w:t>
      </w:r>
      <w:r>
        <w:t xml:space="preserve"> </w:t>
      </w:r>
      <w:r>
        <w:t xml:space="preserve">produced under version 0.2.0.</w:t>
      </w:r>
    </w:p>
    <w:bookmarkEnd w:id="24"/>
    <w:bookmarkStart w:id="25" w:name="what-the-paper-contributes"/>
    <w:p>
      <w:pPr>
        <w:pStyle w:val="Heading2"/>
      </w:pPr>
      <w:r>
        <w:t xml:space="preserve">1.5 What the paper contributes</w:t>
      </w:r>
    </w:p>
    <w:p>
      <w:pPr>
        <w:pStyle w:val="FirstParagraph"/>
      </w:pPr>
      <w:r>
        <w:t xml:space="preserve">We state the contribution narrowly. It is not a new estimator or a new</w:t>
      </w:r>
      <w:r>
        <w:t xml:space="preserve"> </w:t>
      </w:r>
      <w:r>
        <w:t xml:space="preserve">theorem: the estimators are standard targeted learning, the overlap</w:t>
      </w:r>
      <w:r>
        <w:t xml:space="preserve"> </w:t>
      </w:r>
      <w:r>
        <w:t xml:space="preserve">diagnostics descend from</w:t>
      </w:r>
      <w:r>
        <w:t xml:space="preserve"> </w:t>
      </w:r>
      <w:r>
        <w:t xml:space="preserve">Petersen et al. (2012)</w:t>
      </w:r>
      <w:r>
        <w:t xml:space="preserve">, and prespecifying TMLE</w:t>
      </w:r>
      <w:r>
        <w:t xml:space="preserve"> </w:t>
      </w:r>
      <w:r>
        <w:t xml:space="preserve">in a statistical analysis plan is already set out by</w:t>
      </w:r>
      <w:r>
        <w:t xml:space="preserve"> </w:t>
      </w:r>
      <w:r>
        <w:t xml:space="preserve">Gruber, Lee, et al. (2024)</w:t>
      </w:r>
      <w:r>
        <w:t xml:space="preserve"> </w:t>
      </w:r>
      <w:r>
        <w:t xml:space="preserve">and</w:t>
      </w:r>
      <w:r>
        <w:t xml:space="preserve"> </w:t>
      </w:r>
      <w:r>
        <w:t xml:space="preserve">Step 5 of the roadmap</w:t>
      </w:r>
      <w:r>
        <w:t xml:space="preserve"> </w:t>
      </w:r>
      <w:r>
        <w:t xml:space="preserve">(Dang et al. 2023)</w:t>
      </w:r>
      <w:r>
        <w:t xml:space="preserve">. The contribution is a single,</w:t>
      </w:r>
      <w:r>
        <w:t xml:space="preserve"> </w:t>
      </w:r>
      <w:r>
        <w:t xml:space="preserve">prespecified, outcome-blind procedure with three parts, together with a</w:t>
      </w:r>
      <w:r>
        <w:t xml:space="preserve"> </w:t>
      </w:r>
      <w:r>
        <w:t xml:space="preserve">reproducible software implementation. First, the procedure makes</w:t>
      </w:r>
      <w:r>
        <w:t xml:space="preserve"> </w:t>
      </w:r>
      <w:r>
        <w:t xml:space="preserve">estimand feasibility a design-stage output: the same fitted propensity</w:t>
      </w:r>
      <w:r>
        <w:t xml:space="preserve"> </w:t>
      </w:r>
      <w:r>
        <w:t xml:space="preserve">score is read per estimand, an outcome-blind simulation maps where each</w:t>
      </w:r>
      <w:r>
        <w:t xml:space="preserve"> </w:t>
      </w:r>
      <w:r>
        <w:t xml:space="preserve">estimand’s estimator holds a bias tolerance at near-nominal coverage,</w:t>
      </w:r>
      <w:r>
        <w:t xml:space="preserve"> </w:t>
      </w:r>
      <w:r>
        <w:t xml:space="preserve">and a pre-registered ladder converts any switch into a logged design</w:t>
      </w:r>
      <w:r>
        <w:t xml:space="preserve"> </w:t>
      </w:r>
      <w:r>
        <w:t xml:space="preserve">decision (</w:t>
      </w:r>
      <w:hyperlink w:anchor="sec-support">
        <w:r>
          <w:rPr>
            <w:rStyle w:val="Hyperlink"/>
          </w:rPr>
          <w:t xml:space="preserve">Section 6</w:t>
        </w:r>
      </w:hyperlink>
      <w:r>
        <w:t xml:space="preserve">). In building that simulation we adopt the</w:t>
      </w:r>
      <w:r>
        <w:t xml:space="preserve"> </w:t>
      </w:r>
      <w:r>
        <w:t xml:space="preserve">generate-treatment plasmode design, because the common</w:t>
      </w:r>
      <w:r>
        <w:t xml:space="preserve"> </w:t>
      </w:r>
      <w:r>
        <w:t xml:space="preserve">sample-treatment alternative, which keeps each subject’s observed</w:t>
      </w:r>
      <w:r>
        <w:t xml:space="preserve"> </w:t>
      </w:r>
      <w:r>
        <w:t xml:space="preserve">treatment, induces a positivity violation by construction and misgrades</w:t>
      </w:r>
      <w:r>
        <w:t xml:space="preserve"> </w:t>
      </w:r>
      <w:r>
        <w:t xml:space="preserve">exactly the designs the map is meant to grade</w:t>
      </w:r>
      <w:r>
        <w:t xml:space="preserve"> </w:t>
      </w:r>
      <w:r>
        <w:t xml:space="preserve">(Shaw et al. 2025)</w:t>
      </w:r>
      <w:r>
        <w:t xml:space="preserve">.</w:t>
      </w:r>
      <w:r>
        <w:t xml:space="preserve"> </w:t>
      </w:r>
      <w:r>
        <w:t xml:space="preserve">Second, the procedure ties the qualitative fit-for-purpose threats</w:t>
      </w:r>
      <w:r>
        <w:t xml:space="preserve"> </w:t>
      </w:r>
      <w:r>
        <w:t xml:space="preserve">documented in a SPIFD2-style review</w:t>
      </w:r>
      <w:r>
        <w:t xml:space="preserve"> </w:t>
      </w:r>
      <w:r>
        <w:t xml:space="preserve">(Gatto et al. 2023)</w:t>
      </w:r>
      <w:r>
        <w:t xml:space="preserve"> </w:t>
      </w:r>
      <w:r>
        <w:t xml:space="preserve">to quantitative</w:t>
      </w:r>
      <w:r>
        <w:t xml:space="preserve"> </w:t>
      </w:r>
      <w:r>
        <w:t xml:space="preserve">estimator selection on one decision scale: we extend the outcome-blind</w:t>
      </w:r>
      <w:r>
        <w:t xml:space="preserve"> </w:t>
      </w:r>
      <w:r>
        <w:t xml:space="preserve">plasmode loop</w:t>
      </w:r>
      <w:r>
        <w:t xml:space="preserve"> </w:t>
      </w:r>
      <w:r>
        <w:t xml:space="preserve">(Dang et al. 2023; Gruber, Lee, et al. 2024; Schreck et al. 2024)</w:t>
      </w:r>
      <w:r>
        <w:t xml:space="preserve"> </w:t>
      </w:r>
      <w:r>
        <w:t xml:space="preserve">from candidate-estimator selection to estimator robustness</w:t>
      </w:r>
      <w:r>
        <w:t xml:space="preserve"> </w:t>
      </w:r>
      <w:r>
        <w:rPr>
          <w:i/>
          <w:iCs/>
        </w:rPr>
        <w:t xml:space="preserve">screening</w:t>
      </w:r>
      <w:r>
        <w:t xml:space="preserve"> </w:t>
      </w:r>
      <w:r>
        <w:t xml:space="preserve">under prespecified threat ranges, so each candidate produces a</w:t>
      </w:r>
      <w:r>
        <w:t xml:space="preserve"> </w:t>
      </w:r>
      <w:r>
        <w:t xml:space="preserve">degradation gradient on the same bias, RMSE, and coverage scale as the</w:t>
      </w:r>
      <w:r>
        <w:t xml:space="preserve"> </w:t>
      </w:r>
      <w:r>
        <w:t xml:space="preserve">baseline plasmode and the prespecified decision rule applies uniformly</w:t>
      </w:r>
      <w:r>
        <w:t xml:space="preserve"> </w:t>
      </w:r>
      <w:r>
        <w:t xml:space="preserve">across baseline and stressed scenarios. Third, we characterise the</w:t>
      </w:r>
      <w:r>
        <w:t xml:space="preserve"> </w:t>
      </w:r>
      <w:r>
        <w:t xml:space="preserve">screen’s operating characteristics as a decision rule (</w:t>
      </w:r>
      <w:hyperlink w:anchor="sec-gate-oc">
        <w:r>
          <w:rPr>
            <w:rStyle w:val="Hyperlink"/>
          </w:rPr>
          <w:t xml:space="preserve">Section 11</w:t>
        </w:r>
      </w:hyperlink>
      <w:r>
        <w:t xml:space="preserve">):</w:t>
      </w:r>
      <w:r>
        <w:t xml:space="preserve"> </w:t>
      </w:r>
      <w:r>
        <w:t xml:space="preserve">how often it returns the same proceed-or-stop verdict an oracle with</w:t>
      </w:r>
      <w:r>
        <w:t xml:space="preserve"> </w:t>
      </w:r>
      <w:r>
        <w:t xml:space="preserve">knowledge of the realised estimator’s bias would return, and how that</w:t>
      </w:r>
      <w:r>
        <w:t xml:space="preserve"> </w:t>
      </w:r>
      <w:r>
        <w:t xml:space="preserve">calibration degrades when the synthetic-outcome model is misspecified.</w:t>
      </w:r>
    </w:p>
    <w:p>
      <w:pPr>
        <w:pStyle w:val="BodyText"/>
      </w:pPr>
      <w:r>
        <w:t xml:space="preserve">The boundary with the FIORD framework is as follows. FIORD, the Forum</w:t>
      </w:r>
      <w:r>
        <w:t xml:space="preserve"> </w:t>
      </w:r>
      <w:r>
        <w:t xml:space="preserve">on the Integration of Observational and Randomized Data</w:t>
      </w:r>
      <w:r>
        <w:t xml:space="preserve"> </w:t>
      </w:r>
      <w:r>
        <w:t xml:space="preserve">(Nance et al. 2026; Kent 2026)</w:t>
      </w:r>
      <w:r>
        <w:t xml:space="preserve">, supplies the outcome-blind</w:t>
      </w:r>
      <w:r>
        <w:t xml:space="preserve"> </w:t>
      </w:r>
      <w:r>
        <w:t xml:space="preserve">candidate-evaluation loop and the two-stage selector that first screens</w:t>
      </w:r>
      <w:r>
        <w:t xml:space="preserve"> </w:t>
      </w:r>
      <w:r>
        <w:t xml:space="preserve">candidates on oracle coverage and then selects a variance method. This paper</w:t>
      </w:r>
      <w:r>
        <w:t xml:space="preserve"> </w:t>
      </w:r>
      <w:r>
        <w:t xml:space="preserve">contributes the software implementation of that loop, the data-quality</w:t>
      </w:r>
      <w:r>
        <w:t xml:space="preserve"> </w:t>
      </w:r>
      <w:r>
        <w:t xml:space="preserve">stress-test extension that scores each candidate under prespecified threats on</w:t>
      </w:r>
      <w:r>
        <w:t xml:space="preserve"> </w:t>
      </w:r>
      <w:r>
        <w:t xml:space="preserve">the same decision scale, and the lock, audit, and pre-outcome-decision record.</w:t>
      </w:r>
      <w:r>
        <w:t xml:space="preserve"> </w:t>
      </w:r>
      <w:r>
        <w:t xml:space="preserve">We hold to this division of labour throughout, and we do not claim the</w:t>
      </w:r>
      <w:r>
        <w:t xml:space="preserve"> </w:t>
      </w:r>
      <w:r>
        <w:t xml:space="preserve">outcome-blind selection framework as original to this work.</w:t>
      </w:r>
    </w:p>
    <w:p>
      <w:pPr>
        <w:pStyle w:val="BodyText"/>
      </w:pPr>
      <w:r>
        <w:t xml:space="preserve">We position the screen as a quantitative supplement to fit-for-purpose</w:t>
      </w:r>
      <w:r>
        <w:t xml:space="preserve"> </w:t>
      </w:r>
      <w:r>
        <w:t xml:space="preserve">review (</w:t>
      </w:r>
      <w:hyperlink w:anchor="sec-bridge">
        <w:r>
          <w:rPr>
            <w:rStyle w:val="Hyperlink"/>
          </w:rPr>
          <w:t xml:space="preserve">Section 8</w:t>
        </w:r>
      </w:hyperlink>
      <w:r>
        <w:t xml:space="preserve">) and not a substitute for variable-validation</w:t>
      </w:r>
      <w:r>
        <w:t xml:space="preserve"> </w:t>
      </w:r>
      <w:r>
        <w:t xml:space="preserve">studies, source-data assessment, or post-outcome quantitative bias</w:t>
      </w:r>
      <w:r>
        <w:t xml:space="preserve"> </w:t>
      </w:r>
      <w:r>
        <w:t xml:space="preserve">analysis, and we are explicit (</w:t>
      </w:r>
      <w:hyperlink w:anchor="sec-guarantees">
        <w:r>
          <w:rPr>
            <w:rStyle w:val="Hyperlink"/>
          </w:rPr>
          <w:t xml:space="preserve">Section 8.5</w:t>
        </w:r>
      </w:hyperlink>
      <w:r>
        <w:t xml:space="preserve">) about what passing it does</w:t>
      </w:r>
      <w:r>
        <w:t xml:space="preserve"> </w:t>
      </w:r>
      <w:r>
        <w:t xml:space="preserve">and does not establish. The R implementation records the supporting</w:t>
      </w:r>
      <w:r>
        <w:t xml:space="preserve"> </w:t>
      </w:r>
      <w:r>
        <w:t xml:space="preserve">prespecification (the SHA-256-fingerprinted analysis lock, the audit</w:t>
      </w:r>
      <w:r>
        <w:t xml:space="preserve"> </w:t>
      </w:r>
      <w:r>
        <w:t xml:space="preserve">trail, the decision log, and the pre-outcome decision) so that the screen</w:t>
      </w:r>
      <w:r>
        <w:t xml:space="preserve"> </w:t>
      </w:r>
      <w:r>
        <w:t xml:space="preserve">and the locked primary analysis share a single reproducible record.</w:t>
      </w:r>
    </w:p>
    <w:p>
      <w:pPr>
        <w:pStyle w:val="BodyText"/>
      </w:pPr>
      <w:r>
        <w:t xml:space="preserve">For an applied real-world evidence team the operational payoff is</w:t>
      </w:r>
      <w:r>
        <w:t xml:space="preserve"> </w:t>
      </w:r>
      <w:r>
        <w:t xml:space="preserve">concrete. Prespecifying the estimand, the candidate estimators, the</w:t>
      </w:r>
      <w:r>
        <w:t xml:space="preserve"> </w:t>
      </w:r>
      <w:r>
        <w:t xml:space="preserve">learner libraries, and the decision thresholds inside a fingerprinted</w:t>
      </w:r>
      <w:r>
        <w:t xml:space="preserve"> </w:t>
      </w:r>
      <w:r>
        <w:t xml:space="preserve">lock, and recording every pre-outcome diagnostic in an exportable audit</w:t>
      </w:r>
      <w:r>
        <w:t xml:space="preserve"> </w:t>
      </w:r>
      <w:r>
        <w:t xml:space="preserve">trail, gives a reviewer a record that can be reconstructed without</w:t>
      </w:r>
      <w:r>
        <w:t xml:space="preserve"> </w:t>
      </w:r>
      <w:r>
        <w:t xml:space="preserve">relying on the analyst’s recollection of which choice was made when.</w:t>
      </w:r>
      <w:r>
        <w:t xml:space="preserve"> </w:t>
      </w:r>
      <w:r>
        <w:t xml:space="preserve">This addresses a recurring concern in real-world evidence submissions,</w:t>
      </w:r>
      <w:r>
        <w:t xml:space="preserve"> </w:t>
      </w:r>
      <w:r>
        <w:t xml:space="preserve">that analytic choices may have been shaped by the observed</w:t>
      </w:r>
      <w:r>
        <w:t xml:space="preserve"> </w:t>
      </w:r>
      <w:r>
        <w:t xml:space="preserve">treatment-outcome association</w:t>
      </w:r>
      <w:r>
        <w:t xml:space="preserve"> </w:t>
      </w:r>
      <w:r>
        <w:t xml:space="preserve">(Muntner et al. 2024)</w:t>
      </w:r>
      <w:r>
        <w:t xml:space="preserve">. The same record</w:t>
      </w:r>
      <w:r>
        <w:t xml:space="preserve"> </w:t>
      </w:r>
      <w:r>
        <w:t xml:space="preserve">reduces post-hoc disputes over truncation, learner library, and cohort</w:t>
      </w:r>
      <w:r>
        <w:t xml:space="preserve"> </w:t>
      </w:r>
      <w:r>
        <w:t xml:space="preserve">decisions, because each is timestamped before the outcome is read. The</w:t>
      </w:r>
      <w:r>
        <w:t xml:space="preserve"> </w:t>
      </w:r>
      <w:r>
        <w:t xml:space="preserve">cost is the discipline of fixing these choices in advance and the</w:t>
      </w:r>
      <w:r>
        <w:t xml:space="preserve"> </w:t>
      </w:r>
      <w:r>
        <w:t xml:space="preserve">compute time of the plasmode and data-quality runs, both of which fit</w:t>
      </w:r>
      <w:r>
        <w:t xml:space="preserve"> </w:t>
      </w:r>
      <w:r>
        <w:t xml:space="preserve">inside a conventional statistical-analysis-plan timeline.</w:t>
      </w:r>
    </w:p>
    <w:p>
      <w:pPr>
        <w:pStyle w:val="BodyText"/>
      </w:pPr>
      <w:r>
        <w:t xml:space="preserve">The practical consequence is visible when the same fitted estimators are</w:t>
      </w:r>
      <w:r>
        <w:t xml:space="preserve"> </w:t>
      </w:r>
      <w:r>
        <w:t xml:space="preserve">read under a conventional pipeline and under the staged workflow</w:t>
      </w:r>
      <w:r>
        <w:t xml:space="preserve"> </w:t>
      </w:r>
      <w:r>
        <w:t xml:space="preserve">(</w:t>
      </w:r>
      <w:hyperlink w:anchor="tbl-workflow-contrast">
        <w:r>
          <w:rPr>
            <w:rStyle w:val="Hyperlink"/>
          </w:rPr>
          <w:t xml:space="preserve">Table 6</w:t>
        </w:r>
      </w:hyperlink>
      <w:r>
        <w:t xml:space="preserve">). Under good overlap the two agree. Under</w:t>
      </w:r>
      <w:r>
        <w:t xml:space="preserve"> </w:t>
      </w:r>
      <w:r>
        <w:t xml:space="preserve">marginal overlap the workflow flags the IPTW variance calibration before</w:t>
      </w:r>
      <w:r>
        <w:t xml:space="preserve"> </w:t>
      </w:r>
      <w:r>
        <w:t xml:space="preserve">unblinding, where the conventional pipeline relies on a reviewer to</w:t>
      </w:r>
      <w:r>
        <w:t xml:space="preserve"> </w:t>
      </w:r>
      <w:r>
        <w:t xml:space="preserve">notice it. Under unmeasured confounding of a prespecified strength the</w:t>
      </w:r>
      <w:r>
        <w:t xml:space="preserve"> </w:t>
      </w:r>
      <w:r>
        <w:t xml:space="preserve">staged decision rule returns STOP and the locked primary analysis does</w:t>
      </w:r>
      <w:r>
        <w:t xml:space="preserve"> </w:t>
      </w:r>
      <w:r>
        <w:t xml:space="preserve">not run, whereas the conventional pipeline reports an estimate biased</w:t>
      </w:r>
      <w:r>
        <w:t xml:space="preserve"> </w:t>
      </w:r>
      <w:r>
        <w:t xml:space="preserve">toward the null (mean bias about 0.037 toward zero,</w:t>
      </w:r>
      <w:r>
        <w:t xml:space="preserve"> </w:t>
      </w:r>
      <w:r>
        <w:t xml:space="preserve">roughly twice the 0.02 threshold, so the realised risk difference of</w:t>
      </w:r>
      <w:r>
        <w:t xml:space="preserve"> </w:t>
      </w:r>
      <w:r>
        <w:t xml:space="preserve">about -0.005 attenuates the true -0.042),</w:t>
      </w:r>
      <w:r>
        <w:t xml:space="preserve"> </w:t>
      </w:r>
      <w:r>
        <w:t xml:space="preserve">with 95% CI coverage of the true effect near 0.42 and</w:t>
      </w:r>
      <w:r>
        <w:t xml:space="preserve"> </w:t>
      </w:r>
      <w:r>
        <w:t xml:space="preserve">only about 6% of replicate intervals</w:t>
      </w:r>
      <w:r>
        <w:t xml:space="preserve"> </w:t>
      </w:r>
      <w:r>
        <w:t xml:space="preserve">excluding zero. A conventional analysis would therefore typically report</w:t>
      </w:r>
      <w:r>
        <w:t xml:space="preserve"> </w:t>
      </w:r>
      <w:r>
        <w:t xml:space="preserve">no significant effect and publish a null that masks a real one. The contrast here is</w:t>
      </w:r>
      <w:r>
        <w:t xml:space="preserve"> </w:t>
      </w:r>
      <w:r>
        <w:t xml:space="preserve">genuine rather than rhetorical: under this prespecified</w:t>
      </w:r>
      <w:r>
        <w:t xml:space="preserve"> </w:t>
      </w:r>
      <w:r>
        <w:t xml:space="preserve">unmeasured-confounding scenario the realised measured-covariate analysis</w:t>
      </w:r>
      <w:r>
        <w:t xml:space="preserve"> </w:t>
      </w:r>
      <w:r>
        <w:t xml:space="preserve">is materially biased and under-covering, so both a realised-bias oracle</w:t>
      </w:r>
      <w:r>
        <w:t xml:space="preserve"> </w:t>
      </w:r>
      <w:r>
        <w:t xml:space="preserve">and the outcome-blind screen flag it (detection and fragility agree),</w:t>
      </w:r>
      <w:r>
        <w:t xml:space="preserve"> </w:t>
      </w:r>
      <w:r>
        <w:t xml:space="preserve">and a conventional pipeline would publish a genuinely misleading null.</w:t>
      </w:r>
      <w:r>
        <w:t xml:space="preserve"> </w:t>
      </w:r>
      <w:r>
        <w:t xml:space="preserve">The</w:t>
      </w:r>
      <w:r>
        <w:t xml:space="preserve"> </w:t>
      </w:r>
      <w:r>
        <w:t xml:space="preserve">fits are identical under both pipelines; the difference is the</w:t>
      </w:r>
      <w:r>
        <w:t xml:space="preserve"> </w:t>
      </w:r>
      <w:r>
        <w:t xml:space="preserve">prespecified decision applied before the outcome is read.</w:t>
      </w:r>
    </w:p>
    <w:bookmarkEnd w:id="25"/>
    <w:bookmarkStart w:id="26" w:name="Xf8398cd67a288fbb13e53a8d1c35308a20e37cd"/>
    <w:p>
      <w:pPr>
        <w:pStyle w:val="Heading2"/>
      </w:pPr>
      <w:r>
        <w:t xml:space="preserve">1.6 Why targeted learning for an outcome-blind workflow</w:t>
      </w:r>
    </w:p>
    <w:p>
      <w:pPr>
        <w:pStyle w:val="FirstParagraph"/>
      </w:pPr>
      <w:r>
        <w:t xml:space="preserve">An outcome-blind workflow fixes the estimator before the</w:t>
      </w:r>
      <w:r>
        <w:t xml:space="preserve"> </w:t>
      </w:r>
      <w:r>
        <w:t xml:space="preserve">treatment-outcome association is read, so the estimator must have a target</w:t>
      </w:r>
      <w:r>
        <w:t xml:space="preserve"> </w:t>
      </w:r>
      <w:r>
        <w:t xml:space="preserve">that is declared in advance and that does not depend on how the nuisance</w:t>
      </w:r>
      <w:r>
        <w:t xml:space="preserve"> </w:t>
      </w:r>
      <w:r>
        <w:t xml:space="preserve">models are fit. Targeted maximum likelihood estimation has this structure.</w:t>
      </w:r>
      <w:r>
        <w:t xml:space="preserve"> </w:t>
      </w:r>
      <w:r>
        <w:t xml:space="preserve">The target parameter, here the marginal risk difference, is specified before</w:t>
      </w:r>
      <w:r>
        <w:t xml:space="preserve"> </w:t>
      </w:r>
      <w:r>
        <w:t xml:space="preserve">estimation, and the propensity-score and outcome models are nuisance fits</w:t>
      </w:r>
      <w:r>
        <w:t xml:space="preserve"> </w:t>
      </w:r>
      <w:r>
        <w:t xml:space="preserve">that can be learned by flexible, data-adaptive methods without changing the</w:t>
      </w:r>
      <w:r>
        <w:t xml:space="preserve"> </w:t>
      </w:r>
      <w:r>
        <w:t xml:space="preserve">target. The targeting step then removes the plug-in bias of the initial</w:t>
      </w:r>
      <w:r>
        <w:t xml:space="preserve"> </w:t>
      </w:r>
      <w:r>
        <w:t xml:space="preserve">outcome fit using the propensity score, so the bias of the final estimator</w:t>
      </w:r>
      <w:r>
        <w:t xml:space="preserve"> </w:t>
      </w:r>
      <w:r>
        <w:t xml:space="preserve">does not depend on the quality of any single nuisance model in the way a</w:t>
      </w:r>
      <w:r>
        <w:t xml:space="preserve"> </w:t>
      </w:r>
      <w:r>
        <w:t xml:space="preserve">plug-in or single-model estimator does.</w:t>
      </w:r>
      <w:r>
        <w:t xml:space="preserve"> </w:t>
      </w:r>
      <w:r>
        <w:t xml:space="preserve"> </w:t>
      </w:r>
      <w:r>
        <w:t xml:space="preserve">This double-robustness property, that a consistent estimate follows if</w:t>
      </w:r>
      <w:r>
        <w:t xml:space="preserve"> </w:t>
      </w:r>
      <w:r>
        <w:t xml:space="preserve">either the propensity or the outcome model is correctly specified, is</w:t>
      </w:r>
      <w:r>
        <w:t xml:space="preserve"> </w:t>
      </w:r>
      <w:r>
        <w:t xml:space="preserve">shared with augmented inverse-probability weighting. The candidate estimators are</w:t>
      </w:r>
      <w:r>
        <w:t xml:space="preserve"> </w:t>
      </w:r>
      <w:r>
        <w:t xml:space="preserve">enumerable, which is what makes outcome-blind selection among them feasible:</w:t>
      </w:r>
      <w:r>
        <w:t xml:space="preserve"> </w:t>
      </w:r>
      <w:r>
        <w:t xml:space="preserve">each candidate is a fixed choice of nuisance libraries, truncation, and</w:t>
      </w:r>
      <w:r>
        <w:t xml:space="preserve"> </w:t>
      </w:r>
      <w:r>
        <w:t xml:space="preserve">cross-fitting, and the candidates can be ranked on synthetic data before the</w:t>
      </w:r>
      <w:r>
        <w:t xml:space="preserve"> </w:t>
      </w:r>
      <w:r>
        <w:t xml:space="preserve">outcome is unblinded. A logistic outcome regression or an inverse-probability</w:t>
      </w:r>
      <w:r>
        <w:t xml:space="preserve"> </w:t>
      </w:r>
      <w:r>
        <w:t xml:space="preserve">weight does not separate the target from the model in this way, which is why</w:t>
      </w:r>
      <w:r>
        <w:t xml:space="preserve"> </w:t>
      </w:r>
      <w:r>
        <w:t xml:space="preserve">the workflow is built on targeted learning.</w:t>
      </w:r>
    </w:p>
    <w:p>
      <w:pPr>
        <w:pStyle w:val="BodyText"/>
      </w:pPr>
      <w:r>
        <w:t xml:space="preserve">The next section (</w:t>
      </w:r>
      <w:hyperlink w:anchor="sec-roadmap">
        <w:r>
          <w:rPr>
            <w:rStyle w:val="Hyperlink"/>
          </w:rPr>
          <w:t xml:space="preserve">Section 2</w:t>
        </w:r>
      </w:hyperlink>
      <w:r>
        <w:t xml:space="preserve">) places these contributions inside the causal</w:t>
      </w:r>
      <w:r>
        <w:t xml:space="preserve"> </w:t>
      </w:r>
      <w:r>
        <w:t xml:space="preserve">roadmap, and subsequent sections follow that roadmap order.</w:t>
      </w:r>
    </w:p>
    <w:bookmarkEnd w:id="26"/>
    <w:bookmarkEnd w:id="27"/>
    <w:bookmarkStart w:id="28" w:name="sec-roadmap"/>
    <w:p>
      <w:pPr>
        <w:pStyle w:val="Heading1"/>
      </w:pPr>
      <w:r>
        <w:t xml:space="preserve">2. The causal roadmap and the role of cleanTMLE</w:t>
      </w:r>
    </w:p>
    <w:p>
      <w:pPr>
        <w:pStyle w:val="FirstParagraph"/>
      </w:pPr>
      <w:r>
        <w:t xml:space="preserve">cleanTMLE is designed to encourage the analyst to follow the causal</w:t>
      </w:r>
      <w:r>
        <w:t xml:space="preserve"> </w:t>
      </w:r>
      <w:r>
        <w:t xml:space="preserve">roadmap of</w:t>
      </w:r>
      <w:r>
        <w:t xml:space="preserve"> </w:t>
      </w:r>
      <w:r>
        <w:t xml:space="preserve">Petersen and Laan (2014)</w:t>
      </w:r>
      <w:r>
        <w:t xml:space="preserve"> </w:t>
      </w:r>
      <w:r>
        <w:t xml:space="preserve">and</w:t>
      </w:r>
      <w:r>
        <w:t xml:space="preserve"> </w:t>
      </w:r>
      <w:r>
        <w:t xml:space="preserve">Dang et al. (2023)</w:t>
      </w:r>
      <w:r>
        <w:t xml:space="preserve"> </w:t>
      </w:r>
      <w:r>
        <w:t xml:space="preserve">when defining and</w:t>
      </w:r>
      <w:r>
        <w:t xml:space="preserve"> </w:t>
      </w:r>
      <w:r>
        <w:t xml:space="preserve">executing the analysis. The roadmap sets out an explicit, prespecified</w:t>
      </w:r>
      <w:r>
        <w:t xml:space="preserve"> </w:t>
      </w:r>
      <w:r>
        <w:t xml:space="preserve">sequence of seven steps: (1) state the causal question, causal model, and</w:t>
      </w:r>
      <w:r>
        <w:t xml:space="preserve"> </w:t>
      </w:r>
      <w:r>
        <w:t xml:space="preserve">causal estimand; (2) characterise the observed data and their fitness for</w:t>
      </w:r>
      <w:r>
        <w:t xml:space="preserve"> </w:t>
      </w:r>
      <w:r>
        <w:t xml:space="preserve">the target trial; (3) assess identifiability; (4) define the statistical</w:t>
      </w:r>
      <w:r>
        <w:t xml:space="preserve"> </w:t>
      </w:r>
      <w:r>
        <w:t xml:space="preserve">estimand; (5) choose a statistical model and estimator with prespecified</w:t>
      </w:r>
      <w:r>
        <w:t xml:space="preserve"> </w:t>
      </w:r>
      <w:r>
        <w:t xml:space="preserve">operating characteristics, using outcome-blind simulation and targeted</w:t>
      </w:r>
      <w:r>
        <w:t xml:space="preserve"> </w:t>
      </w:r>
      <w:r>
        <w:t xml:space="preserve">learning; (6) specify a procedure for sensitivity analysis to violations</w:t>
      </w:r>
      <w:r>
        <w:t xml:space="preserve"> </w:t>
      </w:r>
      <w:r>
        <w:t xml:space="preserve">of the identification assumptions; and (7) compare alternative study</w:t>
      </w:r>
      <w:r>
        <w:t xml:space="preserve"> </w:t>
      </w:r>
      <w:r>
        <w:t xml:space="preserve">designs, again using outcome-blind simulation</w:t>
      </w:r>
      <w:r>
        <w:t xml:space="preserve"> </w:t>
      </w:r>
      <w:r>
        <w:t xml:space="preserve">(Dang et al. 2023)</w:t>
      </w:r>
      <w:r>
        <w:t xml:space="preserve">. The</w:t>
      </w:r>
      <w:r>
        <w:t xml:space="preserve"> </w:t>
      </w:r>
      <w:r>
        <w:t xml:space="preserve">package applies this roadmap to a staged analysis in the sense of</w:t>
      </w:r>
      <w:r>
        <w:t xml:space="preserve"> </w:t>
      </w:r>
      <w:r>
        <w:t xml:space="preserve">Muntner et al. (2024)</w:t>
      </w:r>
      <w:r>
        <w:t xml:space="preserve">. It operationalises Step 5 through outcome-blind</w:t>
      </w:r>
      <w:r>
        <w:t xml:space="preserve"> </w:t>
      </w:r>
      <w:r>
        <w:t xml:space="preserve">plasmode estimator selection and TMLE estimators, contributes the</w:t>
      </w:r>
      <w:r>
        <w:t xml:space="preserve"> </w:t>
      </w:r>
      <w:r>
        <w:t xml:space="preserve">data-quality stress test as an extension of Steps 5 and 7, and records</w:t>
      </w:r>
      <w:r>
        <w:t xml:space="preserve"> </w:t>
      </w:r>
      <w:r>
        <w:t xml:space="preserve">the Step 6 sensitivity analyses. The support assessment and estimand</w:t>
      </w:r>
      <w:r>
        <w:t xml:space="preserve"> </w:t>
      </w:r>
      <w:r>
        <w:t xml:space="preserve">ladder of</w:t>
      </w:r>
      <w:r>
        <w:t xml:space="preserve"> </w:t>
      </w:r>
      <w:hyperlink w:anchor="sec-support">
        <w:r>
          <w:rPr>
            <w:rStyle w:val="Hyperlink"/>
          </w:rPr>
          <w:t xml:space="preserve">Section 6</w:t>
        </w:r>
      </w:hyperlink>
      <w:r>
        <w:t xml:space="preserve"> </w:t>
      </w:r>
      <w:r>
        <w:t xml:space="preserve">operationalise the positivity portion of Step 3</w:t>
      </w:r>
      <w:r>
        <w:t xml:space="preserve"> </w:t>
      </w:r>
      <w:r>
        <w:t xml:space="preserve">and the estimand revision that Step 4 requires when identification</w:t>
      </w:r>
      <w:r>
        <w:t xml:space="preserve"> </w:t>
      </w:r>
      <w:r>
        <w:t xml:space="preserve">fails in the practical sense</w:t>
      </w:r>
      <w:r>
        <w:t xml:space="preserve"> </w:t>
      </w:r>
      <w:r>
        <w:t xml:space="preserve">(Petersen et al. 2012)</w:t>
      </w:r>
      <w:r>
        <w:t xml:space="preserve">. The remainder</w:t>
      </w:r>
      <w:r>
        <w:t xml:space="preserve"> </w:t>
      </w:r>
      <w:r>
        <w:t xml:space="preserve">of Steps 1 to 4 is external study-level work, supported by</w:t>
      </w:r>
      <w:r>
        <w:t xml:space="preserve"> </w:t>
      </w:r>
      <w:r>
        <w:t xml:space="preserve">target-trial templates</w:t>
      </w:r>
      <w:r>
        <w:t xml:space="preserve"> </w:t>
      </w:r>
      <w:r>
        <w:t xml:space="preserve">(M. A. Hernán and Robins 2016; Cashin et al. 2024)</w:t>
      </w:r>
      <w:r>
        <w:t xml:space="preserve">, fit-for-purpose checklists</w:t>
      </w:r>
      <w:r>
        <w:t xml:space="preserve"> </w:t>
      </w:r>
      <w:r>
        <w:t xml:space="preserve">(Gatto et al. 2023; Wang, Sreedhara, and Schneeweiss 2023)</w:t>
      </w:r>
      <w:r>
        <w:t xml:space="preserve">, and source-specific data-relevance</w:t>
      </w:r>
      <w:r>
        <w:t xml:space="preserve"> </w:t>
      </w:r>
      <w:r>
        <w:t xml:space="preserve">and reliability assessments</w:t>
      </w:r>
      <w:r>
        <w:t xml:space="preserve"> </w:t>
      </w:r>
      <w:r>
        <w:t xml:space="preserve">(U.S. Food and Drug Administration 2024a, 2024b, 2021; European Medicines Agency 2024, 2026)</w:t>
      </w:r>
      <w:r>
        <w:t xml:space="preserve">.</w:t>
      </w:r>
    </w:p>
    <w:p>
      <w:pPr>
        <w:pStyle w:val="BodyText"/>
      </w:pPr>
      <w:r>
        <w:t xml:space="preserve">To keep the estimand, estimator, simulation, and governance decision</w:t>
      </w:r>
      <w:r>
        <w:t xml:space="preserve"> </w:t>
      </w:r>
      <w:r>
        <w:t xml:space="preserve">distinct, the manuscript uses a fixed vocabulary for the conceptual</w:t>
      </w:r>
      <w:r>
        <w:t xml:space="preserve"> </w:t>
      </w:r>
      <w:r>
        <w:t xml:space="preserve">layers of the workflow, defined in</w:t>
      </w:r>
      <w:r>
        <w:t xml:space="preserve"> </w:t>
      </w:r>
      <w:hyperlink w:anchor="tbl-layers">
        <w:r>
          <w:rPr>
            <w:rStyle w:val="Hyperlink"/>
          </w:rPr>
          <w:t xml:space="preserve">Table 14</w:t>
        </w:r>
      </w:hyperlink>
      <w:r>
        <w:t xml:space="preserve"> </w:t>
      </w:r>
      <w:r>
        <w:t xml:space="preserve">(Appendix).</w:t>
      </w:r>
      <w:r>
        <w:t xml:space="preserve"> </w:t>
      </w:r>
      <w:hyperlink w:anchor="fig-roadmap">
        <w:r>
          <w:rPr>
            <w:rStyle w:val="Hyperlink"/>
          </w:rPr>
          <w:t xml:space="preserve">Figure 7</w:t>
        </w:r>
      </w:hyperlink>
      <w:r>
        <w:t xml:space="preserve"> </w:t>
      </w:r>
      <w:r>
        <w:t xml:space="preserve">(Appendix) places the package inside the roadmap, shading the steps it</w:t>
      </w:r>
      <w:r>
        <w:t xml:space="preserve"> </w:t>
      </w:r>
      <w:r>
        <w:t xml:space="preserve">can operationalise, and</w:t>
      </w:r>
      <w:r>
        <w:t xml:space="preserve"> </w:t>
      </w:r>
      <w:hyperlink w:anchor="fig-governance">
        <w:r>
          <w:rPr>
            <w:rStyle w:val="Hyperlink"/>
          </w:rPr>
          <w:t xml:space="preserve">Figure 8</w:t>
        </w:r>
      </w:hyperlink>
      <w:r>
        <w:t xml:space="preserve"> </w:t>
      </w:r>
      <w:r>
        <w:t xml:space="preserve">situates the software</w:t>
      </w:r>
      <w:r>
        <w:t xml:space="preserve"> </w:t>
      </w:r>
      <w:r>
        <w:t xml:space="preserve">arrangement within the broader governance stack of external validation,</w:t>
      </w:r>
      <w:r>
        <w:t xml:space="preserve"> </w:t>
      </w:r>
      <w:r>
        <w:t xml:space="preserve">independent oversight, and data standards. A full mapping of each</w:t>
      </w:r>
      <w:r>
        <w:t xml:space="preserve"> </w:t>
      </w:r>
      <w:r>
        <w:t xml:space="preserve">roadmap component to the relevant FDA, EMA, and ICH expectation, to what</w:t>
      </w:r>
      <w:r>
        <w:t xml:space="preserve"> </w:t>
      </w:r>
      <w:r>
        <w:t xml:space="preserve">cleanTMLE operationalises in software, and to what still requires</w:t>
      </w:r>
      <w:r>
        <w:t xml:space="preserve"> </w:t>
      </w:r>
      <w:r>
        <w:t xml:space="preserve">external study-level justification is given in</w:t>
      </w:r>
      <w:r>
        <w:t xml:space="preserve"> </w:t>
      </w:r>
      <w:hyperlink w:anchor="tbl-reg-align">
        <w:r>
          <w:rPr>
            <w:rStyle w:val="Hyperlink"/>
          </w:rPr>
          <w:t xml:space="preserve">Table 15</w:t>
        </w:r>
      </w:hyperlink>
      <w:r>
        <w:t xml:space="preserve">, and</w:t>
      </w:r>
      <w:r>
        <w:t xml:space="preserve"> </w:t>
      </w:r>
      <w:hyperlink w:anchor="tbl-event-diag">
        <w:r>
          <w:rPr>
            <w:rStyle w:val="Hyperlink"/>
          </w:rPr>
          <w:t xml:space="preserve">Table 16</w:t>
        </w:r>
      </w:hyperlink>
      <w:r>
        <w:t xml:space="preserve"> </w:t>
      </w:r>
      <w:r>
        <w:t xml:space="preserve">lists the additional event-process and diagnostic</w:t>
      </w:r>
      <w:r>
        <w:t xml:space="preserve"> </w:t>
      </w:r>
      <w:r>
        <w:t xml:space="preserve">helpers. We return to the regulatory correspondence in</w:t>
      </w:r>
      <w:r>
        <w:t xml:space="preserve"> </w:t>
      </w:r>
      <w:hyperlink w:anchor="sec-discussion">
        <w:r>
          <w:rPr>
            <w:rStyle w:val="Hyperlink"/>
          </w:rPr>
          <w:t xml:space="preserve">Section 13</w:t>
        </w:r>
      </w:hyperlink>
      <w:r>
        <w:t xml:space="preserve"> </w:t>
      </w:r>
      <w:r>
        <w:t xml:space="preserve">rather than developing it in the methods, because the software</w:t>
      </w:r>
      <w:r>
        <w:t xml:space="preserve"> </w:t>
      </w:r>
      <w:r>
        <w:t xml:space="preserve">operationalises only part of each expectation.</w:t>
      </w:r>
    </w:p>
    <w:p>
      <w:pPr>
        <w:pStyle w:val="BodyText"/>
      </w:pPr>
      <w:r>
        <w:t xml:space="preserve">The remaining methods sections follow the roadmap order.</w:t>
      </w:r>
      <w:r>
        <w:t xml:space="preserve"> </w:t>
      </w:r>
      <w:hyperlink w:anchor="sec-estimand">
        <w:r>
          <w:rPr>
            <w:rStyle w:val="Hyperlink"/>
          </w:rPr>
          <w:t xml:space="preserve">Section 4</w:t>
        </w:r>
      </w:hyperlink>
      <w:r>
        <w:t xml:space="preserve"> </w:t>
      </w:r>
      <w:r>
        <w:t xml:space="preserve">states the target-trial estimand and identification assumptions</w:t>
      </w:r>
      <w:r>
        <w:t xml:space="preserve"> </w:t>
      </w:r>
      <w:r>
        <w:t xml:space="preserve">used in the simulation.</w:t>
      </w:r>
      <w:r>
        <w:t xml:space="preserve"> </w:t>
      </w:r>
      <w:hyperlink w:anchor="sec-framework">
        <w:r>
          <w:rPr>
            <w:rStyle w:val="Hyperlink"/>
          </w:rPr>
          <w:t xml:space="preserve">Section 5</w:t>
        </w:r>
      </w:hyperlink>
      <w:r>
        <w:t xml:space="preserve"> </w:t>
      </w:r>
      <w:r>
        <w:t xml:space="preserve">describes the staged workflow</w:t>
      </w:r>
      <w:r>
        <w:t xml:space="preserve"> </w:t>
      </w:r>
      <w:r>
        <w:t xml:space="preserve">and the lock and design-log records.</w:t>
      </w:r>
      <w:r>
        <w:t xml:space="preserve"> </w:t>
      </w:r>
      <w:hyperlink w:anchor="sec-support">
        <w:r>
          <w:rPr>
            <w:rStyle w:val="Hyperlink"/>
          </w:rPr>
          <w:t xml:space="preserve">Section 6</w:t>
        </w:r>
      </w:hyperlink>
      <w:r>
        <w:t xml:space="preserve"> </w:t>
      </w:r>
      <w:r>
        <w:t xml:space="preserve">develops the support</w:t>
      </w:r>
      <w:r>
        <w:t xml:space="preserve"> </w:t>
      </w:r>
      <w:r>
        <w:t xml:space="preserve">assessment, the per-estimand feasibility map, and the estimand ladder,</w:t>
      </w:r>
      <w:r>
        <w:t xml:space="preserve"> </w:t>
      </w:r>
      <w:r>
        <w:t xml:space="preserve">the design-stage answer to the estimability question.</w:t>
      </w:r>
      <w:r>
        <w:t xml:space="preserve"> </w:t>
      </w:r>
      <w:hyperlink w:anchor="sec-dq">
        <w:r>
          <w:rPr>
            <w:rStyle w:val="Hyperlink"/>
          </w:rPr>
          <w:t xml:space="preserve">Section 7</w:t>
        </w:r>
      </w:hyperlink>
      <w:r>
        <w:t xml:space="preserve"> </w:t>
      </w:r>
      <w:r>
        <w:t xml:space="preserve">introduces the DQ stress</w:t>
      </w:r>
      <w:r>
        <w:t xml:space="preserve"> </w:t>
      </w:r>
      <w:r>
        <w:t xml:space="preserve">test, including a threat-to-assumption matrix that is explicit</w:t>
      </w:r>
      <w:r>
        <w:t xml:space="preserve"> </w:t>
      </w:r>
      <w:r>
        <w:t xml:space="preserve">about what each scenario probes and what it does not probe, and</w:t>
      </w:r>
      <w:r>
        <w:t xml:space="preserve"> </w:t>
      </w:r>
      <w:r>
        <w:t xml:space="preserve">discusses calibration of severity ranges from external evidence.</w:t>
      </w:r>
      <w:r>
        <w:t xml:space="preserve"> </w:t>
      </w:r>
      <w:hyperlink w:anchor="sec-bridge">
        <w:r>
          <w:rPr>
            <w:rStyle w:val="Hyperlink"/>
          </w:rPr>
          <w:t xml:space="preserve">Section 8</w:t>
        </w:r>
      </w:hyperlink>
      <w:r>
        <w:t xml:space="preserve"> </w:t>
      </w:r>
      <w:r>
        <w:t xml:space="preserve">reframes the DQ stress test as a quantitative</w:t>
      </w:r>
      <w:r>
        <w:t xml:space="preserve"> </w:t>
      </w:r>
      <w:r>
        <w:rPr>
          <w:i/>
          <w:iCs/>
        </w:rPr>
        <w:t xml:space="preserve">supplement</w:t>
      </w:r>
      <w:r>
        <w:t xml:space="preserve"> </w:t>
      </w:r>
      <w:r>
        <w:t xml:space="preserve">to fit-for-purpose review rather than a replacement</w:t>
      </w:r>
      <w:r>
        <w:t xml:space="preserve"> </w:t>
      </w:r>
      <w:r>
        <w:t xml:space="preserve">for it.</w:t>
      </w:r>
      <w:r>
        <w:t xml:space="preserve"> </w:t>
      </w:r>
      <w:hyperlink w:anchor="sec-implementation">
        <w:r>
          <w:rPr>
            <w:rStyle w:val="Hyperlink"/>
          </w:rPr>
          <w:t xml:space="preserve">Section 9</w:t>
        </w:r>
      </w:hyperlink>
      <w:r>
        <w:t xml:space="preserve">–</w:t>
      </w:r>
      <w:hyperlink w:anchor="sec-casestudy">
        <w:r>
          <w:rPr>
            <w:rStyle w:val="Hyperlink"/>
          </w:rPr>
          <w:t xml:space="preserve">Section 12</w:t>
        </w:r>
      </w:hyperlink>
      <w:r>
        <w:t xml:space="preserve"> </w:t>
      </w:r>
      <w:r>
        <w:t xml:space="preserve">report</w:t>
      </w:r>
      <w:r>
        <w:t xml:space="preserve"> </w:t>
      </w:r>
      <w:r>
        <w:t xml:space="preserve">the implementation, the simulation, and the case study;</w:t>
      </w:r>
      <w:r>
        <w:t xml:space="preserve"> </w:t>
      </w:r>
      <w:hyperlink w:anchor="sec-discussion">
        <w:r>
          <w:rPr>
            <w:rStyle w:val="Hyperlink"/>
          </w:rPr>
          <w:t xml:space="preserve">Section 13</w:t>
        </w:r>
      </w:hyperlink>
      <w:r>
        <w:t xml:space="preserve"> </w:t>
      </w:r>
      <w:r>
        <w:t xml:space="preserve">discusses limitations and the role of</w:t>
      </w:r>
      <w:r>
        <w:t xml:space="preserve"> </w:t>
      </w:r>
      <w:r>
        <w:t xml:space="preserve">post-outcome sensitivity analyses.</w:t>
      </w:r>
    </w:p>
    <w:bookmarkEnd w:id="28"/>
    <w:bookmarkStart w:id="30" w:name="sec-walkthrough"/>
    <w:p>
      <w:pPr>
        <w:pStyle w:val="Heading1"/>
      </w:pPr>
      <w:r>
        <w:t xml:space="preserve">3. cleanTMLE at a glance: a worked walkthrough</w:t>
      </w:r>
    </w:p>
    <w:p>
      <w:pPr>
        <w:pStyle w:val="FirstParagraph"/>
      </w:pPr>
      <w:r>
        <w:t xml:space="preserve">Before developing the estimand, the framework, and the stress test</w:t>
      </w:r>
      <w:r>
        <w:t xml:space="preserve"> </w:t>
      </w:r>
      <w:r>
        <w:t xml:space="preserve">formally, we show the package used end-to-end, so that later sections</w:t>
      </w:r>
      <w:r>
        <w:t xml:space="preserve"> </w:t>
      </w:r>
      <w:r>
        <w:t xml:space="preserve">can be read against a concrete sequence of calls and outputs. The</w:t>
      </w:r>
      <w:r>
        <w:t xml:space="preserve"> </w:t>
      </w:r>
      <w:r>
        <w:t xml:space="preserve">walkthrough follows the Rescue.Co case study of</w:t>
      </w:r>
      <w:r>
        <w:t xml:space="preserve"> </w:t>
      </w:r>
      <w:hyperlink w:anchor="sec-casestudy">
        <w:r>
          <w:rPr>
            <w:rStyle w:val="Hyperlink"/>
          </w:rPr>
          <w:t xml:space="preserve">Section 12</w:t>
        </w:r>
      </w:hyperlink>
      <w:r>
        <w:t xml:space="preserve">, with the</w:t>
      </w:r>
      <w:r>
        <w:t xml:space="preserve"> </w:t>
      </w:r>
      <w:r>
        <w:t xml:space="preserve">code kept schematic and representative output shown inline; the full</w:t>
      </w:r>
      <w:r>
        <w:t xml:space="preserve"> </w:t>
      </w:r>
      <w:r>
        <w:t xml:space="preserve">results are deferred to that section. The workflow is a small number of</w:t>
      </w:r>
      <w:r>
        <w:t xml:space="preserve"> </w:t>
      </w:r>
      <w:r>
        <w:t xml:space="preserve">verbs. Everything before</w:t>
      </w:r>
      <w:r>
        <w:t xml:space="preserve"> </w:t>
      </w:r>
      <w:r>
        <w:rPr>
          <w:rStyle w:val="VerbatimChar"/>
        </w:rPr>
        <w:t xml:space="preserve">run_estimand_ladder()</w:t>
      </w:r>
      <w:r>
        <w:t xml:space="preserve"> </w:t>
      </w:r>
      <w:r>
        <w:t xml:space="preserve">runs with no outcome</w:t>
      </w:r>
      <w:r>
        <w:t xml:space="preserve"> </w:t>
      </w:r>
      <w:r>
        <w:t xml:space="preserve">access, and the outcome columns are physically absent from the design</w:t>
      </w:r>
      <w:r>
        <w:t xml:space="preserve"> </w:t>
      </w:r>
      <w:r>
        <w:t xml:space="preserve">stage in the case study (they live in a separate store until estimation).</w:t>
      </w:r>
    </w:p>
    <w:p>
      <w:pPr>
        <w:pStyle w:val="SourceCode"/>
      </w:pPr>
      <w:r>
        <w:rPr>
          <w:rStyle w:val="FunctionTok"/>
        </w:rPr>
        <w:t xml:space="preserve">library</w:t>
      </w:r>
      <w:r>
        <w:rPr>
          <w:rStyle w:val="NormalTok"/>
        </w:rPr>
        <w:t xml:space="preserve">(cleanTMLE)</w:t>
      </w:r>
      <w:r>
        <w:br/>
      </w:r>
      <w:r>
        <w:br/>
      </w:r>
      <w:r>
        <w:rPr>
          <w:rStyle w:val="CommentTok"/>
        </w:rPr>
        <w:t xml:space="preserve"># Lock the specification and declare intent before outcome access: the</w:t>
      </w:r>
      <w:r>
        <w:br/>
      </w:r>
      <w:r>
        <w:rPr>
          <w:rStyle w:val="CommentTok"/>
        </w:rPr>
        <w:t xml:space="preserve"># primary estimand, the fallbacks, and the trigger that moves the</w:t>
      </w:r>
      <w:r>
        <w:br/>
      </w:r>
      <w:r>
        <w:rPr>
          <w:rStyle w:val="CommentTok"/>
        </w:rPr>
        <w:t xml:space="preserve"># analysis down the ladder.</w:t>
      </w:r>
      <w:r>
        <w:br/>
      </w:r>
      <w:r>
        <w:rPr>
          <w:rStyle w:val="NormalTok"/>
        </w:rPr>
        <w:t xml:space="preserve">lock </w:t>
      </w:r>
      <w:r>
        <w:rPr>
          <w:rStyle w:val="OtherTok"/>
        </w:rPr>
        <w:t xml:space="preserve">&lt;-</w:t>
      </w:r>
      <w:r>
        <w:rPr>
          <w:rStyle w:val="NormalTok"/>
        </w:rPr>
        <w:t xml:space="preserve"> </w:t>
      </w:r>
      <w:r>
        <w:rPr>
          <w:rStyle w:val="FunctionTok"/>
        </w:rPr>
        <w:t xml:space="preserve">create_analysis_lock</w:t>
      </w:r>
      <w:r>
        <w:rPr>
          <w:rStyle w:val="NormalTok"/>
        </w:rPr>
        <w:t xml:space="preserve">(</w:t>
      </w:r>
      <w:r>
        <w:br/>
      </w:r>
      <w:r>
        <w:rPr>
          <w:rStyle w:val="NormalTok"/>
        </w:rPr>
        <w:t xml:space="preserve">  </w:t>
      </w:r>
      <w:r>
        <w:rPr>
          <w:rStyle w:val="AttributeTok"/>
        </w:rPr>
        <w:t xml:space="preserve">data =</w:t>
      </w:r>
      <w:r>
        <w:rPr>
          <w:rStyle w:val="NormalTok"/>
        </w:rPr>
        <w:t xml:space="preserve"> rescueco, </w:t>
      </w:r>
      <w:r>
        <w:rPr>
          <w:rStyle w:val="AttributeTok"/>
        </w:rPr>
        <w:t xml:space="preserve">treatment =</w:t>
      </w:r>
      <w:r>
        <w:rPr>
          <w:rStyle w:val="NormalTok"/>
        </w:rPr>
        <w:t xml:space="preserve"> </w:t>
      </w:r>
      <w:r>
        <w:rPr>
          <w:rStyle w:val="StringTok"/>
        </w:rPr>
        <w:t xml:space="preserve">"rescueco"</w:t>
      </w:r>
      <w:r>
        <w:rPr>
          <w:rStyle w:val="NormalTok"/>
        </w:rPr>
        <w:t xml:space="preserve">, </w:t>
      </w:r>
      <w:r>
        <w:rPr>
          <w:rStyle w:val="AttributeTok"/>
        </w:rPr>
        <w:t xml:space="preserve">outcome =</w:t>
      </w:r>
      <w:r>
        <w:rPr>
          <w:rStyle w:val="NormalTok"/>
        </w:rPr>
        <w:t xml:space="preserve"> </w:t>
      </w:r>
      <w:r>
        <w:rPr>
          <w:rStyle w:val="StringTok"/>
        </w:rPr>
        <w:t xml:space="preserve">"death_by_6mo"</w:t>
      </w:r>
      <w:r>
        <w:rPr>
          <w:rStyle w:val="NormalTok"/>
        </w:rPr>
        <w:t xml:space="preserve">,</w:t>
      </w:r>
      <w:r>
        <w:br/>
      </w:r>
      <w:r>
        <w:rPr>
          <w:rStyle w:val="NormalTok"/>
        </w:rPr>
        <w:t xml:space="preserve">  </w:t>
      </w:r>
      <w:r>
        <w:rPr>
          <w:rStyle w:val="AttributeTok"/>
        </w:rPr>
        <w:t xml:space="preserve">covariates =</w:t>
      </w:r>
      <w:r>
        <w:rPr>
          <w:rStyle w:val="NormalTok"/>
        </w:rPr>
        <w:t xml:space="preserve"> design_columns,</w:t>
      </w:r>
      <w:r>
        <w:br/>
      </w:r>
      <w:r>
        <w:rPr>
          <w:rStyle w:val="NormalTok"/>
        </w:rPr>
        <w:t xml:space="preserve">  </w:t>
      </w:r>
      <w:r>
        <w:rPr>
          <w:rStyle w:val="AttributeTok"/>
        </w:rPr>
        <w:t xml:space="preserve">negative_controls =</w:t>
      </w:r>
      <w:r>
        <w:rPr>
          <w:rStyle w:val="NormalTok"/>
        </w:rPr>
        <w:t xml:space="preserve"> </w:t>
      </w:r>
      <w:r>
        <w:rPr>
          <w:rStyle w:val="FunctionTok"/>
        </w:rPr>
        <w:t xml:space="preserve">c</w:t>
      </w:r>
      <w:r>
        <w:rPr>
          <w:rStyle w:val="NormalTok"/>
        </w:rPr>
        <w:t xml:space="preserve">(</w:t>
      </w:r>
      <w:r>
        <w:rPr>
          <w:rStyle w:val="StringTok"/>
        </w:rPr>
        <w:t xml:space="preserve">"nc_household_urban"</w:t>
      </w:r>
      <w:r>
        <w:rPr>
          <w:rStyle w:val="NormalTok"/>
        </w:rPr>
        <w:t xml:space="preserve">, </w:t>
      </w:r>
      <w:r>
        <w:rPr>
          <w:rStyle w:val="StringTok"/>
        </w:rPr>
        <w:t xml:space="preserve">"nc_chronic_hypertension"</w:t>
      </w:r>
      <w:r>
        <w:rPr>
          <w:rStyle w:val="NormalTok"/>
        </w:rPr>
        <w:t xml:space="preserve">),</w:t>
      </w:r>
      <w:r>
        <w:br/>
      </w:r>
      <w:r>
        <w:rPr>
          <w:rStyle w:val="NormalTok"/>
        </w:rPr>
        <w:t xml:space="preserve">  </w:t>
      </w:r>
      <w:r>
        <w:rPr>
          <w:rStyle w:val="AttributeTok"/>
        </w:rPr>
        <w:t xml:space="preserve">mask =</w:t>
      </w:r>
      <w:r>
        <w:rPr>
          <w:rStyle w:val="NormalTok"/>
        </w:rPr>
        <w:t xml:space="preserve"> </w:t>
      </w:r>
      <w:r>
        <w:rPr>
          <w:rStyle w:val="ConstantTok"/>
        </w:rPr>
        <w:t xml:space="preserve">TRUE</w:t>
      </w:r>
      <w:r>
        <w:rPr>
          <w:rStyle w:val="NormalTok"/>
        </w:rPr>
        <w:t xml:space="preserve">, </w:t>
      </w:r>
      <w:r>
        <w:rPr>
          <w:rStyle w:val="AttributeTok"/>
        </w:rPr>
        <w:t xml:space="preserve">seed =</w:t>
      </w:r>
      <w:r>
        <w:rPr>
          <w:rStyle w:val="NormalTok"/>
        </w:rPr>
        <w:t xml:space="preserve"> </w:t>
      </w:r>
      <w:r>
        <w:rPr>
          <w:rStyle w:val="DecValTok"/>
        </w:rPr>
        <w:t xml:space="preserve">2026</w:t>
      </w:r>
      <w:r>
        <w:rPr>
          <w:rStyle w:val="NormalTok"/>
        </w:rPr>
        <w:t xml:space="preserve">)</w:t>
      </w:r>
      <w:r>
        <w:br/>
      </w:r>
      <w:r>
        <w:rPr>
          <w:rStyle w:val="NormalTok"/>
        </w:rPr>
        <w:t xml:space="preserve">lock </w:t>
      </w:r>
      <w:r>
        <w:rPr>
          <w:rStyle w:val="OtherTok"/>
        </w:rPr>
        <w:t xml:space="preserve">&lt;-</w:t>
      </w:r>
      <w:r>
        <w:rPr>
          <w:rStyle w:val="NormalTok"/>
        </w:rPr>
        <w:t xml:space="preserve"> </w:t>
      </w:r>
      <w:r>
        <w:rPr>
          <w:rStyle w:val="FunctionTok"/>
        </w:rPr>
        <w:t xml:space="preserve">declare_estimand_ladder</w:t>
      </w:r>
      <w:r>
        <w:rPr>
          <w:rStyle w:val="NormalTok"/>
        </w:rPr>
        <w:t xml:space="preserve">(</w:t>
      </w:r>
      <w:r>
        <w:br/>
      </w:r>
      <w:r>
        <w:rPr>
          <w:rStyle w:val="NormalTok"/>
        </w:rPr>
        <w:t xml:space="preserve">  lock, </w:t>
      </w:r>
      <w:r>
        <w:rPr>
          <w:rStyle w:val="AttributeTok"/>
        </w:rPr>
        <w:t xml:space="preserve">primary =</w:t>
      </w:r>
      <w:r>
        <w:rPr>
          <w:rStyle w:val="NormalTok"/>
        </w:rPr>
        <w:t xml:space="preserve"> </w:t>
      </w:r>
      <w:r>
        <w:rPr>
          <w:rStyle w:val="StringTok"/>
        </w:rPr>
        <w:t xml:space="preserve">"ATE"</w:t>
      </w:r>
      <w:r>
        <w:rPr>
          <w:rStyle w:val="NormalTok"/>
        </w:rPr>
        <w:t xml:space="preserve">, </w:t>
      </w:r>
      <w:r>
        <w:rPr>
          <w:rStyle w:val="AttributeTok"/>
        </w:rPr>
        <w:t xml:space="preserve">fallbacks =</w:t>
      </w:r>
      <w:r>
        <w:rPr>
          <w:rStyle w:val="NormalTok"/>
        </w:rPr>
        <w:t xml:space="preserve"> </w:t>
      </w:r>
      <w:r>
        <w:rPr>
          <w:rStyle w:val="FunctionTok"/>
        </w:rPr>
        <w:t xml:space="preserve">c</w:t>
      </w:r>
      <w:r>
        <w:rPr>
          <w:rStyle w:val="NormalTok"/>
        </w:rPr>
        <w:t xml:space="preserve">(</w:t>
      </w:r>
      <w:r>
        <w:rPr>
          <w:rStyle w:val="StringTok"/>
        </w:rPr>
        <w:t xml:space="preserve">"trimmed_ATE"</w:t>
      </w:r>
      <w:r>
        <w:rPr>
          <w:rStyle w:val="NormalTok"/>
        </w:rPr>
        <w:t xml:space="preserve">, </w:t>
      </w:r>
      <w:r>
        <w:rPr>
          <w:rStyle w:val="StringTok"/>
        </w:rPr>
        <w:t xml:space="preserve">"ATT"</w:t>
      </w:r>
      <w:r>
        <w:rPr>
          <w:rStyle w:val="NormalTok"/>
        </w:rPr>
        <w:t xml:space="preserve">, </w:t>
      </w:r>
      <w:r>
        <w:rPr>
          <w:rStyle w:val="StringTok"/>
        </w:rPr>
        <w:t xml:space="preserve">"ATO"</w:t>
      </w:r>
      <w:r>
        <w:rPr>
          <w:rStyle w:val="NormalTok"/>
        </w:rPr>
        <w:t xml:space="preserve">),</w:t>
      </w:r>
      <w:r>
        <w:br/>
      </w:r>
      <w:r>
        <w:rPr>
          <w:rStyle w:val="NormalTok"/>
        </w:rPr>
        <w:t xml:space="preserve">  </w:t>
      </w:r>
      <w:r>
        <w:rPr>
          <w:rStyle w:val="AttributeTok"/>
        </w:rPr>
        <w:t xml:space="preserve">trigger =</w:t>
      </w:r>
      <w:r>
        <w:rPr>
          <w:rStyle w:val="NormalTok"/>
        </w:rPr>
        <w:t xml:space="preserve"> </w:t>
      </w:r>
      <w:r>
        <w:rPr>
          <w:rStyle w:val="StringTok"/>
        </w:rPr>
        <w:t xml:space="preserve">"SEVERE"</w:t>
      </w:r>
      <w:r>
        <w:rPr>
          <w:rStyle w:val="NormalTok"/>
        </w:rPr>
        <w:t xml:space="preserve">, </w:t>
      </w:r>
      <w:r>
        <w:rPr>
          <w:rStyle w:val="AttributeTok"/>
        </w:rPr>
        <w:t xml:space="preserve">bias_to_null_floor =</w:t>
      </w:r>
      <w:r>
        <w:rPr>
          <w:rStyle w:val="NormalTok"/>
        </w:rPr>
        <w:t xml:space="preserve"> </w:t>
      </w:r>
      <w:r>
        <w:rPr>
          <w:rStyle w:val="FloatTok"/>
        </w:rPr>
        <w:t xml:space="preserve">0.0035</w:t>
      </w:r>
      <w:r>
        <w:rPr>
          <w:rStyle w:val="NormalTok"/>
        </w:rPr>
        <w:t xml:space="preserve">)</w:t>
      </w:r>
      <w:r>
        <w:br/>
      </w:r>
      <w:r>
        <w:br/>
      </w:r>
      <w:r>
        <w:rPr>
          <w:rStyle w:val="CommentTok"/>
        </w:rPr>
        <w:t xml:space="preserve"># The design stage: fit the propensity, grade the support, read the same</w:t>
      </w:r>
      <w:r>
        <w:br/>
      </w:r>
      <w:r>
        <w:rPr>
          <w:rStyle w:val="CommentTok"/>
        </w:rPr>
        <w:t xml:space="preserve"># fit per estimand, and map feasibility with an outcome-blind simulation.</w:t>
      </w:r>
      <w:r>
        <w:br/>
      </w:r>
      <w:r>
        <w:rPr>
          <w:rStyle w:val="NormalTok"/>
        </w:rPr>
        <w:t xml:space="preserve">ps  </w:t>
      </w:r>
      <w:r>
        <w:rPr>
          <w:rStyle w:val="OtherTok"/>
        </w:rPr>
        <w:t xml:space="preserve">&lt;-</w:t>
      </w:r>
      <w:r>
        <w:rPr>
          <w:rStyle w:val="NormalTok"/>
        </w:rPr>
        <w:t xml:space="preserve"> </w:t>
      </w:r>
      <w:r>
        <w:rPr>
          <w:rStyle w:val="FunctionTok"/>
        </w:rPr>
        <w:t xml:space="preserve">fit_ps</w:t>
      </w:r>
      <w:r>
        <w:rPr>
          <w:rStyle w:val="NormalTok"/>
        </w:rPr>
        <w:t xml:space="preserve">(lock)</w:t>
      </w:r>
      <w:r>
        <w:br/>
      </w:r>
      <w:r>
        <w:rPr>
          <w:rStyle w:val="NormalTok"/>
        </w:rPr>
        <w:t xml:space="preserve">sup </w:t>
      </w:r>
      <w:r>
        <w:rPr>
          <w:rStyle w:val="OtherTok"/>
        </w:rPr>
        <w:t xml:space="preserve">&lt;-</w:t>
      </w:r>
      <w:r>
        <w:rPr>
          <w:rStyle w:val="NormalTok"/>
        </w:rPr>
        <w:t xml:space="preserve"> </w:t>
      </w:r>
      <w:r>
        <w:rPr>
          <w:rStyle w:val="FunctionTok"/>
        </w:rPr>
        <w:t xml:space="preserve">assess_support</w:t>
      </w:r>
      <w:r>
        <w:rPr>
          <w:rStyle w:val="NormalTok"/>
        </w:rPr>
        <w:t xml:space="preserve">(ps)</w:t>
      </w:r>
      <w:r>
        <w:br/>
      </w:r>
      <w:r>
        <w:rPr>
          <w:rStyle w:val="CommentTok"/>
        </w:rPr>
        <w:t xml:space="preserve">#&gt; 40.6% outside [0.05, 0.95]; max weight 257; verdict SEVERE</w:t>
      </w:r>
      <w:r>
        <w:br/>
      </w:r>
      <w:r>
        <w:rPr>
          <w:rStyle w:val="NormalTok"/>
        </w:rPr>
        <w:t xml:space="preserve">fea </w:t>
      </w:r>
      <w:r>
        <w:rPr>
          <w:rStyle w:val="OtherTok"/>
        </w:rPr>
        <w:t xml:space="preserve">&lt;-</w:t>
      </w:r>
      <w:r>
        <w:rPr>
          <w:rStyle w:val="NormalTok"/>
        </w:rPr>
        <w:t xml:space="preserve"> </w:t>
      </w:r>
      <w:r>
        <w:rPr>
          <w:rStyle w:val="FunctionTok"/>
        </w:rPr>
        <w:t xml:space="preserve">estimand_feasibility</w:t>
      </w:r>
      <w:r>
        <w:rPr>
          <w:rStyle w:val="NormalTok"/>
        </w:rPr>
        <w:t xml:space="preserve">(ps, </w:t>
      </w:r>
      <w:r>
        <w:rPr>
          <w:rStyle w:val="AttributeTok"/>
        </w:rPr>
        <w:t xml:space="preserve">profile_vars =</w:t>
      </w:r>
      <w:r>
        <w:rPr>
          <w:rStyle w:val="NormalTok"/>
        </w:rPr>
        <w:t xml:space="preserve"> interpretable_vars)</w:t>
      </w:r>
      <w:r>
        <w:br/>
      </w:r>
      <w:r>
        <w:rPr>
          <w:rStyle w:val="CommentTok"/>
        </w:rPr>
        <w:t xml:space="preserve">#&gt; ATE infeasible; ATT max control weight 5.0; ATO weights bounded by 1</w:t>
      </w:r>
      <w:r>
        <w:br/>
      </w:r>
      <w:r>
        <w:rPr>
          <w:rStyle w:val="NormalTok"/>
        </w:rPr>
        <w:t xml:space="preserve">sim </w:t>
      </w:r>
      <w:r>
        <w:rPr>
          <w:rStyle w:val="OtherTok"/>
        </w:rPr>
        <w:t xml:space="preserve">&lt;-</w:t>
      </w:r>
      <w:r>
        <w:rPr>
          <w:rStyle w:val="NormalTok"/>
        </w:rPr>
        <w:t xml:space="preserve"> </w:t>
      </w:r>
      <w:r>
        <w:rPr>
          <w:rStyle w:val="FunctionTok"/>
        </w:rPr>
        <w:t xml:space="preserve">simulate_support</w:t>
      </w:r>
      <w:r>
        <w:rPr>
          <w:rStyle w:val="NormalTok"/>
        </w:rPr>
        <w:t xml:space="preserve">(lock, ps, </w:t>
      </w:r>
      <w:r>
        <w:rPr>
          <w:rStyle w:val="AttributeTok"/>
        </w:rPr>
        <w:t xml:space="preserve">reps =</w:t>
      </w:r>
      <w:r>
        <w:rPr>
          <w:rStyle w:val="NormalTok"/>
        </w:rPr>
        <w:t xml:space="preserve"> </w:t>
      </w:r>
      <w:r>
        <w:rPr>
          <w:rStyle w:val="DecValTok"/>
        </w:rPr>
        <w:t xml:space="preserve">200</w:t>
      </w:r>
      <w:r>
        <w:rPr>
          <w:rStyle w:val="NormalTok"/>
        </w:rPr>
        <w:t xml:space="preserve">)</w:t>
      </w:r>
      <w:r>
        <w:br/>
      </w:r>
      <w:r>
        <w:rPr>
          <w:rStyle w:val="FunctionTok"/>
        </w:rPr>
        <w:t xml:space="preserve">design_report</w:t>
      </w:r>
      <w:r>
        <w:rPr>
          <w:rStyle w:val="NormalTok"/>
        </w:rPr>
        <w:t xml:space="preserve">(lock, sup, fea, sim)</w:t>
      </w:r>
      <w:r>
        <w:br/>
      </w:r>
      <w:r>
        <w:rPr>
          <w:rStyle w:val="CommentTok"/>
        </w:rPr>
        <w:t xml:space="preserve">#&gt; The declared primary (ATE) is NOT supported (overlap verdict SEVERE).</w:t>
      </w:r>
      <w:r>
        <w:br/>
      </w:r>
      <w:r>
        <w:rPr>
          <w:rStyle w:val="CommentTok"/>
        </w:rPr>
        <w:t xml:space="preserve">#&gt; The ladder moves to: trimmed_ATE, then ATT, then ATO. The switch is a</w:t>
      </w:r>
      <w:r>
        <w:br/>
      </w:r>
      <w:r>
        <w:rPr>
          <w:rStyle w:val="CommentTok"/>
        </w:rPr>
        <w:t xml:space="preserve">#&gt; logged design decision.</w:t>
      </w:r>
      <w:r>
        <w:br/>
      </w:r>
      <w:r>
        <w:br/>
      </w:r>
      <w:r>
        <w:rPr>
          <w:rStyle w:val="CommentTok"/>
        </w:rPr>
        <w:t xml:space="preserve"># Estimation: outcomes are joined only now. The declared primary runs when</w:t>
      </w:r>
      <w:r>
        <w:br/>
      </w:r>
      <w:r>
        <w:rPr>
          <w:rStyle w:val="CommentTok"/>
        </w:rPr>
        <w:t xml:space="preserve"># feasible plus every feasible fallback; every row carries its estimand,</w:t>
      </w:r>
      <w:r>
        <w:br/>
      </w:r>
      <w:r>
        <w:rPr>
          <w:rStyle w:val="CommentTok"/>
        </w:rPr>
        <w:t xml:space="preserve"># the support verdict, and the implausibility flags, and every switch or</w:t>
      </w:r>
      <w:r>
        <w:br/>
      </w:r>
      <w:r>
        <w:rPr>
          <w:rStyle w:val="CommentTok"/>
        </w:rPr>
        <w:t xml:space="preserve"># override is logged.</w:t>
      </w:r>
      <w:r>
        <w:br/>
      </w:r>
      <w:r>
        <w:rPr>
          <w:rStyle w:val="NormalTok"/>
        </w:rPr>
        <w:t xml:space="preserve">fit </w:t>
      </w:r>
      <w:r>
        <w:rPr>
          <w:rStyle w:val="OtherTok"/>
        </w:rPr>
        <w:t xml:space="preserve">&lt;-</w:t>
      </w:r>
      <w:r>
        <w:rPr>
          <w:rStyle w:val="NormalTok"/>
        </w:rPr>
        <w:t xml:space="preserve"> </w:t>
      </w:r>
      <w:r>
        <w:rPr>
          <w:rStyle w:val="FunctionTok"/>
        </w:rPr>
        <w:t xml:space="preserve">run_estimand_ladder</w:t>
      </w:r>
      <w:r>
        <w:rPr>
          <w:rStyle w:val="NormalTok"/>
        </w:rPr>
        <w:t xml:space="preserve">(lock, ps)</w:t>
      </w:r>
    </w:p>
    <w:p>
      <w:pPr>
        <w:pStyle w:val="FirstParagraph"/>
      </w:pPr>
      <w:hyperlink w:anchor="tbl-functions">
        <w:r>
          <w:rPr>
            <w:rStyle w:val="Hyperlink"/>
          </w:rPr>
          <w:t xml:space="preserve">Table 1</w:t>
        </w:r>
      </w:hyperlink>
      <w:r>
        <w:t xml:space="preserve"> </w:t>
      </w:r>
      <w:r>
        <w:t xml:space="preserve">summarises the functions the workflow exercises, what each</w:t>
      </w:r>
      <w:r>
        <w:t xml:space="preserve"> </w:t>
      </w:r>
      <w:r>
        <w:t xml:space="preserve">one does, and the representative output it returns. Candidate selection</w:t>
      </w:r>
      <w:r>
        <w:t xml:space="preserve"> </w:t>
      </w:r>
      <w:r>
        <w:t xml:space="preserve">and the data-quality stress test (</w:t>
      </w:r>
      <w:hyperlink w:anchor="sec-dq">
        <w:r>
          <w:rPr>
            <w:rStyle w:val="Hyperlink"/>
          </w:rPr>
          <w:t xml:space="preserve">Section 7</w:t>
        </w:r>
      </w:hyperlink>
      <w:r>
        <w:t xml:space="preserve">) slot in between the support</w:t>
      </w:r>
      <w:r>
        <w:t xml:space="preserve"> </w:t>
      </w:r>
      <w:r>
        <w:t xml:space="preserve">assessment and estimation through the same lock, and an optional</w:t>
      </w:r>
      <w:r>
        <w:t xml:space="preserve"> </w:t>
      </w:r>
      <w:r>
        <w:t xml:space="preserve">enforcement mode (</w:t>
      </w:r>
      <w:r>
        <w:rPr>
          <w:rStyle w:val="VerbatimChar"/>
        </w:rPr>
        <w:t xml:space="preserve">create_analysis_lock(enforce = TRUE)</w:t>
      </w:r>
      <w:r>
        <w:t xml:space="preserve">) exists for</w:t>
      </w:r>
      <w:r>
        <w:t xml:space="preserve"> </w:t>
      </w:r>
      <w:r>
        <w:t xml:space="preserve">institutional settings where estimation must refuse to run without a</w:t>
      </w:r>
      <w:r>
        <w:t xml:space="preserve"> </w:t>
      </w:r>
      <w:r>
        <w:t xml:space="preserve">recorded design review; outcome masking is enforced for every lock.</w:t>
      </w:r>
    </w:p>
    <w:tbl>
      <w:tblPr>
        <w:tblStyle w:val="Table"/>
        <w:tblW w:type="pct" w:w="5000"/>
        <w:tblLayout w:type="fixed"/>
        <w:tblLook w:firstRow="0" w:lastRow="0" w:firstColumn="0" w:lastColumn="0" w:noHBand="0" w:noVBand="0" w:val="0000"/>
      </w:tblPr>
      <w:tblGrid>
        <w:gridCol w:w="7920"/>
      </w:tblGrid>
      <w:tr>
        <w:tc>
          <w:tcPr/>
          <w:bookmarkStart w:id="29" w:name="tbl-functions"/>
          <w:p>
            <w:pPr>
              <w:jc w:val="center"/>
            </w:pPr>
            <w:pPr>
              <w:jc w:val="start"/>
              <w:spacing w:before="200"/>
              <w:pStyle w:val="ImageCaption"/>
            </w:pPr>
            <w:r>
              <w:t xml:space="preserve">Table 1: The cleanTMLE workflow, one row per function: what each does and representative output from the Rescue.Co protocol contrast. Everything above estimate_effect() runs with no outcome access.</w:t>
            </w:r>
          </w:p>
          <w:tbl>
            <w:tblPr>
              <w:tblStyle w:val="Table"/>
              <w:tblW w:type="pct" w:w="5000"/>
              <w:tblLayout w:type="fixed"/>
              <w:tblLook w:firstRow="1" w:lastRow="0" w:firstColumn="0" w:lastColumn="0" w:noHBand="0" w:noVBand="0" w:val="0020"/>
            </w:tblPr>
            <w:tblGrid>
              <w:gridCol w:w="204"/>
              <w:gridCol w:w="682"/>
              <w:gridCol w:w="5530"/>
              <w:gridCol w:w="1502"/>
            </w:tblGrid>
            <w:tr>
              <w:trPr>
                <w:tblHeader w:val="on"/>
              </w:trPr>
              <w:tc>
                <w:tcPr/>
                <w:p>
                  <w:pPr>
                    <w:pStyle w:val="Compact"/>
                    <w:jc w:val="left"/>
                    <w:jc w:val="center"/>
                  </w:pPr>
                  <w:r>
                    <w:t xml:space="preserve">Step</w:t>
                  </w:r>
                </w:p>
              </w:tc>
              <w:tc>
                <w:tcPr/>
                <w:p>
                  <w:pPr>
                    <w:pStyle w:val="Compact"/>
                    <w:jc w:val="left"/>
                    <w:jc w:val="center"/>
                  </w:pPr>
                  <w:r>
                    <w:t xml:space="preserve">Function</w:t>
                  </w:r>
                </w:p>
              </w:tc>
              <w:tc>
                <w:tcPr/>
                <w:p>
                  <w:pPr>
                    <w:pStyle w:val="Compact"/>
                    <w:jc w:val="left"/>
                    <w:jc w:val="center"/>
                  </w:pPr>
                  <w:r>
                    <w:t xml:space="preserve">What it does</w:t>
                  </w:r>
                </w:p>
              </w:tc>
              <w:tc>
                <w:tcPr/>
                <w:p>
                  <w:pPr>
                    <w:pStyle w:val="Compact"/>
                    <w:jc w:val="left"/>
                    <w:jc w:val="center"/>
                  </w:pPr>
                  <w:r>
                    <w:t xml:space="preserve">Representative output</w:t>
                  </w:r>
                </w:p>
              </w:tc>
            </w:tr>
            <w:tr>
              <w:tc>
                <w:tcPr/>
                <w:p>
                  <w:pPr>
                    <w:pStyle w:val="Compact"/>
                    <w:jc w:val="left"/>
                    <w:jc w:val="center"/>
                  </w:pPr>
                  <w:r>
                    <w:t xml:space="preserve">lock</w:t>
                  </w:r>
                </w:p>
              </w:tc>
              <w:tc>
                <w:tcPr/>
                <w:p>
                  <w:pPr>
                    <w:pStyle w:val="Compact"/>
                    <w:jc w:val="left"/>
                    <w:jc w:val="center"/>
                  </w:pPr>
                  <w:r>
                    <w:t xml:space="preserve">create_analysis_lock()</w:t>
                  </w:r>
                </w:p>
              </w:tc>
              <w:tc>
                <w:tcPr/>
                <w:p>
                  <w:pPr>
                    <w:pStyle w:val="Compact"/>
                    <w:jc w:val="left"/>
                    <w:jc w:val="center"/>
                  </w:pPr>
                  <w:r>
                    <w:t xml:space="preserve">Seal the data, variable roles, learner library and seed behind a fingerprint; register negative controls; optionally mask the outcome.</w:t>
                  </w:r>
                </w:p>
              </w:tc>
              <w:tc>
                <w:tcPr/>
                <w:p>
                  <w:pPr>
                    <w:pStyle w:val="Compact"/>
                    <w:jc w:val="left"/>
                    <w:jc w:val="center"/>
                  </w:pPr>
                  <w:r>
                    <w:t xml:space="preserve">lock object; lock_hash 9f2c1a…</w:t>
                  </w:r>
                </w:p>
              </w:tc>
            </w:tr>
            <w:tr>
              <w:tc>
                <w:tcPr/>
                <w:p>
                  <w:pPr>
                    <w:pStyle w:val="Compact"/>
                    <w:jc w:val="left"/>
                    <w:jc w:val="center"/>
                  </w:pPr>
                  <w:r>
                    <w:t xml:space="preserve">lock</w:t>
                  </w:r>
                </w:p>
              </w:tc>
              <w:tc>
                <w:tcPr/>
                <w:p>
                  <w:pPr>
                    <w:pStyle w:val="Compact"/>
                    <w:jc w:val="left"/>
                    <w:jc w:val="center"/>
                  </w:pPr>
                  <w:r>
                    <w:t xml:space="preserve">declare_estimand_ladder()</w:t>
                  </w:r>
                </w:p>
              </w:tc>
              <w:tc>
                <w:tcPr/>
                <w:p>
                  <w:pPr>
                    <w:pStyle w:val="Compact"/>
                    <w:jc w:val="left"/>
                    <w:jc w:val="center"/>
                  </w:pPr>
                  <w:r>
                    <w:t xml:space="preserve">Pre-register the primary estimand, the ordered fallbacks, the switching trigger, and sensitivity floors, as a design-log entry.</w:t>
                  </w:r>
                </w:p>
              </w:tc>
              <w:tc>
                <w:tcPr/>
                <w:p>
                  <w:pPr>
                    <w:pStyle w:val="Compact"/>
                    <w:jc w:val="left"/>
                    <w:jc w:val="center"/>
                  </w:pPr>
                  <w:r>
                    <w:t xml:space="preserve">ladder: ATE, then trimmed ATE, then ATT, then ATO; trigger SEVERE</w:t>
                  </w:r>
                </w:p>
              </w:tc>
            </w:tr>
            <w:tr>
              <w:tc>
                <w:tcPr/>
                <w:p>
                  <w:pPr>
                    <w:pStyle w:val="Compact"/>
                    <w:jc w:val="left"/>
                    <w:jc w:val="center"/>
                  </w:pPr>
                  <w:r>
                    <w:t xml:space="preserve">design</w:t>
                  </w:r>
                </w:p>
              </w:tc>
              <w:tc>
                <w:tcPr/>
                <w:p>
                  <w:pPr>
                    <w:pStyle w:val="Compact"/>
                    <w:jc w:val="left"/>
                    <w:jc w:val="center"/>
                  </w:pPr>
                  <w:r>
                    <w:t xml:space="preserve">fit_ps()</w:t>
                  </w:r>
                </w:p>
              </w:tc>
              <w:tc>
                <w:tcPr/>
                <w:p>
                  <w:pPr>
                    <w:pStyle w:val="Compact"/>
                    <w:jc w:val="left"/>
                    <w:jc w:val="center"/>
                  </w:pPr>
                  <w:r>
                    <w:t xml:space="preserve">Fit the propensity score (SuperLearner, GLM, or externally supplied scores).</w:t>
                  </w:r>
                </w:p>
              </w:tc>
              <w:tc>
                <w:tcPr/>
                <w:p>
                  <w:pPr>
                    <w:pStyle w:val="Compact"/>
                    <w:jc w:val="left"/>
                    <w:jc w:val="center"/>
                  </w:pPr>
                  <w:r>
                    <w:t xml:space="preserve">ps_fit; scores and untruncated scores</w:t>
                  </w:r>
                </w:p>
              </w:tc>
            </w:tr>
            <w:tr>
              <w:tc>
                <w:tcPr/>
                <w:p>
                  <w:pPr>
                    <w:pStyle w:val="Compact"/>
                    <w:jc w:val="left"/>
                    <w:jc w:val="center"/>
                  </w:pPr>
                  <w:r>
                    <w:t xml:space="preserve">design</w:t>
                  </w:r>
                </w:p>
              </w:tc>
              <w:tc>
                <w:tcPr/>
                <w:p>
                  <w:pPr>
                    <w:pStyle w:val="Compact"/>
                    <w:jc w:val="left"/>
                    <w:jc w:val="center"/>
                  </w:pPr>
                  <w:r>
                    <w:t xml:space="preserve">assess_support()</w:t>
                  </w:r>
                </w:p>
              </w:tc>
              <w:tc>
                <w:tcPr/>
                <w:p>
                  <w:pPr>
                    <w:pStyle w:val="Compact"/>
                    <w:jc w:val="left"/>
                    <w:jc w:val="center"/>
                  </w:pPr>
                  <w:r>
                    <w:t xml:space="preserve">Grade overlap on the fitted propensity: share outside the band, largest weight, ESS, c-statistic, near-deterministic strata, tree-identified violation regions; verdict PASS, FLAG, SEVERE or FAIL with a caveat that travels with every estimate.</w:t>
                  </w:r>
                </w:p>
              </w:tc>
              <w:tc>
                <w:tcPr/>
                <w:p>
                  <w:pPr>
                    <w:pStyle w:val="Compact"/>
                    <w:jc w:val="left"/>
                    <w:jc w:val="center"/>
                  </w:pPr>
                  <w:r>
                    <w:t xml:space="preserve">verdict SEVERE; 41.3% outside [0.05, 0.95]; max weight 304</w:t>
                  </w:r>
                </w:p>
              </w:tc>
            </w:tr>
            <w:tr>
              <w:tc>
                <w:tcPr/>
                <w:p>
                  <w:pPr>
                    <w:pStyle w:val="Compact"/>
                    <w:jc w:val="left"/>
                    <w:jc w:val="center"/>
                  </w:pPr>
                  <w:r>
                    <w:t xml:space="preserve">design</w:t>
                  </w:r>
                </w:p>
              </w:tc>
              <w:tc>
                <w:tcPr/>
                <w:p>
                  <w:pPr>
                    <w:pStyle w:val="Compact"/>
                    <w:jc w:val="left"/>
                    <w:jc w:val="center"/>
                  </w:pPr>
                  <w:r>
                    <w:t xml:space="preserve">estimand_feasibility()</w:t>
                  </w:r>
                </w:p>
              </w:tc>
              <w:tc>
                <w:tcPr/>
                <w:p>
                  <w:pPr>
                    <w:pStyle w:val="Compact"/>
                    <w:jc w:val="left"/>
                    <w:jc w:val="center"/>
                  </w:pPr>
                  <w:r>
                    <w:t xml:space="preserve">Read the same fit per estimand: the implied weights, their maximum, ESS by arm, who is removed, and each estimand’s verdict; profile the patients outside the band.</w:t>
                  </w:r>
                </w:p>
              </w:tc>
              <w:tc>
                <w:tcPr/>
                <w:p>
                  <w:pPr>
                    <w:pStyle w:val="Compact"/>
                    <w:jc w:val="left"/>
                    <w:jc w:val="center"/>
                  </w:pPr>
                  <w:r>
                    <w:t xml:space="preserve">ATE infeasible; ATT and ATO feasible; profile of the removed</w:t>
                  </w:r>
                </w:p>
              </w:tc>
            </w:tr>
            <w:tr>
              <w:tc>
                <w:tcPr/>
                <w:p>
                  <w:pPr>
                    <w:pStyle w:val="Compact"/>
                    <w:jc w:val="left"/>
                    <w:jc w:val="center"/>
                  </w:pPr>
                  <w:r>
                    <w:t xml:space="preserve">design</w:t>
                  </w:r>
                </w:p>
              </w:tc>
              <w:tc>
                <w:tcPr/>
                <w:p>
                  <w:pPr>
                    <w:pStyle w:val="Compact"/>
                    <w:jc w:val="left"/>
                    <w:jc w:val="center"/>
                  </w:pPr>
                  <w:r>
                    <w:t xml:space="preserve">simulate_support()</w:t>
                  </w:r>
                </w:p>
              </w:tc>
              <w:tc>
                <w:tcPr/>
                <w:p>
                  <w:pPr>
                    <w:pStyle w:val="Compact"/>
                    <w:jc w:val="left"/>
                    <w:jc w:val="center"/>
                  </w:pPr>
                  <w:r>
                    <w:t xml:space="preserve">Generate-treatment plasmode over a prespecified outcome-surface family; per-estimand truths on every replicate; the support map the gate reads.</w:t>
                  </w:r>
                </w:p>
              </w:tc>
              <w:tc>
                <w:tcPr/>
                <w:p>
                  <w:pPr>
                    <w:pStyle w:val="Compact"/>
                    <w:jc w:val="left"/>
                    <w:jc w:val="center"/>
                  </w:pPr>
                  <w:r>
                    <w:t xml:space="preserve">support map: ATE fails beyond confounding 1; ATT and ATO hold</w:t>
                  </w:r>
                </w:p>
              </w:tc>
            </w:tr>
            <w:tr>
              <w:tc>
                <w:tcPr/>
                <w:p>
                  <w:pPr>
                    <w:pStyle w:val="Compact"/>
                    <w:jc w:val="left"/>
                    <w:jc w:val="center"/>
                  </w:pPr>
                  <w:r>
                    <w:t xml:space="preserve">design</w:t>
                  </w:r>
                </w:p>
              </w:tc>
              <w:tc>
                <w:tcPr/>
                <w:p>
                  <w:pPr>
                    <w:pStyle w:val="Compact"/>
                    <w:jc w:val="left"/>
                    <w:jc w:val="center"/>
                  </w:pPr>
                  <w:r>
                    <w:t xml:space="preserve">run_negative_control_ladder()</w:t>
                  </w:r>
                </w:p>
              </w:tc>
              <w:tc>
                <w:tcPr/>
                <w:p>
                  <w:pPr>
                    <w:pStyle w:val="Compact"/>
                    <w:jc w:val="left"/>
                    <w:jc w:val="center"/>
                  </w:pPr>
                  <w:r>
                    <w:t xml:space="preserve">Fit every registered negative control on every nested cohort and name what turns null after a restriction.</w:t>
                  </w:r>
                </w:p>
              </w:tc>
              <w:tc>
                <w:tcPr/>
                <w:p>
                  <w:pPr>
                    <w:pStyle w:val="Compact"/>
                    <w:jc w:val="left"/>
                    <w:jc w:val="center"/>
                  </w:pPr>
                  <w:r>
                    <w:t xml:space="preserve">urban household: fails on full cohort, null after exclusions</w:t>
                  </w:r>
                </w:p>
              </w:tc>
            </w:tr>
            <w:tr>
              <w:tc>
                <w:tcPr/>
                <w:p>
                  <w:pPr>
                    <w:pStyle w:val="Compact"/>
                    <w:jc w:val="left"/>
                    <w:jc w:val="center"/>
                  </w:pPr>
                  <w:r>
                    <w:t xml:space="preserve">design</w:t>
                  </w:r>
                </w:p>
              </w:tc>
              <w:tc>
                <w:tcPr/>
                <w:p>
                  <w:pPr>
                    <w:pStyle w:val="Compact"/>
                    <w:jc w:val="left"/>
                    <w:jc w:val="center"/>
                  </w:pPr>
                  <w:r>
                    <w:t xml:space="preserve">check_process_indicators()</w:t>
                  </w:r>
                </w:p>
              </w:tc>
              <w:tc>
                <w:tcPr/>
                <w:p>
                  <w:pPr>
                    <w:pStyle w:val="Compact"/>
                    <w:jc w:val="left"/>
                    <w:jc w:val="center"/>
                  </w:pPr>
                  <w:r>
                    <w:t xml:space="preserve">Regress each care-process indicator on treatment given severity: the collider check.</w:t>
                  </w:r>
                </w:p>
              </w:tc>
              <w:tc>
                <w:tcPr/>
                <w:p>
                  <w:pPr>
                    <w:pStyle w:val="Compact"/>
                    <w:jc w:val="left"/>
                    <w:jc w:val="center"/>
                  </w:pPr>
                  <w:r>
                    <w:t xml:space="preserve">no physiology indicator predicted by treatment beyond 0.1 SD</w:t>
                  </w:r>
                </w:p>
              </w:tc>
            </w:tr>
            <w:tr>
              <w:tc>
                <w:tcPr/>
                <w:p>
                  <w:pPr>
                    <w:pStyle w:val="Compact"/>
                    <w:jc w:val="left"/>
                    <w:jc w:val="center"/>
                  </w:pPr>
                  <w:r>
                    <w:t xml:space="preserve">select</w:t>
                  </w:r>
                </w:p>
              </w:tc>
              <w:tc>
                <w:tcPr/>
                <w:p>
                  <w:pPr>
                    <w:pStyle w:val="Compact"/>
                    <w:jc w:val="left"/>
                    <w:jc w:val="center"/>
                  </w:pPr>
                  <w:r>
                    <w:t xml:space="preserve">run_plasmode_feasibility()</w:t>
                  </w:r>
                </w:p>
              </w:tc>
              <w:tc>
                <w:tcPr/>
                <w:p>
                  <w:pPr>
                    <w:pStyle w:val="Compact"/>
                    <w:jc w:val="left"/>
                    <w:jc w:val="center"/>
                  </w:pPr>
                  <w:r>
                    <w:t xml:space="preserve">Outcome-blind candidate selection: evaluate TMLE specifications on synthetic outcomes.</w:t>
                  </w:r>
                </w:p>
              </w:tc>
              <w:tc>
                <w:tcPr/>
                <w:p>
                  <w:pPr>
                    <w:pStyle w:val="Compact"/>
                    <w:jc w:val="left"/>
                    <w:jc w:val="center"/>
                  </w:pPr>
                  <w:r>
                    <w:t xml:space="preserve">per-candidate bias, RMSE, coverage table</w:t>
                  </w:r>
                </w:p>
              </w:tc>
            </w:tr>
            <w:tr>
              <w:tc>
                <w:tcPr/>
                <w:p>
                  <w:pPr>
                    <w:pStyle w:val="Compact"/>
                    <w:jc w:val="left"/>
                    <w:jc w:val="center"/>
                  </w:pPr>
                  <w:r>
                    <w:t xml:space="preserve">select</w:t>
                  </w:r>
                </w:p>
              </w:tc>
              <w:tc>
                <w:tcPr/>
                <w:p>
                  <w:pPr>
                    <w:pStyle w:val="Compact"/>
                    <w:jc w:val="left"/>
                    <w:jc w:val="center"/>
                  </w:pPr>
                  <w:r>
                    <w:t xml:space="preserve">run_plasmode_dq_stress()</w:t>
                  </w:r>
                </w:p>
              </w:tc>
              <w:tc>
                <w:tcPr/>
                <w:p>
                  <w:pPr>
                    <w:pStyle w:val="Compact"/>
                    <w:jc w:val="left"/>
                    <w:jc w:val="center"/>
                  </w:pPr>
                  <w:r>
                    <w:t xml:space="preserve">Re-run the loop under prespecified data-quality threats; degradation gradients per candidate.</w:t>
                  </w:r>
                </w:p>
              </w:tc>
              <w:tc>
                <w:tcPr/>
                <w:p>
                  <w:pPr>
                    <w:pStyle w:val="Compact"/>
                    <w:jc w:val="left"/>
                    <w:jc w:val="center"/>
                  </w:pPr>
                  <w:r>
                    <w:t xml:space="preserve">degradation gradient per candidate per threat</w:t>
                  </w:r>
                </w:p>
              </w:tc>
            </w:tr>
            <w:tr>
              <w:tc>
                <w:tcPr/>
                <w:p>
                  <w:pPr>
                    <w:pStyle w:val="Compact"/>
                    <w:jc w:val="left"/>
                    <w:jc w:val="center"/>
                  </w:pPr>
                  <w:r>
                    <w:t xml:space="preserve">estimate</w:t>
                  </w:r>
                </w:p>
              </w:tc>
              <w:tc>
                <w:tcPr/>
                <w:p>
                  <w:pPr>
                    <w:pStyle w:val="Compact"/>
                    <w:jc w:val="left"/>
                    <w:jc w:val="center"/>
                  </w:pPr>
                  <w:r>
                    <w:t xml:space="preserve">estimate_effect()</w:t>
                  </w:r>
                </w:p>
              </w:tc>
              <w:tc>
                <w:tcPr/>
                <w:p>
                  <w:pPr>
                    <w:pStyle w:val="Compact"/>
                    <w:jc w:val="left"/>
                    <w:jc w:val="center"/>
                  </w:pPr>
                  <w:r>
                    <w:t xml:space="preserve">The one estimation front door: estimand, estimator family, and missing-outcome handling as arguments; the implausibility guard on every result.</w:t>
                  </w:r>
                </w:p>
              </w:tc>
              <w:tc>
                <w:tcPr/>
                <w:p>
                  <w:pPr>
                    <w:pStyle w:val="Compact"/>
                    <w:jc w:val="left"/>
                    <w:jc w:val="center"/>
                  </w:pPr>
                  <w:r>
                    <w:t xml:space="preserve">one labelled estimate with SE, CI, p, and flags</w:t>
                  </w:r>
                </w:p>
              </w:tc>
            </w:tr>
            <w:tr>
              <w:tc>
                <w:tcPr/>
                <w:p>
                  <w:pPr>
                    <w:pStyle w:val="Compact"/>
                    <w:jc w:val="left"/>
                    <w:jc w:val="center"/>
                  </w:pPr>
                  <w:r>
                    <w:t xml:space="preserve">estimate</w:t>
                  </w:r>
                </w:p>
              </w:tc>
              <w:tc>
                <w:tcPr/>
                <w:p>
                  <w:pPr>
                    <w:pStyle w:val="Compact"/>
                    <w:jc w:val="left"/>
                    <w:jc w:val="center"/>
                  </w:pPr>
                  <w:r>
                    <w:t xml:space="preserve">run_estimand_ladder()</w:t>
                  </w:r>
                </w:p>
              </w:tc>
              <w:tc>
                <w:tcPr/>
                <w:p>
                  <w:pPr>
                    <w:pStyle w:val="Compact"/>
                    <w:jc w:val="left"/>
                    <w:jc w:val="center"/>
                  </w:pPr>
                  <w:r>
                    <w:t xml:space="preserve">Estimate the declared primary when feasible plus every feasible fallback; label every row; log every switch and override.</w:t>
                  </w:r>
                </w:p>
              </w:tc>
              <w:tc>
                <w:tcPr/>
                <w:p>
                  <w:pPr>
                    <w:pStyle w:val="Compact"/>
                    <w:jc w:val="left"/>
                    <w:jc w:val="center"/>
                  </w:pPr>
                  <w:r>
                    <w:t xml:space="preserve">one labelled row per feasible estimand; logged switch</w:t>
                  </w:r>
                </w:p>
              </w:tc>
            </w:tr>
            <w:tr>
              <w:tc>
                <w:tcPr/>
                <w:p>
                  <w:pPr>
                    <w:pStyle w:val="Compact"/>
                    <w:jc w:val="left"/>
                    <w:jc w:val="center"/>
                  </w:pPr>
                  <w:r>
                    <w:t xml:space="preserve">report</w:t>
                  </w:r>
                </w:p>
              </w:tc>
              <w:tc>
                <w:tcPr/>
                <w:p>
                  <w:pPr>
                    <w:pStyle w:val="Compact"/>
                    <w:jc w:val="left"/>
                    <w:jc w:val="center"/>
                  </w:pPr>
                  <w:r>
                    <w:t xml:space="preserve">design_report()</w:t>
                  </w:r>
                </w:p>
              </w:tc>
              <w:tc>
                <w:tcPr/>
                <w:p>
                  <w:pPr>
                    <w:pStyle w:val="Compact"/>
                    <w:jc w:val="left"/>
                    <w:jc w:val="center"/>
                  </w:pPr>
                  <w:r>
                    <w:t xml:space="preserve">Assemble what the review team reads before outcomes are unlocked, with a one-line recommendation and the TARGET emulation table.</w:t>
                  </w:r>
                </w:p>
              </w:tc>
              <w:tc>
                <w:tcPr/>
                <w:p>
                  <w:pPr>
                    <w:pStyle w:val="Compact"/>
                    <w:jc w:val="left"/>
                    <w:jc w:val="center"/>
                  </w:pPr>
                  <w:r>
                    <w:t xml:space="preserve">recommendation: primary not supported; ladder engaged</w:t>
                  </w:r>
                </w:p>
              </w:tc>
            </w:tr>
          </w:tbl>
          <w:bookmarkEnd w:id="29"/>
          <w:p/>
        </w:tc>
      </w:tr>
    </w:tbl>
    <w:bookmarkEnd w:id="30"/>
    <w:bookmarkStart w:id="35" w:name="sec-estimand"/>
    <w:p>
      <w:pPr>
        <w:pStyle w:val="Heading1"/>
      </w:pPr>
      <w:r>
        <w:t xml:space="preserve">4. Estimand, Causal Model, and Identifiability</w:t>
      </w:r>
    </w:p>
    <w:bookmarkStart w:id="31" w:name="estimand-specification"/>
    <w:p>
      <w:pPr>
        <w:pStyle w:val="Heading2"/>
      </w:pPr>
      <w:r>
        <w:t xml:space="preserve">4.1 Estimand specification</w:t>
      </w:r>
    </w:p>
    <w:p>
      <w:pPr>
        <w:pStyle w:val="FirstParagraph"/>
      </w:pPr>
      <w:r>
        <w:t xml:space="preserve">We follow</w:t>
      </w:r>
      <w:r>
        <w:t xml:space="preserve"> </w:t>
      </w:r>
      <w:r>
        <w:t xml:space="preserve">International Council for Harmonisation (2019)</w:t>
      </w:r>
      <w:r>
        <w:t xml:space="preserve"> </w:t>
      </w:r>
      <w:r>
        <w:t xml:space="preserve">and</w:t>
      </w:r>
      <w:r>
        <w:t xml:space="preserve"> </w:t>
      </w:r>
      <w:r>
        <w:t xml:space="preserve">Dang et al. (2023)</w:t>
      </w:r>
      <w:r>
        <w:t xml:space="preserve"> </w:t>
      </w:r>
      <w:r>
        <w:t xml:space="preserve">by writing the estimand</w:t>
      </w:r>
      <w:r>
        <w:t xml:space="preserve"> </w:t>
      </w:r>
      <w:r>
        <w:t xml:space="preserve">along five attributes. For the running example the population is</w:t>
      </w:r>
      <w:r>
        <w:t xml:space="preserve"> </w:t>
      </w:r>
      <w:r>
        <w:t xml:space="preserve">adults eligible at the index visit. The treatment is a binary point</w:t>
      </w:r>
      <w:r>
        <w:t xml:space="preserve"> </w:t>
      </w:r>
      <w:r>
        <w:t xml:space="preserve">exposure</w:t>
      </w:r>
      <w:r>
        <w:t xml:space="preserve"> </w:t>
      </w:r>
      <m:oMath>
        <m:r>
          <m:t>A</m:t>
        </m:r>
        <m:r>
          <m:rPr>
            <m:sty m:val="p"/>
          </m:rPr>
          <m:t>∈</m:t>
        </m:r>
        <m:r>
          <m:rPr>
            <m:sty m:val="p"/>
          </m:rPr>
          <m:t>{</m:t>
        </m:r>
        <m:r>
          <m:t>0</m:t>
        </m:r>
        <m:r>
          <m:rPr>
            <m:sty m:val="p"/>
          </m:rPr>
          <m:t>,</m:t>
        </m:r>
        <m:r>
          <m:t>1</m:t>
        </m:r>
        <m:r>
          <m:rPr>
            <m:sty m:val="p"/>
          </m:rPr>
          <m:t>}</m:t>
        </m:r>
      </m:oMath>
      <w:r>
        <w:t xml:space="preserve"> </w:t>
      </w:r>
      <w:r>
        <w:t xml:space="preserve">at index. The endpoint is a binary</w:t>
      </w:r>
      <w:r>
        <w:t xml:space="preserve"> </w:t>
      </w:r>
      <w:r>
        <w:t xml:space="preserve">indicator of the primary event by 24 months, denoted</w:t>
      </w:r>
      <w:r>
        <w:t xml:space="preserve"> </w:t>
      </w:r>
      <m:oMath>
        <m:r>
          <m:t>Y</m:t>
        </m:r>
      </m:oMath>
      <w:r>
        <w:t xml:space="preserve">. The</w:t>
      </w:r>
      <w:r>
        <w:t xml:space="preserve"> </w:t>
      </w:r>
      <w:r>
        <w:t xml:space="preserve">summary measure is the marginal counterfactual risk difference</w:t>
      </w:r>
      <w:r>
        <w:t xml:space="preserve"> </w:t>
      </w:r>
      <m:oMath>
        <m:r>
          <m:t>Ψ</m:t>
        </m:r>
        <m:r>
          <m:rPr>
            <m:sty m:val="p"/>
          </m:rPr>
          <m:t>=</m:t>
        </m:r>
        <m:r>
          <m:t>E</m:t>
        </m:r>
        <m:r>
          <m:rPr>
            <m:sty m:val="p"/>
          </m:rPr>
          <m:t>{</m:t>
        </m:r>
        <m:r>
          <m:t>Y</m:t>
        </m:r>
        <m:d>
          <m:dPr>
            <m:begChr m:val="("/>
            <m:endChr m:val=")"/>
            <m:sepChr m:val=""/>
            <m:grow/>
          </m:dPr>
          <m:e>
            <m:r>
              <m:t>1</m:t>
            </m:r>
          </m:e>
        </m:d>
        <m:r>
          <m:rPr>
            <m:sty m:val="p"/>
          </m:rPr>
          <m:t>}</m:t>
        </m:r>
        <m:r>
          <m:rPr>
            <m:sty m:val="p"/>
          </m:rPr>
          <m:t>−</m:t>
        </m:r>
        <m:r>
          <m:t>E</m:t>
        </m:r>
        <m:r>
          <m:rPr>
            <m:sty m:val="p"/>
          </m:rPr>
          <m:t>{</m:t>
        </m:r>
        <m:r>
          <m:t>Y</m:t>
        </m:r>
        <m:d>
          <m:dPr>
            <m:begChr m:val="("/>
            <m:endChr m:val=")"/>
            <m:sepChr m:val=""/>
            <m:grow/>
          </m:dPr>
          <m:e>
            <m:r>
              <m:t>0</m:t>
            </m:r>
          </m:e>
        </m:d>
        <m:r>
          <m:rPr>
            <m:sty m:val="p"/>
          </m:rPr>
          <m:t>}</m:t>
        </m:r>
      </m:oMath>
      <w:r>
        <w:t xml:space="preserve">. Intercurrent events are handled</w:t>
      </w:r>
      <w:r>
        <w:t xml:space="preserve"> </w:t>
      </w:r>
      <w:r>
        <w:t xml:space="preserve">under a treatment-policy strategy; censoring and treatment</w:t>
      </w:r>
      <w:r>
        <w:t xml:space="preserve"> </w:t>
      </w:r>
      <w:r>
        <w:t xml:space="preserve">switching are not modelled in this illustration. The corresponding</w:t>
      </w:r>
      <w:r>
        <w:t xml:space="preserve"> </w:t>
      </w:r>
      <w:r>
        <w:t xml:space="preserve">statistical estimand under the identification assumptions in</w:t>
      </w:r>
      <w:r>
        <w:t xml:space="preserve"> </w:t>
      </w:r>
      <w:hyperlink w:anchor="sec-id">
        <w:r>
          <w:rPr>
            <w:rStyle w:val="Hyperlink"/>
          </w:rPr>
          <w:t xml:space="preserve">Section 4.4</w:t>
        </w:r>
      </w:hyperlink>
      <w:r>
        <w:t xml:space="preserve"> </w:t>
      </w:r>
      <w:r>
        <w:t xml:space="preserve">is</w:t>
      </w:r>
      <w:r>
        <w:t xml:space="preserve"> </w:t>
      </w:r>
      <m:oMath>
        <m:r>
          <m:t>Ψ</m:t>
        </m:r>
        <m:r>
          <m:rPr>
            <m:sty m:val="p"/>
          </m:rPr>
          <m:t>=</m:t>
        </m:r>
        <m:sSub>
          <m:e>
            <m:r>
              <m:t>E</m:t>
            </m:r>
          </m:e>
          <m:sub>
            <m:r>
              <m:t>W</m:t>
            </m:r>
          </m:sub>
        </m:sSub>
        <m:r>
          <m:rPr>
            <m:sty m:val="p"/>
          </m:rPr>
          <m:t>{</m:t>
        </m:r>
        <m:r>
          <m:t>E</m:t>
        </m:r>
        <m:d>
          <m:dPr>
            <m:begChr m:val="["/>
            <m:endChr m:val="]"/>
            <m:sepChr m:val=""/>
            <m:grow/>
          </m:dPr>
          <m:e>
            <m:r>
              <m:t>Y</m:t>
            </m:r>
            <m:r>
              <m:rPr>
                <m:sty m:val="p"/>
              </m:rPr>
              <m:t>∣</m:t>
            </m:r>
            <m:r>
              <m:t>A</m:t>
            </m:r>
            <m:r>
              <m:rPr>
                <m:sty m:val="p"/>
              </m:rPr>
              <m:t>=</m:t>
            </m:r>
            <m:r>
              <m:t>1</m:t>
            </m:r>
            <m:r>
              <m:rPr>
                <m:sty m:val="p"/>
              </m:rPr>
              <m:t>,</m:t>
            </m:r>
            <m:r>
              <m:t>W</m:t>
            </m:r>
          </m:e>
        </m:d>
        <m:r>
          <m:rPr>
            <m:sty m:val="p"/>
          </m:rPr>
          <m:t>−</m:t>
        </m:r>
        <m:r>
          <m:t>E</m:t>
        </m:r>
        <m:d>
          <m:dPr>
            <m:begChr m:val="["/>
            <m:endChr m:val="]"/>
            <m:sepChr m:val=""/>
            <m:grow/>
          </m:dPr>
          <m:e>
            <m:r>
              <m:t>Y</m:t>
            </m:r>
            <m:r>
              <m:rPr>
                <m:sty m:val="p"/>
              </m:rPr>
              <m:t>∣</m:t>
            </m:r>
            <m:r>
              <m:t>A</m:t>
            </m:r>
            <m:r>
              <m:rPr>
                <m:sty m:val="p"/>
              </m:rPr>
              <m:t>=</m:t>
            </m:r>
            <m:r>
              <m:t>0</m:t>
            </m:r>
            <m:r>
              <m:rPr>
                <m:sty m:val="p"/>
              </m:rPr>
              <m:t>,</m:t>
            </m:r>
            <m:r>
              <m:t>W</m:t>
            </m:r>
          </m:e>
        </m:d>
        <m:r>
          <m:rPr>
            <m:sty m:val="p"/>
          </m:rPr>
          <m:t>}</m:t>
        </m:r>
      </m:oMath>
      <w:r>
        <w:t xml:space="preserve">,</w:t>
      </w:r>
      <w:r>
        <w:t xml:space="preserve"> </w:t>
      </w:r>
      <w:r>
        <w:t xml:space="preserve">the marginal g-formula contrast</w:t>
      </w:r>
      <w:r>
        <w:t xml:space="preserve"> </w:t>
      </w:r>
      <w:r>
        <w:t xml:space="preserve">(J. Robins 1986; Miguel A. Hernán and Robins 2020)</w:t>
      </w:r>
      <w:r>
        <w:t xml:space="preserve">.</w:t>
      </w:r>
    </w:p>
    <w:p>
      <w:pPr>
        <w:pStyle w:val="BodyText"/>
      </w:pPr>
      <w:r>
        <w:t xml:space="preserve">In the workflow this specification is recorded on the lock at</w:t>
      </w:r>
      <w:r>
        <w:t xml:space="preserve"> </w:t>
      </w:r>
      <w:r>
        <w:t xml:space="preserve">Stage 1a and is preserved on the lock object that downstream stages</w:t>
      </w:r>
      <w:r>
        <w:t xml:space="preserve"> </w:t>
      </w:r>
      <w:r>
        <w:t xml:space="preserve">consume. The estimand fields are not part of the integrity</w:t>
      </w:r>
      <w:r>
        <w:t xml:space="preserve"> </w:t>
      </w:r>
      <w:r>
        <w:t xml:space="preserve">fingerprint computed by</w:t>
      </w:r>
      <w:r>
        <w:t xml:space="preserve"> </w:t>
      </w:r>
      <w:r>
        <w:rPr>
          <w:rStyle w:val="VerbatimChar"/>
        </w:rPr>
        <w:t xml:space="preserve">create_analysis_lock()</w:t>
      </w:r>
      <w:r>
        <w:t xml:space="preserve">; analysts who want</w:t>
      </w:r>
      <w:r>
        <w:t xml:space="preserve"> </w:t>
      </w:r>
      <w:r>
        <w:t xml:space="preserve">a tamper-evident estimand record can log it with a</w:t>
      </w:r>
      <w:r>
        <w:t xml:space="preserve"> </w:t>
      </w:r>
      <w:r>
        <w:rPr>
          <w:rStyle w:val="VerbatimChar"/>
        </w:rPr>
        <w:t xml:space="preserve">record_decision_log_entry()</w:t>
      </w:r>
      <w:r>
        <w:t xml:space="preserve"> </w:t>
      </w:r>
      <w:r>
        <w:t xml:space="preserve">call so that any later modification is</w:t>
      </w:r>
      <w:r>
        <w:t xml:space="preserve"> </w:t>
      </w:r>
      <w:r>
        <w:t xml:space="preserve">visible in the exported decision log.</w:t>
      </w:r>
    </w:p>
    <w:bookmarkEnd w:id="31"/>
    <w:bookmarkStart w:id="32" w:name="causal-model"/>
    <w:p>
      <w:pPr>
        <w:pStyle w:val="Heading2"/>
      </w:pPr>
      <w:r>
        <w:t xml:space="preserve">4.2 Causal model</w:t>
      </w:r>
    </w:p>
    <w:p>
      <w:pPr>
        <w:pStyle w:val="FirstParagraph"/>
      </w:pPr>
      <w:r>
        <w:t xml:space="preserve">The data-generating process has five baseline covariates</w:t>
      </w:r>
      <w:r>
        <w:t xml:space="preserve"> </w:t>
      </w:r>
      <m:oMath>
        <m:r>
          <m:t>W</m:t>
        </m:r>
        <m:r>
          <m:rPr>
            <m:sty m:val="p"/>
          </m:rPr>
          <m:t>=</m:t>
        </m:r>
        <m:d>
          <m:dPr>
            <m:begChr m:val="("/>
            <m:endChr m:val=")"/>
            <m:sepChr m:val=""/>
            <m:grow/>
          </m:dPr>
          <m:e>
            <m:r>
              <m:rPr>
                <m:nor/>
                <m:sty m:val="p"/>
              </m:rPr>
              <m:t>age</m:t>
            </m:r>
            <m:r>
              <m:rPr>
                <m:sty m:val="p"/>
              </m:rPr>
              <m:t>,</m:t>
            </m:r>
            <m:r>
              <m:rPr>
                <m:nor/>
                <m:sty m:val="p"/>
              </m:rPr>
              <m:t>sex</m:t>
            </m:r>
            <m:r>
              <m:rPr>
                <m:sty m:val="p"/>
              </m:rPr>
              <m:t>,</m:t>
            </m:r>
            <m:r>
              <m:rPr>
                <m:nor/>
                <m:sty m:val="p"/>
              </m:rPr>
              <m:t>biomarker</m:t>
            </m:r>
            <m:r>
              <m:rPr>
                <m:sty m:val="p"/>
              </m:rPr>
              <m:t>,</m:t>
            </m:r>
            <m:r>
              <m:rPr>
                <m:nor/>
                <m:sty m:val="p"/>
              </m:rPr>
              <m:t>comorbidity</m:t>
            </m:r>
            <m:r>
              <m:rPr>
                <m:sty m:val="p"/>
              </m:rPr>
              <m:t>,</m:t>
            </m:r>
            <m:r>
              <m:rPr>
                <m:nor/>
                <m:sty m:val="p"/>
              </m:rPr>
              <m:t>CKD</m:t>
            </m:r>
          </m:e>
        </m:d>
      </m:oMath>
      <w:r>
        <w:t xml:space="preserve">,</w:t>
      </w:r>
      <w:r>
        <w:t xml:space="preserve"> </w:t>
      </w:r>
      <w:r>
        <w:t xml:space="preserve">a binary treatment</w:t>
      </w:r>
      <w:r>
        <w:t xml:space="preserve"> </w:t>
      </w:r>
      <m:oMath>
        <m:r>
          <m:t>A</m:t>
        </m:r>
      </m:oMath>
      <w:r>
        <w:t xml:space="preserve"> </w:t>
      </w:r>
      <w:r>
        <w:t xml:space="preserve">that depends on</w:t>
      </w:r>
      <w:r>
        <w:t xml:space="preserve"> </w:t>
      </w:r>
      <m:oMath>
        <m:r>
          <m:t>W</m:t>
        </m:r>
      </m:oMath>
      <w:r>
        <w:t xml:space="preserve">, and a binary outcome</w:t>
      </w:r>
      <w:r>
        <w:t xml:space="preserve"> </w:t>
      </w:r>
      <m:oMath>
        <m:r>
          <m:t>Y</m:t>
        </m:r>
      </m:oMath>
      <w:r>
        <w:t xml:space="preserve"> </w:t>
      </w:r>
      <w:r>
        <w:t xml:space="preserve">at 24 months. In the unmeasured-confounding scenario a binary</w:t>
      </w:r>
      <w:r>
        <w:t xml:space="preserve"> </w:t>
      </w:r>
      <m:oMath>
        <m:r>
          <m:t>U</m:t>
        </m:r>
        <m:r>
          <m:rPr>
            <m:sty m:val="p"/>
          </m:rPr>
          <m:t>∼</m:t>
        </m:r>
        <m:r>
          <m:rPr>
            <m:nor/>
            <m:sty m:val="p"/>
          </m:rPr>
          <m:t>Bern</m:t>
        </m:r>
        <m:d>
          <m:dPr>
            <m:begChr m:val="("/>
            <m:endChr m:val=")"/>
            <m:sepChr m:val=""/>
            <m:grow/>
          </m:dPr>
          <m:e>
            <m:sSub>
              <m:e>
                <m:r>
                  <m:t>p</m:t>
                </m:r>
              </m:e>
              <m:sub>
                <m:r>
                  <m:t>U</m:t>
                </m:r>
              </m:sub>
            </m:sSub>
          </m:e>
        </m:d>
      </m:oMath>
      <w:r>
        <w:t xml:space="preserve"> </w:t>
      </w:r>
      <w:r>
        <w:t xml:space="preserve">also affects both</w:t>
      </w:r>
      <w:r>
        <w:t xml:space="preserve"> </w:t>
      </w:r>
      <m:oMath>
        <m:r>
          <m:t>A</m:t>
        </m:r>
      </m:oMath>
      <w:r>
        <w:t xml:space="preserve"> </w:t>
      </w:r>
      <w:r>
        <w:t xml:space="preserve">and</w:t>
      </w:r>
      <w:r>
        <w:t xml:space="preserve"> </w:t>
      </w:r>
      <m:oMath>
        <m:r>
          <m:t>Y</m:t>
        </m:r>
      </m:oMath>
      <w:r>
        <w:t xml:space="preserve">. The DAG</w:t>
      </w:r>
      <w:r>
        <w:t xml:space="preserve"> </w:t>
      </w:r>
      <w:r>
        <w:t xml:space="preserve">is</w:t>
      </w:r>
    </w:p>
    <w:p>
      <w:pPr>
        <w:pStyle w:val="SourceCode"/>
      </w:pPr>
      <w:r>
        <w:rPr>
          <w:rStyle w:val="VerbatimChar"/>
        </w:rPr>
        <w:t xml:space="preserve">   W ───► A ──► Y</w:t>
      </w:r>
      <w:r>
        <w:br/>
      </w:r>
      <w:r>
        <w:rPr>
          <w:rStyle w:val="VerbatimChar"/>
        </w:rPr>
        <w:t xml:space="preserve">   │          ▲</w:t>
      </w:r>
      <w:r>
        <w:br/>
      </w:r>
      <w:r>
        <w:rPr>
          <w:rStyle w:val="VerbatimChar"/>
        </w:rPr>
        <w:t xml:space="preserve">   └──────────┘</w:t>
      </w:r>
      <w:r>
        <w:br/>
      </w:r>
      <w:r>
        <w:rPr>
          <w:rStyle w:val="VerbatimChar"/>
        </w:rPr>
        <w:t xml:space="preserve">   (Scenario C only:)</w:t>
      </w:r>
      <w:r>
        <w:br/>
      </w:r>
      <w:r>
        <w:rPr>
          <w:rStyle w:val="VerbatimChar"/>
        </w:rPr>
        <w:t xml:space="preserve">   U ──► A</w:t>
      </w:r>
      <w:r>
        <w:br/>
      </w:r>
      <w:r>
        <w:rPr>
          <w:rStyle w:val="VerbatimChar"/>
        </w:rPr>
        <w:t xml:space="preserve">   U ──► Y</w:t>
      </w:r>
    </w:p>
    <w:p>
      <w:pPr>
        <w:pStyle w:val="FirstParagraph"/>
      </w:pPr>
      <w:r>
        <w:t xml:space="preserve">with no arrow from</w:t>
      </w:r>
      <w:r>
        <w:t xml:space="preserve"> </w:t>
      </w:r>
      <m:oMath>
        <m:r>
          <m:t>A</m:t>
        </m:r>
      </m:oMath>
      <w:r>
        <w:t xml:space="preserve"> </w:t>
      </w:r>
      <w:r>
        <w:t xml:space="preserve">to</w:t>
      </w:r>
      <w:r>
        <w:t xml:space="preserve"> </w:t>
      </w:r>
      <m:oMath>
        <m:r>
          <m:t>W</m:t>
        </m:r>
      </m:oMath>
      <w:r>
        <w:t xml:space="preserve"> </w:t>
      </w:r>
      <w:r>
        <w:t xml:space="preserve">(point exposure) and no arrow</w:t>
      </w:r>
      <w:r>
        <w:t xml:space="preserve"> </w:t>
      </w:r>
      <w:r>
        <w:t xml:space="preserve">between</w:t>
      </w:r>
      <w:r>
        <w:t xml:space="preserve"> </w:t>
      </w:r>
      <m:oMath>
        <m:r>
          <m:t>W</m:t>
        </m:r>
      </m:oMath>
      <w:r>
        <w:t xml:space="preserve"> </w:t>
      </w:r>
      <w:r>
        <w:t xml:space="preserve">and</w:t>
      </w:r>
      <w:r>
        <w:t xml:space="preserve"> </w:t>
      </w:r>
      <m:oMath>
        <m:r>
          <m:t>U</m:t>
        </m:r>
      </m:oMath>
      <w:r>
        <w:t xml:space="preserve">.</w:t>
      </w:r>
    </w:p>
    <w:bookmarkEnd w:id="32"/>
    <w:bookmarkStart w:id="33" w:name="event-process-classification"/>
    <w:p>
      <w:pPr>
        <w:pStyle w:val="Heading2"/>
      </w:pPr>
      <w:r>
        <w:t xml:space="preserve">4.3 Event-process classification</w:t>
      </w:r>
    </w:p>
    <w:p>
      <w:pPr>
        <w:pStyle w:val="FirstParagraph"/>
      </w:pPr>
      <w:r>
        <w:t xml:space="preserve">A recurring source of ambiguity in real-world evidence analyses</w:t>
      </w:r>
      <w:r>
        <w:t xml:space="preserve"> </w:t>
      </w:r>
      <w:r>
        <w:t xml:space="preserve">is the treatment of post-baseline events such as treatment</w:t>
      </w:r>
      <w:r>
        <w:t xml:space="preserve"> </w:t>
      </w:r>
      <w:r>
        <w:t xml:space="preserve">discontinuation, treatment switching, death, loss to follow-up,</w:t>
      </w:r>
      <w:r>
        <w:t xml:space="preserve"> </w:t>
      </w:r>
      <w:r>
        <w:t xml:space="preserve">administrative end of follow-up, and missing outcome measurement.</w:t>
      </w:r>
      <w:r>
        <w:t xml:space="preserve"> </w:t>
      </w:r>
      <w:r>
        <w:t xml:space="preserve">These events should not be assigned generically to censoring or</w:t>
      </w:r>
      <w:r>
        <w:t xml:space="preserve"> </w:t>
      </w:r>
      <w:r>
        <w:t xml:space="preserve">exclusion rules. Instead, each event should be mapped to its role</w:t>
      </w:r>
      <w:r>
        <w:t xml:space="preserve"> </w:t>
      </w:r>
      <w:r>
        <w:t xml:space="preserve">in the causal estimand, its corresponding ICH E9(R1)</w:t>
      </w:r>
      <w:r>
        <w:t xml:space="preserve"> </w:t>
      </w:r>
      <w:r>
        <w:t xml:space="preserve">intercurrent-event strategy when applicable, and its operational</w:t>
      </w:r>
      <w:r>
        <w:t xml:space="preserve"> </w:t>
      </w:r>
      <w:r>
        <w:t xml:space="preserve">role in estimation. For example, death may be an outcome, a</w:t>
      </w:r>
      <w:r>
        <w:t xml:space="preserve"> </w:t>
      </w:r>
      <w:r>
        <w:t xml:space="preserve">competing event, a component of a composite endpoint, or an</w:t>
      </w:r>
      <w:r>
        <w:t xml:space="preserve"> </w:t>
      </w:r>
      <w:r>
        <w:t xml:space="preserve">intercurrent event requiring a treatment-policy, hypothetical,</w:t>
      </w:r>
      <w:r>
        <w:t xml:space="preserve"> </w:t>
      </w:r>
      <w:r>
        <w:t xml:space="preserve">composite, while-on-treatment, or principal-stratum strategy,</w:t>
      </w:r>
      <w:r>
        <w:t xml:space="preserve"> </w:t>
      </w:r>
      <w:r>
        <w:t xml:space="preserve">depending on the clinical question. This classification should be</w:t>
      </w:r>
      <w:r>
        <w:t xml:space="preserve"> </w:t>
      </w:r>
      <w:r>
        <w:t xml:space="preserve">prespecified and linked to sensitivity analyses, and recorded as a</w:t>
      </w:r>
      <w:r>
        <w:t xml:space="preserve"> </w:t>
      </w:r>
      <w:r>
        <w:t xml:space="preserve">structured object that the audit log can carry.</w:t>
      </w:r>
    </w:p>
    <w:bookmarkEnd w:id="33"/>
    <w:bookmarkStart w:id="34" w:name="sec-id"/>
    <w:p>
      <w:pPr>
        <w:pStyle w:val="Heading2"/>
      </w:pPr>
      <w:r>
        <w:t xml:space="preserve">4.4 Identifiability assumptions</w:t>
      </w:r>
    </w:p>
    <w:p>
      <w:pPr>
        <w:pStyle w:val="FirstParagraph"/>
      </w:pPr>
      <w:r>
        <w:t xml:space="preserve">Under this DAG,</w:t>
      </w:r>
      <w:r>
        <w:t xml:space="preserve"> </w:t>
      </w:r>
      <m:oMath>
        <m:r>
          <m:t>Ψ</m:t>
        </m:r>
      </m:oMath>
      <w:r>
        <w:t xml:space="preserve"> </w:t>
      </w:r>
      <w:r>
        <w:t xml:space="preserve">is identified by the g-formula if three</w:t>
      </w:r>
      <w:r>
        <w:t xml:space="preserve"> </w:t>
      </w:r>
      <w:r>
        <w:t xml:space="preserve">identification assumptions hold</w:t>
      </w:r>
      <w:r>
        <w:t xml:space="preserve"> </w:t>
      </w:r>
      <w:r>
        <w:t xml:space="preserve">(Miguel A. Hernán and Robins 2020)</w:t>
      </w:r>
      <w:r>
        <w:t xml:space="preserve">:</w:t>
      </w:r>
    </w:p>
    <w:p>
      <w:pPr>
        <w:pStyle w:val="Compact"/>
        <w:numPr>
          <w:ilvl w:val="0"/>
          <w:numId w:val="1001"/>
        </w:numPr>
      </w:pPr>
      <w:r>
        <w:rPr>
          <w:i/>
          <w:iCs/>
        </w:rPr>
        <w:t xml:space="preserve">Conditional exchangeability</w:t>
      </w:r>
      <w:r>
        <w:t xml:space="preserve">,</w:t>
      </w:r>
      <w:r>
        <w:t xml:space="preserve"> </w:t>
      </w:r>
      <m:oMath>
        <m:r>
          <m:t>Y</m:t>
        </m:r>
        <m:d>
          <m:dPr>
            <m:begChr m:val="("/>
            <m:endChr m:val=")"/>
            <m:sepChr m:val=""/>
            <m:grow/>
          </m:dPr>
          <m:e>
            <m:r>
              <m:t>a</m:t>
            </m:r>
          </m:e>
        </m:d>
        <m:r>
          <m:rPr>
            <m:sty m:val="p"/>
          </m:rPr>
          <m:t>⊥</m:t>
        </m:r>
        <m:r>
          <m:t>​</m:t>
        </m:r>
        <m:r>
          <m:t>​</m:t>
        </m:r>
        <m:r>
          <m:t>​</m:t>
        </m:r>
        <m:r>
          <m:rPr>
            <m:sty m:val="p"/>
          </m:rPr>
          <m:t>⊥</m:t>
        </m:r>
        <m:r>
          <m:t>A</m:t>
        </m:r>
        <m:r>
          <m:rPr>
            <m:sty m:val="p"/>
          </m:rPr>
          <m:t>∣</m:t>
        </m:r>
        <m:r>
          <m:t>W</m:t>
        </m:r>
      </m:oMath>
      <w:r>
        <w:t xml:space="preserve">.</w:t>
      </w:r>
      <w:r>
        <w:t xml:space="preserve"> </w:t>
      </w:r>
      <w:r>
        <w:t xml:space="preserve">This holds in scenarios A and B by construction. It is violated</w:t>
      </w:r>
      <w:r>
        <w:t xml:space="preserve"> </w:t>
      </w:r>
      <w:r>
        <w:t xml:space="preserve">by construction in scenario C, where</w:t>
      </w:r>
      <w:r>
        <w:t xml:space="preserve"> </w:t>
      </w:r>
      <m:oMath>
        <m:r>
          <m:t>U</m:t>
        </m:r>
      </m:oMath>
      <w:r>
        <w:t xml:space="preserve"> </w:t>
      </w:r>
      <w:r>
        <w:t xml:space="preserve">is not in the analyst’s</w:t>
      </w:r>
      <w:r>
        <w:t xml:space="preserve"> </w:t>
      </w:r>
      <w:r>
        <w:t xml:space="preserve">adjustment set.</w:t>
      </w:r>
      <w:r>
        <w:t xml:space="preserve"> </w:t>
      </w:r>
      <w:r>
        <w:rPr>
          <w:b/>
          <w:bCs/>
        </w:rPr>
        <w:t xml:space="preserve">Probed by:</w:t>
      </w:r>
      <w:r>
        <w:t xml:space="preserve"> </w:t>
      </w:r>
      <w:r>
        <w:t xml:space="preserve">the unmeasured-confounding scenario</w:t>
      </w:r>
      <w:r>
        <w:t xml:space="preserve"> </w:t>
      </w:r>
      <w:r>
        <w:t xml:space="preserve">in</w:t>
      </w:r>
      <w:r>
        <w:t xml:space="preserve"> </w:t>
      </w:r>
      <w:r>
        <w:rPr>
          <w:rStyle w:val="VerbatimChar"/>
        </w:rPr>
        <w:t xml:space="preserve">run_plasmode_dq_stress()</w:t>
      </w:r>
      <w:r>
        <w:t xml:space="preserve">.</w:t>
      </w:r>
    </w:p>
    <w:p>
      <w:pPr>
        <w:pStyle w:val="Compact"/>
        <w:numPr>
          <w:ilvl w:val="0"/>
          <w:numId w:val="1001"/>
        </w:numPr>
      </w:pPr>
      <w:r>
        <w:rPr>
          <w:i/>
          <w:iCs/>
        </w:rPr>
        <w:t xml:space="preserve">Positivity</w:t>
      </w:r>
      <w:r>
        <w:t xml:space="preserve">,</w:t>
      </w:r>
      <w:r>
        <w:t xml:space="preserve"> </w:t>
      </w:r>
      <m:oMath>
        <m:r>
          <m:t>0</m:t>
        </m:r>
        <m:r>
          <m:rPr>
            <m:sty m:val="p"/>
          </m:rPr>
          <m:t>&lt;</m:t>
        </m:r>
        <m:r>
          <m:rPr>
            <m:sty m:val="p"/>
          </m:rPr>
          <m:t>Pr</m:t>
        </m:r>
        <m:d>
          <m:dPr>
            <m:begChr m:val="("/>
            <m:endChr m:val=")"/>
            <m:sepChr m:val=""/>
            <m:grow/>
          </m:dPr>
          <m:e>
            <m:r>
              <m:t>A</m:t>
            </m:r>
            <m:r>
              <m:rPr>
                <m:sty m:val="p"/>
              </m:rPr>
              <m:t>=</m:t>
            </m:r>
            <m:r>
              <m:t>1</m:t>
            </m:r>
            <m:r>
              <m:rPr>
                <m:sty m:val="p"/>
              </m:rPr>
              <m:t>∣</m:t>
            </m:r>
            <m:r>
              <m:t>W</m:t>
            </m:r>
          </m:e>
        </m:d>
        <m:r>
          <m:rPr>
            <m:sty m:val="p"/>
          </m:rPr>
          <m:t>&lt;</m:t>
        </m:r>
        <m:r>
          <m:t>1</m:t>
        </m:r>
      </m:oMath>
      <w:r>
        <w:t xml:space="preserve"> </w:t>
      </w:r>
      <w:r>
        <w:t xml:space="preserve">for every</w:t>
      </w:r>
      <w:r>
        <w:t xml:space="preserve"> </w:t>
      </w:r>
      <m:oMath>
        <m:r>
          <m:t>W</m:t>
        </m:r>
      </m:oMath>
      <w:r>
        <w:t xml:space="preserve"> </w:t>
      </w:r>
      <w:r>
        <w:t xml:space="preserve">in the</w:t>
      </w:r>
      <w:r>
        <w:t xml:space="preserve"> </w:t>
      </w:r>
      <w:r>
        <w:t xml:space="preserve">support. Scenario A satisfies this comfortably. Scenario B</w:t>
      </w:r>
      <w:r>
        <w:t xml:space="preserve"> </w:t>
      </w:r>
      <w:r>
        <w:t xml:space="preserve">pushes the propensity toward the boundary but does not violate</w:t>
      </w:r>
      <w:r>
        <w:t xml:space="preserve"> </w:t>
      </w:r>
      <w:r>
        <w:t xml:space="preserve">it in the limit.</w:t>
      </w:r>
      <w:r>
        <w:t xml:space="preserve"> </w:t>
      </w:r>
      <w:r>
        <w:rPr>
          <w:b/>
          <w:bCs/>
        </w:rPr>
        <w:t xml:space="preserve">Probed by:</w:t>
      </w:r>
      <w:r>
        <w:t xml:space="preserve"> </w:t>
      </w:r>
      <w:r>
        <w:t xml:space="preserve">the near-positivity scenario,</w:t>
      </w:r>
      <w:r>
        <w:t xml:space="preserve"> </w:t>
      </w:r>
      <w:r>
        <w:t xml:space="preserve">which amplifies the covariate-to-treatment association, and by the</w:t>
      </w:r>
      <w:r>
        <w:t xml:space="preserve"> </w:t>
      </w:r>
      <w:r>
        <w:t xml:space="preserve">truncation level of each TMLE candidate; near-positivity strain</w:t>
      </w:r>
      <w:r>
        <w:t xml:space="preserve"> </w:t>
      </w:r>
      <w:r>
        <w:t xml:space="preserve">shows up as inflated SE/SD in the baseline plasmode metrics. In</w:t>
      </w:r>
      <w:r>
        <w:t xml:space="preserve"> </w:t>
      </w:r>
      <w:r>
        <w:t xml:space="preserve">finite samples the binding form of this assumption is practical</w:t>
      </w:r>
      <w:r>
        <w:t xml:space="preserve"> </w:t>
      </w:r>
      <w:r>
        <w:t xml:space="preserve">positivity</w:t>
      </w:r>
      <w:r>
        <w:t xml:space="preserve"> </w:t>
      </w:r>
      <w:r>
        <w:t xml:space="preserve">(Petersen et al. 2012)</w:t>
      </w:r>
      <w:r>
        <w:t xml:space="preserve">, which</w:t>
      </w:r>
      <w:r>
        <w:t xml:space="preserve"> </w:t>
      </w:r>
      <w:hyperlink w:anchor="sec-support">
        <w:r>
          <w:rPr>
            <w:rStyle w:val="Hyperlink"/>
          </w:rPr>
          <w:t xml:space="preserve">Section 6</w:t>
        </w:r>
      </w:hyperlink>
      <w:r>
        <w:t xml:space="preserve"> </w:t>
      </w:r>
      <w:r>
        <w:t xml:space="preserve">treats as</w:t>
      </w:r>
      <w:r>
        <w:t xml:space="preserve"> </w:t>
      </w:r>
      <w:r>
        <w:t xml:space="preserve">a first-class design question with its own diagnostics, per-estimand</w:t>
      </w:r>
      <w:r>
        <w:t xml:space="preserve"> </w:t>
      </w:r>
      <w:r>
        <w:t xml:space="preserve">feasibility reading, and estimand ladder.</w:t>
      </w:r>
    </w:p>
    <w:p>
      <w:pPr>
        <w:pStyle w:val="Compact"/>
        <w:numPr>
          <w:ilvl w:val="0"/>
          <w:numId w:val="1001"/>
        </w:numPr>
      </w:pPr>
      <w:r>
        <w:rPr>
          <w:i/>
          <w:iCs/>
        </w:rPr>
        <w:t xml:space="preserve">Consistency / SUTVA</w:t>
      </w:r>
      <w:r>
        <w:t xml:space="preserve">,</w:t>
      </w:r>
      <w:r>
        <w:t xml:space="preserve"> </w:t>
      </w:r>
      <m:oMath>
        <m:r>
          <m:t>Y</m:t>
        </m:r>
        <m:r>
          <m:rPr>
            <m:sty m:val="p"/>
          </m:rPr>
          <m:t>=</m:t>
        </m:r>
        <m:r>
          <m:t>Y</m:t>
        </m:r>
        <m:d>
          <m:dPr>
            <m:begChr m:val="("/>
            <m:endChr m:val=")"/>
            <m:sepChr m:val=""/>
            <m:grow/>
          </m:dPr>
          <m:e>
            <m:r>
              <m:t>A</m:t>
            </m:r>
          </m:e>
        </m:d>
      </m:oMath>
      <w:r>
        <w:t xml:space="preserve">.</w:t>
      </w:r>
      <w:r>
        <w:t xml:space="preserve"> </w:t>
      </w:r>
      <w:r>
        <w:rPr>
          <w:b/>
          <w:bCs/>
        </w:rPr>
        <w:t xml:space="preserve">Probed by:</w:t>
      </w:r>
      <w:r>
        <w:t xml:space="preserve"> </w:t>
      </w:r>
      <w:r>
        <w:t xml:space="preserve">the treatment-</w:t>
      </w:r>
      <w:r>
        <w:t xml:space="preserve"> </w:t>
      </w:r>
      <w:r>
        <w:t xml:space="preserve">misclassification scenario, which simulates a violation of</w:t>
      </w:r>
      <w:r>
        <w:t xml:space="preserve"> </w:t>
      </w:r>
      <w:r>
        <w:t xml:space="preserve">consistency caused by exposure-algorithm error.</w:t>
      </w:r>
    </w:p>
    <w:p>
      <w:pPr>
        <w:pStyle w:val="FirstParagraph"/>
      </w:pPr>
      <w:r>
        <w:t xml:space="preserve">Identification of</w:t>
      </w:r>
      <w:r>
        <w:t xml:space="preserve"> </w:t>
      </w:r>
      <m:oMath>
        <m:r>
          <m:t>Ψ</m:t>
        </m:r>
      </m:oMath>
      <w:r>
        <w:t xml:space="preserve"> </w:t>
      </w:r>
      <w:r>
        <w:t xml:space="preserve">requires only these three. It does not</w:t>
      </w:r>
      <w:r>
        <w:t xml:space="preserve"> </w:t>
      </w:r>
      <w:r>
        <w:t xml:space="preserve">require that the nuisance models be correctly specified: that is the</w:t>
      </w:r>
      <w:r>
        <w:t xml:space="preserve"> </w:t>
      </w:r>
      <w:r>
        <w:t xml:space="preserve">point of targeted learning, whose targeting step keeps the estimator</w:t>
      </w:r>
      <w:r>
        <w:t xml:space="preserve"> </w:t>
      </w:r>
      <w:r>
        <w:t xml:space="preserve">consistent when the outcome model is misspecified but the propensity</w:t>
      </w:r>
      <w:r>
        <w:t xml:space="preserve"> </w:t>
      </w:r>
      <w:r>
        <w:t xml:space="preserve">model is not, and vice versa. Two further conditions are needed for</w:t>
      </w:r>
      <w:r>
        <w:t xml:space="preserve"> </w:t>
      </w:r>
      <w:r>
        <w:t xml:space="preserve">the estimate to be</w:t>
      </w:r>
      <w:r>
        <w:t xml:space="preserve"> </w:t>
      </w:r>
      <w:r>
        <w:rPr>
          <w:i/>
          <w:iCs/>
        </w:rPr>
        <w:t xml:space="preserve">trustworthy</w:t>
      </w:r>
      <w:r>
        <w:t xml:space="preserve"> </w:t>
      </w:r>
      <w:r>
        <w:t xml:space="preserve">rather than merely identified, and</w:t>
      </w:r>
      <w:r>
        <w:t xml:space="preserve"> </w:t>
      </w:r>
      <w:r>
        <w:t xml:space="preserve">the DQ stress test probes them alongside the identification</w:t>
      </w:r>
      <w:r>
        <w:t xml:space="preserve"> </w:t>
      </w:r>
      <w:r>
        <w:t xml:space="preserve">assumptions above. These are measurement and estimation conditions,</w:t>
      </w:r>
      <w:r>
        <w:t xml:space="preserve"> </w:t>
      </w:r>
      <w:r>
        <w:t xml:space="preserve">not identification assumptions:</w:t>
      </w:r>
    </w:p>
    <w:p>
      <w:pPr>
        <w:pStyle w:val="Compact"/>
        <w:numPr>
          <w:ilvl w:val="0"/>
          <w:numId w:val="1002"/>
        </w:numPr>
      </w:pPr>
      <w:r>
        <w:rPr>
          <w:i/>
          <w:iCs/>
        </w:rPr>
        <w:t xml:space="preserve">No measurement error in the outcome</w:t>
      </w:r>
      <w:r>
        <w:t xml:space="preserve">,</w:t>
      </w:r>
      <w:r>
        <w:t xml:space="preserve"> </w:t>
      </w:r>
      <m:oMath>
        <m:acc>
          <m:accPr>
            <m:chr m:val="̃"/>
          </m:accPr>
          <m:e>
            <m:r>
              <m:t>Y</m:t>
            </m:r>
          </m:e>
        </m:acc>
        <m:r>
          <m:rPr>
            <m:sty m:val="p"/>
          </m:rPr>
          <m:t>=</m:t>
        </m:r>
        <m:r>
          <m:t>Y</m:t>
        </m:r>
      </m:oMath>
      <w:r>
        <w:t xml:space="preserve">, and no</w:t>
      </w:r>
      <w:r>
        <w:t xml:space="preserve"> </w:t>
      </w:r>
      <w:r>
        <w:t xml:space="preserve">differential exposure or outcome misclassification.</w:t>
      </w:r>
      <w:r>
        <w:t xml:space="preserve"> </w:t>
      </w:r>
      <w:r>
        <w:rPr>
          <w:b/>
          <w:bCs/>
        </w:rPr>
        <w:t xml:space="preserve">Probed by:</w:t>
      </w:r>
      <w:r>
        <w:t xml:space="preserve"> </w:t>
      </w:r>
      <w:r>
        <w:t xml:space="preserve">the outcome-misclassification scenario, with optional per-arm</w:t>
      </w:r>
      <w:r>
        <w:t xml:space="preserve"> </w:t>
      </w:r>
      <w:r>
        <w:t xml:space="preserve">differential misclassification.</w:t>
      </w:r>
    </w:p>
    <w:p>
      <w:pPr>
        <w:pStyle w:val="Compact"/>
        <w:numPr>
          <w:ilvl w:val="0"/>
          <w:numId w:val="1002"/>
        </w:numPr>
      </w:pPr>
      <w:r>
        <w:rPr>
          <w:i/>
          <w:iCs/>
        </w:rPr>
        <w:t xml:space="preserve">Covariate missingness that median imputation can absorb.</w:t>
      </w:r>
      <w:r>
        <w:t xml:space="preserve"> </w:t>
      </w:r>
      <w:r>
        <w:t xml:space="preserve">The</w:t>
      </w:r>
      <w:r>
        <w:t xml:space="preserve"> </w:t>
      </w:r>
      <w:r>
        <w:t xml:space="preserve">stress test degrades</w:t>
      </w:r>
      <w:r>
        <w:t xml:space="preserve"> </w:t>
      </w:r>
      <m:oMath>
        <m:r>
          <m:t>W</m:t>
        </m:r>
      </m:oMath>
      <w:r>
        <w:t xml:space="preserve"> </w:t>
      </w:r>
      <w:r>
        <w:t xml:space="preserve">under MCAR, MAR, and MNAR masks</w:t>
      </w:r>
      <w:r>
        <w:t xml:space="preserve"> </w:t>
      </w:r>
      <w:r>
        <w:t xml:space="preserve">.</w:t>
      </w:r>
      <w:r>
        <w:t xml:space="preserve"> </w:t>
      </w:r>
      <w:r>
        <w:rPr>
          <w:b/>
          <w:bCs/>
        </w:rPr>
        <w:t xml:space="preserve">Probed by:</w:t>
      </w:r>
      <w:r>
        <w:t xml:space="preserve"> </w:t>
      </w:r>
      <w:r>
        <w:t xml:space="preserve">the covariate-missingness scenario, which masks a</w:t>
      </w:r>
      <w:r>
        <w:t xml:space="preserve"> </w:t>
      </w:r>
      <w:r>
        <w:t xml:space="preserve">fraction of values and imputes with the column median.</w:t>
      </w:r>
    </w:p>
    <w:p>
      <w:pPr>
        <w:pStyle w:val="FirstParagraph"/>
      </w:pPr>
      <w:r>
        <w:t xml:space="preserve">Estimation quality, the choice of SuperLearner library and truncation</w:t>
      </w:r>
      <w:r>
        <w:t xml:space="preserve"> </w:t>
      </w:r>
      <w:r>
        <w:t xml:space="preserve">rule for</w:t>
      </w:r>
      <w:r>
        <w:t xml:space="preserve"> </w:t>
      </w:r>
      <m:oMath>
        <m:r>
          <m:t>g</m:t>
        </m:r>
        <m:d>
          <m:dPr>
            <m:begChr m:val="("/>
            <m:endChr m:val=")"/>
            <m:sepChr m:val=""/>
            <m:grow/>
          </m:dPr>
          <m:e>
            <m:r>
              <m:t>W</m:t>
            </m:r>
          </m:e>
        </m:d>
      </m:oMath>
      <w:r>
        <w:t xml:space="preserve"> </w:t>
      </w:r>
      <w:r>
        <w:t xml:space="preserve">and</w:t>
      </w:r>
      <w:r>
        <w:t xml:space="preserve"> </w:t>
      </w:r>
      <m:oMath>
        <m:r>
          <m:t>E</m:t>
        </m:r>
        <m:d>
          <m:dPr>
            <m:begChr m:val="["/>
            <m:endChr m:val="]"/>
            <m:sepChr m:val=""/>
            <m:grow/>
          </m:dPr>
          <m:e>
            <m:r>
              <m:t>Y</m:t>
            </m:r>
            <m:r>
              <m:rPr>
                <m:sty m:val="p"/>
              </m:rPr>
              <m:t>∣</m:t>
            </m:r>
            <m:r>
              <m:t>A</m:t>
            </m:r>
            <m:r>
              <m:rPr>
                <m:sty m:val="p"/>
              </m:rPr>
              <m:t>,</m:t>
            </m:r>
            <m:r>
              <m:t>W</m:t>
            </m:r>
          </m:e>
        </m:d>
      </m:oMath>
      <w:r>
        <w:t xml:space="preserve">, is not an identification</w:t>
      </w:r>
      <w:r>
        <w:t xml:space="preserve"> </w:t>
      </w:r>
      <w:r>
        <w:t xml:space="preserve">assumption either; it is exercised by the standard plasmode</w:t>
      </w:r>
      <w:r>
        <w:t xml:space="preserve"> </w:t>
      </w:r>
      <w:r>
        <w:t xml:space="preserve">candidate-selection metrics, which compare candidates that vary the</w:t>
      </w:r>
      <w:r>
        <w:t xml:space="preserve"> </w:t>
      </w:r>
      <w:r>
        <w:t xml:space="preserve">library and the truncation rule.</w:t>
      </w:r>
    </w:p>
    <w:p>
      <w:pPr>
        <w:pStyle w:val="BodyText"/>
      </w:pPr>
      <w:r>
        <w:t xml:space="preserve">The simulation thus contains one analytic challenge (marginal</w:t>
      </w:r>
      <w:r>
        <w:t xml:space="preserve"> </w:t>
      </w:r>
      <w:r>
        <w:t xml:space="preserve">overlap, B) and one identifiability violation (unmeasured</w:t>
      </w:r>
      <w:r>
        <w:t xml:space="preserve"> </w:t>
      </w:r>
      <w:r>
        <w:t xml:space="preserve">confounding, C). We use C to demonstrate what the DQ stress test</w:t>
      </w:r>
      <w:r>
        <w:t xml:space="preserve"> </w:t>
      </w:r>
      <w:r>
        <w:t xml:space="preserve">flags under a prespecified latent-U scenario, and to</w:t>
      </w:r>
      <w:r>
        <w:t xml:space="preserve"> </w:t>
      </w:r>
      <w:r>
        <w:t xml:space="preserve">contrast the stress-test output with the post-hoc E-value</w:t>
      </w:r>
      <w:r>
        <w:t xml:space="preserve"> </w:t>
      </w:r>
      <w:r>
        <w:t xml:space="preserve">(VanderWeele and Ding 2017)</w:t>
      </w:r>
      <w:r>
        <w:t xml:space="preserve"> </w:t>
      </w:r>
      <w:r>
        <w:t xml:space="preserve">and with the negative-control-outcome</w:t>
      </w:r>
      <w:r>
        <w:t xml:space="preserve"> </w:t>
      </w:r>
      <w:r>
        <w:t xml:space="preserve">check</w:t>
      </w:r>
      <w:r>
        <w:t xml:space="preserve"> </w:t>
      </w:r>
      <w:r>
        <w:t xml:space="preserve">(Lipsitch, Tchetgen Tchetgen, and Cohen 2010)</w:t>
      </w:r>
      <w:r>
        <w:t xml:space="preserve">.</w:t>
      </w:r>
    </w:p>
    <w:bookmarkEnd w:id="34"/>
    <w:bookmarkEnd w:id="35"/>
    <w:bookmarkStart w:id="41" w:name="sec-framework"/>
    <w:p>
      <w:pPr>
        <w:pStyle w:val="Heading1"/>
      </w:pPr>
      <w:r>
        <w:t xml:space="preserve">5. The cleanTMLE Framework</w:t>
      </w:r>
    </w:p>
    <w:bookmarkStart w:id="36" w:name="staged-workflow"/>
    <w:p>
      <w:pPr>
        <w:pStyle w:val="Heading2"/>
      </w:pPr>
      <w:r>
        <w:t xml:space="preserve">5.1 Staged workflow</w:t>
      </w:r>
    </w:p>
    <w:p>
      <w:pPr>
        <w:pStyle w:val="FirstParagraph"/>
      </w:pPr>
      <w:r>
        <w:t xml:space="preserve">cleanTMLE adopts the staged design set out by</w:t>
      </w:r>
      <w:r>
        <w:t xml:space="preserve"> </w:t>
      </w:r>
      <w:r>
        <w:t xml:space="preserve">Muntner et al. (2024)</w:t>
      </w:r>
      <w:r>
        <w:t xml:space="preserve"> </w:t>
      </w:r>
      <w:r>
        <w:t xml:space="preserve">and</w:t>
      </w:r>
      <w:r>
        <w:t xml:space="preserve"> </w:t>
      </w:r>
      <w:r>
        <w:t xml:space="preserve">aligns it with the causal-roadmap formulation of</w:t>
      </w:r>
      <w:r>
        <w:t xml:space="preserve"> </w:t>
      </w:r>
      <w:r>
        <w:t xml:space="preserve">Dang et al. (2023)</w:t>
      </w:r>
      <w:r>
        <w:t xml:space="preserve"> </w:t>
      </w:r>
      <w:r>
        <w:t xml:space="preserve">and</w:t>
      </w:r>
      <w:r>
        <w:t xml:space="preserve"> </w:t>
      </w:r>
      <w:r>
        <w:t xml:space="preserve">the targeted-learning statistical-analysis-plan template of</w:t>
      </w:r>
      <w:r>
        <w:t xml:space="preserve"> </w:t>
      </w:r>
      <w:r>
        <w:t xml:space="preserve">Gruber, Lee, et al. (2024)</w:t>
      </w:r>
      <w:r>
        <w:t xml:space="preserve">. Stage names below are package-internal labels; the stage</w:t>
      </w:r>
      <w:r>
        <w:t xml:space="preserve"> </w:t>
      </w:r>
      <w:r>
        <w:t xml:space="preserve">content matches the roadmap steps of</w:t>
      </w:r>
      <w:r>
        <w:t xml:space="preserve"> </w:t>
      </w:r>
      <w:r>
        <w:t xml:space="preserve">Dang et al. (2023)</w:t>
      </w:r>
      <w:r>
        <w:t xml:space="preserve">.</w:t>
      </w:r>
    </w:p>
    <w:tbl>
      <w:tblPr>
        <w:tblStyle w:val="Table"/>
        <w:tblW w:type="pct" w:w="5000"/>
        <w:tblLayout w:type="fixed"/>
        <w:tblLook w:firstRow="1" w:lastRow="0" w:firstColumn="0" w:lastColumn="0" w:noHBand="0" w:noVBand="0" w:val="0020"/>
      </w:tblPr>
      <w:tblGrid>
        <w:gridCol w:w="1848"/>
        <w:gridCol w:w="2376"/>
        <w:gridCol w:w="3696"/>
      </w:tblGrid>
      <w:tr>
        <w:trPr>
          <w:tblHeader w:val="on"/>
        </w:trPr>
        <w:tc>
          <w:tcPr/>
          <w:p>
            <w:pPr>
              <w:pStyle w:val="Compact"/>
            </w:pPr>
            <w:r>
              <w:t xml:space="preserve">Stage</w:t>
            </w:r>
          </w:p>
        </w:tc>
        <w:tc>
          <w:tcPr/>
          <w:p>
            <w:pPr>
              <w:pStyle w:val="Compact"/>
            </w:pPr>
            <w:r>
              <w:t xml:space="preserve">Purpose</w:t>
            </w:r>
          </w:p>
        </w:tc>
        <w:tc>
          <w:tcPr/>
          <w:p>
            <w:pPr>
              <w:pStyle w:val="Compact"/>
              <w:jc w:val="center"/>
            </w:pPr>
            <w:r>
              <w:t xml:space="preserve">Does the function read the outcome?</w:t>
            </w:r>
          </w:p>
        </w:tc>
      </w:tr>
      <w:tr>
        <w:tc>
          <w:tcPr/>
          <w:p>
            <w:pPr>
              <w:pStyle w:val="Compact"/>
            </w:pPr>
            <w:r>
              <w:t xml:space="preserve">0</w:t>
            </w:r>
          </w:p>
        </w:tc>
        <w:tc>
          <w:tcPr/>
          <w:p>
            <w:pPr>
              <w:pStyle w:val="Compact"/>
            </w:pPr>
            <w:r>
              <w:t xml:space="preserve">Feasibility assessment, utilisation study, draft protocol/SAP</w:t>
            </w:r>
            <w:r>
              <w:t xml:space="preserve"> </w:t>
            </w:r>
            <w:r>
              <w:t xml:space="preserve">(Muntner et al. 2024; Kent 2026)</w:t>
            </w:r>
          </w:p>
        </w:tc>
        <w:tc>
          <w:tcPr/>
          <w:p>
            <w:pPr>
              <w:pStyle w:val="Compact"/>
              <w:jc w:val="center"/>
            </w:pPr>
            <w:r>
              <w:t xml:space="preserve">No (no data access yet)</w:t>
            </w:r>
          </w:p>
        </w:tc>
      </w:tr>
      <w:tr>
        <w:tc>
          <w:tcPr/>
          <w:p>
            <w:pPr>
              <w:pStyle w:val="Compact"/>
            </w:pPr>
            <w:r>
              <w:t xml:space="preserve">1a</w:t>
            </w:r>
          </w:p>
        </w:tc>
        <w:tc>
          <w:tcPr/>
          <w:p>
            <w:pPr>
              <w:pStyle w:val="Compact"/>
            </w:pPr>
            <w:r>
              <w:t xml:space="preserve">Lock covariates, learner library, candidate grid; declare the estimand ladder</w:t>
            </w:r>
          </w:p>
        </w:tc>
        <w:tc>
          <w:tcPr/>
          <w:p>
            <w:pPr>
              <w:pStyle w:val="Compact"/>
              <w:jc w:val="center"/>
            </w:pPr>
            <w:r>
              <w:t xml:space="preserve">No</w:t>
            </w:r>
          </w:p>
        </w:tc>
      </w:tr>
      <w:tr>
        <w:tc>
          <w:tcPr/>
          <w:p>
            <w:pPr>
              <w:pStyle w:val="Compact"/>
            </w:pPr>
            <w:r>
              <w:t xml:space="preserve">1b</w:t>
            </w:r>
          </w:p>
        </w:tc>
        <w:tc>
          <w:tcPr/>
          <w:p>
            <w:pPr>
              <w:pStyle w:val="Compact"/>
            </w:pPr>
            <w:r>
              <w:t xml:space="preserve">Cohort adequacy:</w:t>
            </w:r>
            <w:r>
              <w:t xml:space="preserve"> </w:t>
            </w:r>
            <m:oMath>
              <m:r>
                <m:t>N</m:t>
              </m:r>
            </m:oMath>
            <w:r>
              <w:t xml:space="preserve"> </w:t>
            </w:r>
            <w:r>
              <w:t xml:space="preserve">per arm, events, design precision</w:t>
            </w:r>
          </w:p>
        </w:tc>
        <w:tc>
          <w:tcPr/>
          <w:p>
            <w:pPr>
              <w:pStyle w:val="Compact"/>
              <w:jc w:val="center"/>
            </w:pPr>
            <w:r>
              <w:t xml:space="preserve">Events only</w:t>
            </w:r>
          </w:p>
        </w:tc>
      </w:tr>
      <w:tr>
        <w:tc>
          <w:tcPr/>
          <w:p>
            <w:pPr>
              <w:pStyle w:val="Compact"/>
            </w:pPr>
            <w:r>
              <w:t xml:space="preserve">2a</w:t>
            </w:r>
          </w:p>
        </w:tc>
        <w:tc>
          <w:tcPr/>
          <w:p>
            <w:pPr>
              <w:pStyle w:val="Compact"/>
            </w:pPr>
            <w:r>
              <w:t xml:space="preserve">Propensity fit, support assessment, per-estimand feasibility, balance (</w:t>
            </w:r>
            <w:hyperlink w:anchor="sec-support">
              <w:r>
                <w:rPr>
                  <w:rStyle w:val="Hyperlink"/>
                </w:rPr>
                <w:t xml:space="preserve">Section 6</w:t>
              </w:r>
            </w:hyperlink>
            <w:r>
              <w:t xml:space="preserve">)</w:t>
            </w:r>
          </w:p>
        </w:tc>
        <w:tc>
          <w:tcPr/>
          <w:p>
            <w:pPr>
              <w:pStyle w:val="Compact"/>
              <w:jc w:val="center"/>
            </w:pPr>
            <w:r>
              <w:t xml:space="preserve">No</w:t>
            </w:r>
          </w:p>
        </w:tc>
      </w:tr>
      <w:tr>
        <w:tc>
          <w:tcPr/>
          <w:p>
            <w:pPr>
              <w:pStyle w:val="Compact"/>
            </w:pPr>
            <w:r>
              <w:t xml:space="preserve">2b</w:t>
            </w:r>
          </w:p>
        </w:tc>
        <w:tc>
          <w:tcPr/>
          <w:p>
            <w:pPr>
              <w:pStyle w:val="Compact"/>
            </w:pPr>
            <w:r>
              <w:t xml:space="preserve">Outcome-blind support map and plasmode candidate selection</w:t>
            </w:r>
          </w:p>
        </w:tc>
        <w:tc>
          <w:tcPr/>
          <w:p>
            <w:pPr>
              <w:pStyle w:val="Compact"/>
              <w:jc w:val="center"/>
            </w:pPr>
            <w:r>
              <w:t xml:space="preserve">No (synthetic outcome)</w:t>
            </w:r>
          </w:p>
        </w:tc>
      </w:tr>
      <w:tr>
        <w:tc>
          <w:tcPr/>
          <w:p>
            <w:pPr>
              <w:pStyle w:val="Compact"/>
            </w:pPr>
            <w:r>
              <w:rPr>
                <w:b/>
                <w:bCs/>
              </w:rPr>
              <w:t xml:space="preserve">2c</w:t>
            </w:r>
          </w:p>
        </w:tc>
        <w:tc>
          <w:tcPr/>
          <w:p>
            <w:pPr>
              <w:pStyle w:val="Compact"/>
            </w:pPr>
            <w:r>
              <w:rPr>
                <w:b/>
                <w:bCs/>
              </w:rPr>
              <w:t xml:space="preserve">Plasmode DQ stress test</w:t>
            </w:r>
          </w:p>
        </w:tc>
        <w:tc>
          <w:tcPr/>
          <w:p>
            <w:pPr>
              <w:pStyle w:val="Compact"/>
              <w:jc w:val="center"/>
            </w:pPr>
            <w:r>
              <w:rPr>
                <w:b/>
                <w:bCs/>
              </w:rPr>
              <w:t xml:space="preserve">No (synthetic outcome)</w:t>
            </w:r>
          </w:p>
        </w:tc>
      </w:tr>
      <w:tr>
        <w:tc>
          <w:tcPr/>
          <w:p>
            <w:pPr>
              <w:pStyle w:val="Compact"/>
            </w:pPr>
            <w:r>
              <w:t xml:space="preserve">3</w:t>
            </w:r>
          </w:p>
        </w:tc>
        <w:tc>
          <w:tcPr/>
          <w:p>
            <w:pPr>
              <w:pStyle w:val="Compact"/>
            </w:pPr>
            <w:r>
              <w:t xml:space="preserve">Negative-control ladder, process-indicator (collider) check</w:t>
            </w:r>
          </w:p>
        </w:tc>
        <w:tc>
          <w:tcPr/>
          <w:p>
            <w:pPr>
              <w:pStyle w:val="Compact"/>
              <w:jc w:val="center"/>
            </w:pPr>
            <w:r>
              <w:t xml:space="preserve">NC outcomes only</w:t>
            </w:r>
          </w:p>
        </w:tc>
      </w:tr>
      <w:tr>
        <w:tc>
          <w:tcPr/>
          <w:p>
            <w:pPr>
              <w:pStyle w:val="Compact"/>
            </w:pPr>
            <w:r>
              <w:t xml:space="preserve">Pre-outcome decision</w:t>
            </w:r>
          </w:p>
        </w:tc>
        <w:tc>
          <w:tcPr/>
          <w:p>
            <w:pPr>
              <w:pStyle w:val="Compact"/>
            </w:pPr>
            <w:r>
              <w:t xml:space="preserve">Design report: proceed, proceed with qualification, or stop</w:t>
            </w:r>
          </w:p>
        </w:tc>
        <w:tc>
          <w:tcPr/>
          <w:p>
            <w:pPr>
              <w:pStyle w:val="Compact"/>
              <w:jc w:val="center"/>
            </w:pPr>
            <w:r>
              <w:t xml:space="preserve">No</w:t>
            </w:r>
          </w:p>
        </w:tc>
      </w:tr>
      <w:tr>
        <w:tc>
          <w:tcPr/>
          <w:p>
            <w:pPr>
              <w:pStyle w:val="Compact"/>
            </w:pPr>
            <w:r>
              <w:t xml:space="preserve">4</w:t>
            </w:r>
          </w:p>
        </w:tc>
        <w:tc>
          <w:tcPr/>
          <w:p>
            <w:pPr>
              <w:pStyle w:val="Compact"/>
            </w:pPr>
            <w:r>
              <w:t xml:space="preserve">Estimation of the declared primary and feasible fallbacks</w:t>
            </w:r>
          </w:p>
        </w:tc>
        <w:tc>
          <w:tcPr/>
          <w:p>
            <w:pPr>
              <w:pStyle w:val="Compact"/>
              <w:jc w:val="center"/>
            </w:pPr>
            <w:r>
              <w:rPr>
                <w:b/>
                <w:bCs/>
              </w:rPr>
              <w:t xml:space="preserve">Yes</w:t>
            </w:r>
          </w:p>
        </w:tc>
      </w:tr>
    </w:tbl>
    <w:p>
      <w:pPr>
        <w:pStyle w:val="BodyText"/>
      </w:pPr>
      <w:r>
        <w:t xml:space="preserve">Stages 1 to 3 do not access the real outcome. The plasmode at Stage</w:t>
      </w:r>
      <w:r>
        <w:t xml:space="preserve"> </w:t>
      </w:r>
      <w:r>
        <w:t xml:space="preserve">2b generates synthetic outcomes from a parametric model fitted to</w:t>
      </w:r>
      <w:r>
        <w:t xml:space="preserve"> </w:t>
      </w:r>
      <w:r>
        <w:t xml:space="preserve">the real covariates and treatment, which is why the same loop hosts</w:t>
      </w:r>
      <w:r>
        <w:t xml:space="preserve"> </w:t>
      </w:r>
      <w:r>
        <w:t xml:space="preserve">both the support map of</w:t>
      </w:r>
      <w:r>
        <w:t xml:space="preserve"> </w:t>
      </w:r>
      <w:hyperlink w:anchor="sec-support">
        <w:r>
          <w:rPr>
            <w:rStyle w:val="Hyperlink"/>
          </w:rPr>
          <w:t xml:space="preserve">Section 6</w:t>
        </w:r>
      </w:hyperlink>
      <w:r>
        <w:t xml:space="preserve"> </w:t>
      </w:r>
      <w:r>
        <w:t xml:space="preserve">and the DQ stress test of</w:t>
      </w:r>
      <w:r>
        <w:t xml:space="preserve"> </w:t>
      </w:r>
      <w:hyperlink w:anchor="sec-dq">
        <w:r>
          <w:rPr>
            <w:rStyle w:val="Hyperlink"/>
          </w:rPr>
          <w:t xml:space="preserve">Section 7</w:t>
        </w:r>
      </w:hyperlink>
      <w:r>
        <w:t xml:space="preserve">.</w:t>
      </w:r>
    </w:p>
    <w:p>
      <w:pPr>
        <w:pStyle w:val="BodyText"/>
      </w:pPr>
      <w:r>
        <w:t xml:space="preserve">Within a staging-and-clean-room framework, the DQ stress test</w:t>
      </w:r>
      <w:r>
        <w:t xml:space="preserve"> </w:t>
      </w:r>
      <w:r>
        <w:t xml:space="preserve">is a quantitative checkpoint. Instead of discussing data-fitness</w:t>
      </w:r>
      <w:r>
        <w:t xml:space="preserve"> </w:t>
      </w:r>
      <w:r>
        <w:t xml:space="preserve">concerns only qualitatively, the workflow evaluates whether</w:t>
      </w:r>
      <w:r>
        <w:t xml:space="preserve"> </w:t>
      </w:r>
      <w:r>
        <w:t xml:space="preserve">candidate estimators continue to satisfy prespecified</w:t>
      </w:r>
      <w:r>
        <w:t xml:space="preserve"> </w:t>
      </w:r>
      <w:r>
        <w:t xml:space="preserve">operating-characteristic thresholds under threat scenarios derived</w:t>
      </w:r>
      <w:r>
        <w:t xml:space="preserve"> </w:t>
      </w:r>
      <w:r>
        <w:t xml:space="preserve">from the fit-for-purpose review.</w:t>
      </w:r>
    </w:p>
    <w:p>
      <w:pPr>
        <w:pStyle w:val="BodyText"/>
      </w:pPr>
      <w:r>
        <w:t xml:space="preserve">Clean-room guidance addresses a limitation of preregistration:</w:t>
      </w:r>
      <w:r>
        <w:t xml:space="preserve"> </w:t>
      </w:r>
      <w:r>
        <w:t xml:space="preserve">during RWE execution, investigators often encounter data</w:t>
      </w:r>
      <w:r>
        <w:t xml:space="preserve"> </w:t>
      </w:r>
      <w:r>
        <w:t xml:space="preserve">incompleteness, coding limitations, sparse events, covariate</w:t>
      </w:r>
      <w:r>
        <w:t xml:space="preserve"> </w:t>
      </w:r>
      <w:r>
        <w:t xml:space="preserve">imbalance, model-convergence problems, and censoring or</w:t>
      </w:r>
      <w:r>
        <w:t xml:space="preserve"> </w:t>
      </w:r>
      <w:r>
        <w:t xml:space="preserve">missingness issues that require decisions after data access but</w:t>
      </w:r>
      <w:r>
        <w:t xml:space="preserve"> </w:t>
      </w:r>
      <w:r>
        <w:t xml:space="preserve">before comparative effect estimation</w:t>
      </w:r>
      <w:r>
        <w:t xml:space="preserve"> </w:t>
      </w:r>
      <w:r>
        <w:t xml:space="preserve">(McGrath et al. 2021; Muntner et al. 2024)</w:t>
      </w:r>
      <w:r>
        <w:t xml:space="preserve">. cleanTMLE</w:t>
      </w:r>
      <w:r>
        <w:t xml:space="preserve"> </w:t>
      </w:r>
      <w:r>
        <w:t xml:space="preserve">operationalises the software portion of this process by recording</w:t>
      </w:r>
      <w:r>
        <w:t xml:space="preserve"> </w:t>
      </w:r>
      <w:r>
        <w:t xml:space="preserve">pre-outcome diagnostics, checkpoint decisions, deviations, and</w:t>
      </w:r>
      <w:r>
        <w:t xml:space="preserve"> </w:t>
      </w:r>
      <w:r>
        <w:t xml:space="preserve">authorisation status before the observed primary</w:t>
      </w:r>
      <w:r>
        <w:t xml:space="preserve"> </w:t>
      </w:r>
      <w:r>
        <w:t xml:space="preserve">treatment-outcome association is estimated.</w:t>
      </w:r>
    </w:p>
    <w:bookmarkEnd w:id="36"/>
    <w:bookmarkStart w:id="37" w:name="Xa0fa50b0ecc282f67ff4b404986adbd19fb41cd"/>
    <w:p>
      <w:pPr>
        <w:pStyle w:val="Heading2"/>
      </w:pPr>
      <w:r>
        <w:t xml:space="preserve">5.2 How the workflow records and protects analytic decisions</w:t>
      </w:r>
    </w:p>
    <w:p>
      <w:pPr>
        <w:pStyle w:val="FirstParagraph"/>
      </w:pPr>
      <w:r>
        <w:t xml:space="preserve">The analysis lock is the central object on which all later</w:t>
      </w:r>
      <w:r>
        <w:t xml:space="preserve"> </w:t>
      </w:r>
      <w:r>
        <w:t xml:space="preserve">diagnostics depend. It is created at the start of the workflow and</w:t>
      </w:r>
      <w:r>
        <w:t xml:space="preserve"> </w:t>
      </w:r>
      <w:r>
        <w:t xml:space="preserve">records the prespecified analytic specification: the analytic</w:t>
      </w:r>
      <w:r>
        <w:t xml:space="preserve"> </w:t>
      </w:r>
      <w:r>
        <w:t xml:space="preserve">dataset, the treatment, outcome, and covariate column names, the</w:t>
      </w:r>
      <w:r>
        <w:t xml:space="preserve"> </w:t>
      </w:r>
      <w:r>
        <w:t xml:space="preserve">registered negative controls, the nuisance-learning library, and the</w:t>
      </w:r>
      <w:r>
        <w:t xml:space="preserve"> </w:t>
      </w:r>
      <w:r>
        <w:t xml:space="preserve">random seed. A fingerprint of those fields is recorded so that the</w:t>
      </w:r>
      <w:r>
        <w:t xml:space="preserve"> </w:t>
      </w:r>
      <w:r>
        <w:t xml:space="preserve">same lock can be reconciled later by an external reviewer. The</w:t>
      </w:r>
      <w:r>
        <w:t xml:space="preserve"> </w:t>
      </w:r>
      <w:r>
        <w:t xml:space="preserve">estimand ladder is attached to the lock by</w:t>
      </w:r>
      <w:r>
        <w:t xml:space="preserve"> </w:t>
      </w:r>
      <w:r>
        <w:rPr>
          <w:rStyle w:val="VerbatimChar"/>
        </w:rPr>
        <w:t xml:space="preserve">declare_estimand_ladder()</w:t>
      </w:r>
      <w:r>
        <w:t xml:space="preserve"> </w:t>
      </w:r>
      <w:r>
        <w:t xml:space="preserve">and is captured by the design log rather</w:t>
      </w:r>
      <w:r>
        <w:t xml:space="preserve"> </w:t>
      </w:r>
      <w:r>
        <w:t xml:space="preserve">than by the fingerprint, so any later change to the ladder appears as</w:t>
      </w:r>
      <w:r>
        <w:t xml:space="preserve"> </w:t>
      </w:r>
      <w:r>
        <w:t xml:space="preserve">a separate, timestamped entry. While the analysis is outcome-blind,</w:t>
      </w:r>
      <w:r>
        <w:t xml:space="preserve"> </w:t>
      </w:r>
      <w:r>
        <w:t xml:space="preserve">the lock can hold the outcome column masked; in the case study the</w:t>
      </w:r>
      <w:r>
        <w:t xml:space="preserve"> </w:t>
      </w:r>
      <w:r>
        <w:t xml:space="preserve">outcome columns are physically absent from the design stage and live</w:t>
      </w:r>
      <w:r>
        <w:t xml:space="preserve"> </w:t>
      </w:r>
      <w:r>
        <w:t xml:space="preserve">in a separate store until estimation, which is the stronger</w:t>
      </w:r>
      <w:r>
        <w:t xml:space="preserve"> </w:t>
      </w:r>
      <w:r>
        <w:t xml:space="preserve">arrangement when the data platform allows it.</w:t>
      </w:r>
    </w:p>
    <w:p>
      <w:pPr>
        <w:pStyle w:val="BodyText"/>
      </w:pPr>
      <w:r>
        <w:t xml:space="preserve">The design log tracks analytic decisions through the workflow. It</w:t>
      </w:r>
      <w:r>
        <w:t xml:space="preserve"> </w:t>
      </w:r>
      <w:r>
        <w:t xml:space="preserve">accumulates entries automatically from the diagnostics, recording</w:t>
      </w:r>
      <w:r>
        <w:t xml:space="preserve"> </w:t>
      </w:r>
      <w:r>
        <w:t xml:space="preserve">what was evaluated, when, and against which prespecified criteria,</w:t>
      </w:r>
      <w:r>
        <w:t xml:space="preserve"> </w:t>
      </w:r>
      <w:r>
        <w:t xml:space="preserve">and it captures analyst choices and any deviations from the</w:t>
      </w:r>
      <w:r>
        <w:t xml:space="preserve"> </w:t>
      </w:r>
      <w:r>
        <w:t xml:space="preserve">protocol, with a brief rationale for each. The log can be exported</w:t>
      </w:r>
      <w:r>
        <w:t xml:space="preserve"> </w:t>
      </w:r>
      <w:r>
        <w:t xml:space="preserve">as a tidy data frame and archived alongside the lock, so deviations</w:t>
      </w:r>
      <w:r>
        <w:t xml:space="preserve"> </w:t>
      </w:r>
      <w:r>
        <w:t xml:space="preserve">from the recorded workflow can be detected during review. The</w:t>
      </w:r>
      <w:r>
        <w:t xml:space="preserve"> </w:t>
      </w:r>
      <w:r>
        <w:t xml:space="preserve">exported record follows the structure of the Romiplostim worked</w:t>
      </w:r>
      <w:r>
        <w:t xml:space="preserve"> </w:t>
      </w:r>
      <w:r>
        <w:t xml:space="preserve">example</w:t>
      </w:r>
      <w:r>
        <w:t xml:space="preserve"> </w:t>
      </w:r>
      <w:r>
        <w:t xml:space="preserve">(McGrath et al. 2021)</w:t>
      </w:r>
      <w:r>
        <w:t xml:space="preserve">, which</w:t>
      </w:r>
      <w:r>
        <w:t xml:space="preserve"> </w:t>
      </w:r>
      <w:r>
        <w:t xml:space="preserve">Muntner et al. (2024)</w:t>
      </w:r>
      <w:r>
        <w:t xml:space="preserve"> </w:t>
      </w:r>
      <w:r>
        <w:t xml:space="preserve">take as</w:t>
      </w:r>
      <w:r>
        <w:t xml:space="preserve"> </w:t>
      </w:r>
      <w:r>
        <w:t xml:space="preserve">the reference template for a staged outcome-blind decision record.</w:t>
      </w:r>
      <w:r>
        <w:t xml:space="preserve"> </w:t>
      </w:r>
      <w:r>
        <w:t xml:space="preserve">Earlier versions of the package additionally withheld the</w:t>
      </w:r>
      <w:r>
        <w:t xml:space="preserve"> </w:t>
      </w:r>
      <w:r>
        <w:t xml:space="preserve">estimation functions until an authorisation token matching the lock</w:t>
      </w:r>
      <w:r>
        <w:t xml:space="preserve"> </w:t>
      </w:r>
      <w:r>
        <w:t xml:space="preserve">and the audit record had been minted; that enforcement is now an</w:t>
      </w:r>
      <w:r>
        <w:t xml:space="preserve"> </w:t>
      </w:r>
      <w:r>
        <w:t xml:space="preserve">option (</w:t>
      </w:r>
      <w:r>
        <w:rPr>
          <w:rStyle w:val="VerbatimChar"/>
        </w:rPr>
        <w:t xml:space="preserve">enforce = TRUE</w:t>
      </w:r>
      <w:r>
        <w:t xml:space="preserve"> </w:t>
      </w:r>
      <w:r>
        <w:t xml:space="preserve">on the lock) rather than the</w:t>
      </w:r>
      <w:r>
        <w:t xml:space="preserve"> </w:t>
      </w:r>
      <w:r>
        <w:t xml:space="preserve">default. Masking is a property of the data and is always enforced.</w:t>
      </w:r>
      <w:r>
        <w:t xml:space="preserve"> </w:t>
      </w:r>
      <w:r>
        <w:t xml:space="preserve">The token ceremony, in our experience and in the case study,</w:t>
      </w:r>
      <w:r>
        <w:t xml:space="preserve"> </w:t>
      </w:r>
      <w:r>
        <w:t xml:space="preserve">documented compliance without changing any analytic decision, and a</w:t>
      </w:r>
      <w:r>
        <w:t xml:space="preserve"> </w:t>
      </w:r>
      <w:r>
        <w:t xml:space="preserve">determined analyst could always have bypassed it outside the</w:t>
      </w:r>
      <w:r>
        <w:t xml:space="preserve"> </w:t>
      </w:r>
      <w:r>
        <w:t xml:space="preserve">package; the design log records the same sequence of decisions</w:t>
      </w:r>
      <w:r>
        <w:t xml:space="preserve"> </w:t>
      </w:r>
      <w:r>
        <w:t xml:space="preserve">without the ritual.</w:t>
      </w:r>
    </w:p>
    <w:p>
      <w:pPr>
        <w:pStyle w:val="BodyText"/>
      </w:pPr>
      <w:r>
        <w:t xml:space="preserve">Beyond a single outcome-masking step,</w:t>
      </w:r>
      <w:r>
        <w:t xml:space="preserve"> </w:t>
      </w:r>
      <w:r>
        <w:t xml:space="preserve">Muntner et al. (2024)</w:t>
      </w:r>
      <w:r>
        <w:t xml:space="preserve"> </w:t>
      </w:r>
      <w:r>
        <w:t xml:space="preserve">and</w:t>
      </w:r>
      <w:r>
        <w:t xml:space="preserve"> </w:t>
      </w:r>
      <w:r>
        <w:t xml:space="preserve">Kent (2026)</w:t>
      </w:r>
      <w:r>
        <w:t xml:space="preserve"> </w:t>
      </w:r>
      <w:r>
        <w:t xml:space="preserve">recommend tiered, role-based access in which</w:t>
      </w:r>
      <w:r>
        <w:t xml:space="preserve"> </w:t>
      </w:r>
      <w:r>
        <w:t xml:space="preserve">analytic advisors see summary outputs by stage and checkpoint</w:t>
      </w:r>
      <w:r>
        <w:t xml:space="preserve"> </w:t>
      </w:r>
      <w:r>
        <w:t xml:space="preserve">reviewers see summary outputs only by checkpoint. The exported</w:t>
      </w:r>
      <w:r>
        <w:t xml:space="preserve"> </w:t>
      </w:r>
      <w:r>
        <w:t xml:space="preserve">audit and decision logs support that arrangement at the workflow</w:t>
      </w:r>
      <w:r>
        <w:t xml:space="preserve"> </w:t>
      </w:r>
      <w:r>
        <w:t xml:space="preserve">level, providing reviewer-facing summaries that do not require</w:t>
      </w:r>
      <w:r>
        <w:t xml:space="preserve"> </w:t>
      </w:r>
      <w:r>
        <w:t xml:space="preserve">raw-data access.</w:t>
      </w:r>
    </w:p>
    <w:bookmarkEnd w:id="37"/>
    <w:bookmarkStart w:id="39" w:name="Xc984cda553dcb5ff3e402daad79821b8da4151d"/>
    <w:p>
      <w:pPr>
        <w:pStyle w:val="Heading2"/>
      </w:pPr>
      <w:r>
        <w:t xml:space="preserve">5.3 Personnel-based and simulation-based outcome blinding</w:t>
      </w:r>
    </w:p>
    <w:p>
      <w:pPr>
        <w:pStyle w:val="FirstParagraph"/>
      </w:pPr>
      <w:r>
        <w:t xml:space="preserve">Outcome blinding can be enforced in two complementary ways. The</w:t>
      </w:r>
      <w:r>
        <w:t xml:space="preserve"> </w:t>
      </w:r>
      <w:r>
        <w:t xml:space="preserve">first is personnel-based</w:t>
      </w:r>
      <w:r>
        <w:t xml:space="preserve"> </w:t>
      </w:r>
      <w:r>
        <w:t xml:space="preserve">(Muntner et al. 2024)</w:t>
      </w:r>
      <w:r>
        <w:t xml:space="preserve">. A blinded analyst</w:t>
      </w:r>
      <w:r>
        <w:t xml:space="preserve"> </w:t>
      </w:r>
      <w:r>
        <w:t xml:space="preserve">writes the analysis plan, defines the cohort, performs the design</w:t>
      </w:r>
      <w:r>
        <w:t xml:space="preserve"> </w:t>
      </w:r>
      <w:r>
        <w:t xml:space="preserve">diagnostics, and reaches the pre-outcome decision point; only then</w:t>
      </w:r>
      <w:r>
        <w:t xml:space="preserve"> </w:t>
      </w:r>
      <w:r>
        <w:t xml:space="preserve">does a separate analyst, or another role on the same team, link</w:t>
      </w:r>
      <w:r>
        <w:t xml:space="preserve"> </w:t>
      </w:r>
      <w:r>
        <w:t xml:space="preserve">the outcome and run the comparative analysis. Separation is</w:t>
      </w:r>
      <w:r>
        <w:t xml:space="preserve"> </w:t>
      </w:r>
      <w:r>
        <w:t xml:space="preserve">maintained by an institutional partition of duties and a</w:t>
      </w:r>
      <w:r>
        <w:t xml:space="preserve"> </w:t>
      </w:r>
      <w:r>
        <w:t xml:space="preserve">documented audit by a data manager who controls access to the</w:t>
      </w:r>
      <w:r>
        <w:t xml:space="preserve"> </w:t>
      </w:r>
      <w:r>
        <w:t xml:space="preserve">outcome variable. Reviewers and regulators evaluate two artefacts</w:t>
      </w:r>
      <w:r>
        <w:t xml:space="preserve"> </w:t>
      </w:r>
      <w:r>
        <w:t xml:space="preserve">at the end: a timestamped analysis plan and a final estimate</w:t>
      </w:r>
      <w:r>
        <w:t xml:space="preserve"> </w:t>
      </w:r>
      <w:r>
        <w:t xml:space="preserve">produced under that plan.</w:t>
      </w:r>
    </w:p>
    <w:p>
      <w:pPr>
        <w:pStyle w:val="BodyText"/>
      </w:pPr>
      <w:r>
        <w:t xml:space="preserve">Outcome-blind simulation addresses the same concern through a</w:t>
      </w:r>
      <w:r>
        <w:t xml:space="preserve"> </w:t>
      </w:r>
      <w:r>
        <w:t xml:space="preserve">different mechanism. Candidate estimators, truncation rules, and</w:t>
      </w:r>
      <w:r>
        <w:t xml:space="preserve"> </w:t>
      </w:r>
      <w:r>
        <w:t xml:space="preserve">data-quality scenarios may be evaluated using synthetic outcomes</w:t>
      </w:r>
      <w:r>
        <w:t xml:space="preserve"> </w:t>
      </w:r>
      <w:r>
        <w:t xml:space="preserve">generated without using the observed treatment-outcome</w:t>
      </w:r>
      <w:r>
        <w:t xml:space="preserve"> </w:t>
      </w:r>
      <w:r>
        <w:t xml:space="preserve">association. This allows investigators to compare estimators and</w:t>
      </w:r>
      <w:r>
        <w:t xml:space="preserve"> </w:t>
      </w:r>
      <w:r>
        <w:t xml:space="preserve">revise prespecified simulation settings before unblinding while</w:t>
      </w:r>
      <w:r>
        <w:t xml:space="preserve"> </w:t>
      </w:r>
      <w:r>
        <w:t xml:space="preserve">preserving separation from the observed comparative effect. The</w:t>
      </w:r>
      <w:r>
        <w:t xml:space="preserve"> </w:t>
      </w:r>
      <w:r>
        <w:t xml:space="preserve">software-mediated workflow partially substitutes for</w:t>
      </w:r>
      <w:r>
        <w:t xml:space="preserve"> </w:t>
      </w:r>
      <w:r>
        <w:t xml:space="preserve">personnel-based outcome separation by restricting outcome analysis</w:t>
      </w:r>
      <w:r>
        <w:t xml:space="preserve"> </w:t>
      </w:r>
      <w:r>
        <w:t xml:space="preserve">until prespecified review steps have been completed. It complements</w:t>
      </w:r>
      <w:r>
        <w:t xml:space="preserve"> </w:t>
      </w:r>
      <w:r>
        <w:t xml:space="preserve">that arrangement rather than replacing it: the audit and decision</w:t>
      </w:r>
      <w:r>
        <w:t xml:space="preserve"> </w:t>
      </w:r>
      <w:r>
        <w:t xml:space="preserve">logs sit alongside the timestamped paper plan and the data</w:t>
      </w:r>
      <w:r>
        <w:t xml:space="preserve"> </w:t>
      </w:r>
      <w:r>
        <w:t xml:space="preserve">manager’s role, so reviewers see transparent documentation of every</w:t>
      </w:r>
      <w:r>
        <w:t xml:space="preserve"> </w:t>
      </w:r>
      <w:r>
        <w:t xml:space="preserve">analytic decision on top of the institutional documentation that</w:t>
      </w:r>
      <w:r>
        <w:t xml:space="preserve"> </w:t>
      </w:r>
      <w:r>
        <w:t xml:space="preserve">already exists.</w:t>
      </w:r>
    </w:p>
    <w:p>
      <w:pPr>
        <w:pStyle w:val="BodyText"/>
      </w:pPr>
      <w:r>
        <w:t xml:space="preserve">The two arrangements address the same underlying concern, that</w:t>
      </w:r>
      <w:r>
        <w:t xml:space="preserve"> </w:t>
      </w:r>
      <w:r>
        <w:t xml:space="preserve">analytic decisions made after seeing the treatment-outcome</w:t>
      </w:r>
      <w:r>
        <w:t xml:space="preserve"> </w:t>
      </w:r>
      <w:r>
        <w:t xml:space="preserve">association are not credible, but they differ in their residual</w:t>
      </w:r>
      <w:r>
        <w:t xml:space="preserve"> </w:t>
      </w:r>
      <w:r>
        <w:t xml:space="preserve">risks. Personnel-based blinding requires an institutional</w:t>
      </w:r>
      <w:r>
        <w:t xml:space="preserve"> </w:t>
      </w:r>
      <w:r>
        <w:t xml:space="preserve">commitment to the partition of duties and tolerates ad-hoc</w:t>
      </w:r>
      <w:r>
        <w:t xml:space="preserve"> </w:t>
      </w:r>
      <w:r>
        <w:t xml:space="preserve">deviation by the blinded analyst, since the only ground truth is</w:t>
      </w:r>
      <w:r>
        <w:t xml:space="preserve"> </w:t>
      </w:r>
      <w:r>
        <w:t xml:space="preserve">the timestamped plan. Simulation-based blinding reduces the</w:t>
      </w:r>
      <w:r>
        <w:t xml:space="preserve"> </w:t>
      </w:r>
      <w:r>
        <w:t xml:space="preserve">personnel constraint but introduces a different residual risk: the</w:t>
      </w:r>
      <w:r>
        <w:t xml:space="preserve"> </w:t>
      </w:r>
      <w:r>
        <w:t xml:space="preserve">investigator must defend the assumption that the synthetic-outcome</w:t>
      </w:r>
      <w:r>
        <w:t xml:space="preserve"> </w:t>
      </w:r>
      <w:r>
        <w:t xml:space="preserve">mechanism is faithful enough to the real data-generating process</w:t>
      </w:r>
      <w:r>
        <w:t xml:space="preserve"> </w:t>
      </w:r>
      <w:r>
        <w:t xml:space="preserve">that estimator selection on simulations generalises to the</w:t>
      </w:r>
      <w:r>
        <w:t xml:space="preserve"> </w:t>
      </w:r>
      <w:r>
        <w:t xml:space="preserve">realised data. A defensible RWE pipeline can therefore use both,</w:t>
      </w:r>
      <w:r>
        <w:t xml:space="preserve"> </w:t>
      </w:r>
      <w:r>
        <w:t xml:space="preserve">running the simulation-based workflow inside an institutional</w:t>
      </w:r>
      <w:r>
        <w:t xml:space="preserve"> </w:t>
      </w:r>
      <w:r>
        <w:t xml:space="preserve">partition of duties so that outcome separation and quantitative</w:t>
      </w:r>
      <w:r>
        <w:t xml:space="preserve"> </w:t>
      </w:r>
      <w:r>
        <w:t xml:space="preserve">robustness screening apply together.</w:t>
      </w:r>
    </w:p>
    <w:bookmarkStart w:id="38" w:name="methodological-tradeoffs"/>
    <w:p>
      <w:pPr>
        <w:pStyle w:val="Heading3"/>
      </w:pPr>
      <w:r>
        <w:t xml:space="preserve">5.3.1 Methodological tradeoffs</w:t>
      </w:r>
    </w:p>
    <w:p>
      <w:pPr>
        <w:pStyle w:val="FirstParagraph"/>
      </w:pPr>
      <w:r>
        <w:t xml:space="preserve">Compared with personnel-mediated outcome blinding, the</w:t>
      </w:r>
      <w:r>
        <w:t xml:space="preserve"> </w:t>
      </w:r>
      <w:r>
        <w:t xml:space="preserve">simulation-mediated approach has the following tradeoffs.</w:t>
      </w:r>
    </w:p>
    <w:p>
      <w:pPr>
        <w:pStyle w:val="BodyText"/>
      </w:pPr>
      <w:r>
        <w:rPr>
          <w:i/>
          <w:iCs/>
        </w:rPr>
        <w:t xml:space="preserve">In favour:</w:t>
      </w:r>
      <w:r>
        <w:t xml:space="preserve"> </w:t>
      </w:r>
      <w:r>
        <w:t xml:space="preserve">a single statistician can produce a documented</w:t>
      </w:r>
      <w:r>
        <w:t xml:space="preserve"> </w:t>
      </w:r>
      <w:r>
        <w:t xml:space="preserve">prespecification without a separate unblinded role, with the</w:t>
      </w:r>
      <w:r>
        <w:t xml:space="preserve"> </w:t>
      </w:r>
      <w:r>
        <w:t xml:space="preserve">caveat that submission-grade studies should retain a personnel</w:t>
      </w:r>
      <w:r>
        <w:t xml:space="preserve"> </w:t>
      </w:r>
      <w:r>
        <w:t xml:space="preserve">partition; the prespecified set of candidate estimators, the</w:t>
      </w:r>
      <w:r>
        <w:t xml:space="preserve"> </w:t>
      </w:r>
      <w:r>
        <w:t xml:space="preserve">truncation thresholds, and the decision thresholds can be revised</w:t>
      </w:r>
      <w:r>
        <w:t xml:space="preserve"> </w:t>
      </w:r>
      <w:r>
        <w:t xml:space="preserve">after viewing simulation results because those results use</w:t>
      </w:r>
      <w:r>
        <w:t xml:space="preserve"> </w:t>
      </w:r>
      <w:r>
        <w:t xml:space="preserve">synthetic outcomes, so the analytic plan need not be re-frozen</w:t>
      </w:r>
      <w:r>
        <w:t xml:space="preserve"> </w:t>
      </w:r>
      <w:r>
        <w:t xml:space="preserve">each time a tuning choice is reconsidered; the design records</w:t>
      </w:r>
      <w:r>
        <w:t xml:space="preserve"> </w:t>
      </w:r>
      <w:r>
        <w:t xml:space="preserve">support transparent reconstruction of every prespecified decision</w:t>
      </w:r>
      <w:r>
        <w:t xml:space="preserve"> </w:t>
      </w:r>
      <w:r>
        <w:t xml:space="preserve">by an external reviewer; and the same simulation loop that</w:t>
      </w:r>
      <w:r>
        <w:t xml:space="preserve"> </w:t>
      </w:r>
      <w:r>
        <w:t xml:space="preserve">selects the candidate can be used to evaluate its robustness to</w:t>
      </w:r>
      <w:r>
        <w:t xml:space="preserve"> </w:t>
      </w:r>
      <w:r>
        <w:t xml:space="preserve">prespecified data-quality threats, an evaluation that has no</w:t>
      </w:r>
      <w:r>
        <w:t xml:space="preserve"> </w:t>
      </w:r>
      <w:r>
        <w:t xml:space="preserve">direct counterpart in personnel-based blinding, where data</w:t>
      </w:r>
      <w:r>
        <w:t xml:space="preserve"> </w:t>
      </w:r>
      <w:r>
        <w:t xml:space="preserve">fitness is documented qualitatively.</w:t>
      </w:r>
    </w:p>
    <w:p>
      <w:pPr>
        <w:pStyle w:val="BodyText"/>
      </w:pPr>
      <w:r>
        <w:rPr>
          <w:i/>
          <w:iCs/>
        </w:rPr>
        <w:t xml:space="preserve">Against:</w:t>
      </w:r>
      <w:r>
        <w:t xml:space="preserve"> </w:t>
      </w:r>
      <w:r>
        <w:t xml:space="preserve">the plasmode generator uses the realised outcome</w:t>
      </w:r>
      <w:r>
        <w:t xml:space="preserve"> </w:t>
      </w:r>
      <m:oMath>
        <m:r>
          <m:t>Y</m:t>
        </m:r>
      </m:oMath>
      <w:r>
        <w:t xml:space="preserve"> </w:t>
      </w:r>
      <w:r>
        <w:t xml:space="preserve">to fit a covariate-only mean model, so the analyst learns the</w:t>
      </w:r>
      <w:r>
        <w:t xml:space="preserve"> </w:t>
      </w:r>
      <w:r>
        <w:t xml:space="preserve">marginal distribution of</w:t>
      </w:r>
      <w:r>
        <w:t xml:space="preserve"> </w:t>
      </w:r>
      <m:oMath>
        <m:r>
          <m:t>Y</m:t>
        </m:r>
      </m:oMath>
      <w:r>
        <w:t xml:space="preserve"> </w:t>
      </w:r>
      <w:r>
        <w:t xml:space="preserve">given</w:t>
      </w:r>
      <w:r>
        <w:t xml:space="preserve"> </w:t>
      </w:r>
      <m:oMath>
        <m:r>
          <m:t>W</m:t>
        </m:r>
      </m:oMath>
      <w:r>
        <w:t xml:space="preserve">, although not the joint</w:t>
      </w:r>
      <w:r>
        <w:t xml:space="preserve"> </w:t>
      </w:r>
      <m:oMath>
        <m:d>
          <m:dPr>
            <m:begChr m:val="("/>
            <m:endChr m:val=")"/>
            <m:sepChr m:val=""/>
            <m:grow/>
          </m:dPr>
          <m:e>
            <m:r>
              <m:t>A</m:t>
            </m:r>
            <m:r>
              <m:rPr>
                <m:sty m:val="p"/>
              </m:rPr>
              <m:t>,</m:t>
            </m:r>
            <m:r>
              <m:t>Y</m:t>
            </m:r>
          </m:e>
        </m:d>
        <m:r>
          <m:rPr>
            <m:sty m:val="p"/>
          </m:rPr>
          <m:t>∣</m:t>
        </m:r>
        <m:r>
          <m:t>W</m:t>
        </m:r>
      </m:oMath>
      <w:r>
        <w:t xml:space="preserve"> </w:t>
      </w:r>
      <w:r>
        <w:t xml:space="preserve">relationship. The Dang causal-roadmap reading of</w:t>
      </w:r>
      <w:r>
        <w:t xml:space="preserve"> </w:t>
      </w:r>
      <w:r>
        <w:rPr>
          <w:i/>
          <w:iCs/>
        </w:rPr>
        <w:t xml:space="preserve">outcome-blind</w:t>
      </w:r>
      <w:r>
        <w:t xml:space="preserve"> </w:t>
      </w:r>
      <w:r>
        <w:t xml:space="preserve">permits this; a stricter reading of outcome blinding</w:t>
      </w:r>
      <w:r>
        <w:t xml:space="preserve"> </w:t>
      </w:r>
      <w:r>
        <w:t xml:space="preserve">would require</w:t>
      </w:r>
      <w:r>
        <w:t xml:space="preserve"> </w:t>
      </w:r>
      <m:oMath>
        <m:r>
          <m:t>E</m:t>
        </m:r>
        <m:d>
          <m:dPr>
            <m:begChr m:val="["/>
            <m:endChr m:val="]"/>
            <m:sepChr m:val=""/>
            <m:grow/>
          </m:dPr>
          <m:e>
            <m:r>
              <m:t>Y</m:t>
            </m:r>
            <m:r>
              <m:rPr>
                <m:sty m:val="p"/>
              </m:rPr>
              <m:t>∣</m:t>
            </m:r>
            <m:r>
              <m:t>W</m:t>
            </m:r>
          </m:e>
        </m:d>
      </m:oMath>
      <w:r>
        <w:t xml:space="preserve"> </w:t>
      </w:r>
      <w:r>
        <w:t xml:space="preserve">to come from external pilot data</w:t>
      </w:r>
      <w:r>
        <w:t xml:space="preserve"> </w:t>
      </w:r>
      <w:r>
        <w:t xml:space="preserve">(Dang et al. 2023, 7)</w:t>
      </w:r>
      <w:r>
        <w:t xml:space="preserve">, and the package supports both modes,</w:t>
      </w:r>
      <w:r>
        <w:t xml:space="preserve"> </w:t>
      </w:r>
      <w:r>
        <w:t xml:space="preserve">recording which mode was used. The synthetic outcome is generated</w:t>
      </w:r>
      <w:r>
        <w:t xml:space="preserve"> </w:t>
      </w:r>
      <w:r>
        <w:t xml:space="preserve">from a parametric model with a fixed risk difference, so effect</w:t>
      </w:r>
      <w:r>
        <w:t xml:space="preserve"> </w:t>
      </w:r>
      <w:r>
        <w:t xml:space="preserve">modification is not represented; a richer data-generating process</w:t>
      </w:r>
      <w:r>
        <w:t xml:space="preserve"> </w:t>
      </w:r>
      <w:r>
        <w:t xml:space="preserve">is possible but is not exercised here. Finally, when the analyst</w:t>
      </w:r>
      <w:r>
        <w:t xml:space="preserve"> </w:t>
      </w:r>
      <w:r>
        <w:t xml:space="preserve">also writes the plasmode and stress-test specifications, there is</w:t>
      </w:r>
      <w:r>
        <w:t xml:space="preserve"> </w:t>
      </w:r>
      <w:r>
        <w:t xml:space="preserve">no independent check that the synthetic-outcome mechanism is</w:t>
      </w:r>
      <w:r>
        <w:t xml:space="preserve"> </w:t>
      </w:r>
      <w:r>
        <w:t xml:space="preserve">faithful, whereas the personnel-based arrangement provides an</w:t>
      </w:r>
      <w:r>
        <w:t xml:space="preserve"> </w:t>
      </w:r>
      <w:r>
        <w:t xml:space="preserve">additional layer of cross-validation through the data manager.</w:t>
      </w:r>
    </w:p>
    <w:p>
      <w:pPr>
        <w:pStyle w:val="BodyText"/>
      </w:pPr>
      <w:r>
        <w:t xml:space="preserve">We document these trade-offs explicitly in the package’s</w:t>
      </w:r>
      <w:r>
        <w:t xml:space="preserve"> </w:t>
      </w:r>
      <w:r>
        <w:t xml:space="preserve">documentation so that the analyst can choose the level of</w:t>
      </w:r>
      <w:r>
        <w:t xml:space="preserve"> </w:t>
      </w:r>
      <w:r>
        <w:t xml:space="preserve">formality the study requires. For exploratory or lower-stakes RWE</w:t>
      </w:r>
      <w:r>
        <w:t xml:space="preserve"> </w:t>
      </w:r>
      <w:r>
        <w:t xml:space="preserve">studies, the software-only workflow may be adequate to document</w:t>
      </w:r>
      <w:r>
        <w:t xml:space="preserve"> </w:t>
      </w:r>
      <w:r>
        <w:t xml:space="preserve">and audit outcome-blind estimator selection. For high-stakes</w:t>
      </w:r>
      <w:r>
        <w:t xml:space="preserve"> </w:t>
      </w:r>
      <w:r>
        <w:t xml:space="preserve">regulatory or confirmatory studies, cleanTMLE should be embedded</w:t>
      </w:r>
      <w:r>
        <w:t xml:space="preserve"> </w:t>
      </w:r>
      <w:r>
        <w:t xml:space="preserve">within personnel-based outcome-blinding and access-control</w:t>
      </w:r>
      <w:r>
        <w:t xml:space="preserve"> </w:t>
      </w:r>
      <w:r>
        <w:t xml:space="preserve">arrangements.</w:t>
      </w:r>
    </w:p>
    <w:bookmarkEnd w:id="38"/>
    <w:bookmarkEnd w:id="39"/>
    <w:bookmarkStart w:id="40" w:name="X8366091c17716bf729a771323a4e967384c878f"/>
    <w:p>
      <w:pPr>
        <w:pStyle w:val="Heading2"/>
      </w:pPr>
      <w:r>
        <w:t xml:space="preserve">5.4 Reviewer-facing pre-outcome study dossier</w:t>
      </w:r>
    </w:p>
    <w:p>
      <w:pPr>
        <w:pStyle w:val="FirstParagraph"/>
      </w:pPr>
      <w:r>
        <w:t xml:space="preserve">The pre-outcome study dossier is the structured bundle the review team</w:t>
      </w:r>
      <w:r>
        <w:t xml:space="preserve"> </w:t>
      </w:r>
      <w:r>
        <w:t xml:space="preserve">reads before outcomes are unlocked.</w:t>
      </w:r>
      <w:r>
        <w:t xml:space="preserve"> </w:t>
      </w:r>
      <w:r>
        <w:rPr>
          <w:rStyle w:val="VerbatimChar"/>
        </w:rPr>
        <w:t xml:space="preserve">design_report()</w:t>
      </w:r>
      <w:r>
        <w:t xml:space="preserve"> </w:t>
      </w:r>
      <w:r>
        <w:t xml:space="preserve">assembles it and</w:t>
      </w:r>
      <w:r>
        <w:t xml:space="preserve"> </w:t>
      </w:r>
      <w:r>
        <w:t xml:space="preserve">closes with a one-line recommendation in the vocabulary of</w:t>
      </w:r>
      <w:r>
        <w:t xml:space="preserve"> </w:t>
      </w:r>
      <w:r>
        <w:t xml:space="preserve">Muntner et al. (2024)</w:t>
      </w:r>
      <w:r>
        <w:t xml:space="preserve"> </w:t>
      </w:r>
      <w:r>
        <w:t xml:space="preserve">(proceed, proceed with qualification, or stop) and</w:t>
      </w:r>
      <w:r>
        <w:t xml:space="preserve"> </w:t>
      </w:r>
      <w:r>
        <w:t xml:space="preserve">a TARGET-style emulation table</w:t>
      </w:r>
      <w:r>
        <w:t xml:space="preserve"> </w:t>
      </w:r>
      <w:r>
        <w:t xml:space="preserve">(Cashin et al. 2024)</w:t>
      </w:r>
      <w:r>
        <w:t xml:space="preserve"> </w:t>
      </w:r>
      <w:r>
        <w:t xml:space="preserve">when the protocol</w:t>
      </w:r>
      <w:r>
        <w:t xml:space="preserve"> </w:t>
      </w:r>
      <w:r>
        <w:t xml:space="preserve">components are supplied. Its components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cleanTMLE artefact</w:t>
            </w:r>
          </w:p>
        </w:tc>
        <w:tc>
          <w:tcPr/>
          <w:p>
            <w:pPr>
              <w:pStyle w:val="Compact"/>
            </w:pPr>
            <w:r>
              <w:t xml:space="preserve">Outcome access</w:t>
            </w:r>
          </w:p>
        </w:tc>
      </w:tr>
      <w:tr>
        <w:tc>
          <w:tcPr/>
          <w:p>
            <w:pPr>
              <w:pStyle w:val="Compact"/>
            </w:pPr>
            <w:r>
              <w:t xml:space="preserve">Protocol and target-trial timing</w:t>
            </w:r>
          </w:p>
        </w:tc>
        <w:tc>
          <w:tcPr/>
          <w:p>
            <w:pPr>
              <w:pStyle w:val="Compact"/>
            </w:pPr>
            <w:r>
              <w:t xml:space="preserve">Lock record +</w:t>
            </w:r>
            <w:r>
              <w:t xml:space="preserve"> </w:t>
            </w:r>
            <w:r>
              <w:rPr>
                <w:rStyle w:val="VerbatimChar"/>
              </w:rPr>
              <w:t xml:space="preserve">design_report(protocol = ...)</w:t>
            </w:r>
            <w:r>
              <w:t xml:space="preserve"> </w:t>
            </w:r>
            <w:r>
              <w:t xml:space="preserve">emulation table</w:t>
            </w:r>
          </w:p>
        </w:tc>
        <w:tc>
          <w:tcPr/>
          <w:p>
            <w:pPr>
              <w:pStyle w:val="Compact"/>
            </w:pPr>
            <w:r>
              <w:t xml:space="preserve">No Y</w:t>
            </w:r>
          </w:p>
        </w:tc>
      </w:tr>
      <w:tr>
        <w:tc>
          <w:tcPr/>
          <w:p>
            <w:pPr>
              <w:pStyle w:val="Compact"/>
            </w:pPr>
            <w:r>
              <w:t xml:space="preserve">Cohort flow / attrition</w:t>
            </w:r>
          </w:p>
        </w:tc>
        <w:tc>
          <w:tcPr/>
          <w:p>
            <w:pPr>
              <w:pStyle w:val="Compact"/>
            </w:pPr>
            <w:r>
              <w:rPr>
                <w:rStyle w:val="VerbatimChar"/>
              </w:rPr>
              <w:t xml:space="preserve">attrition_table()</w:t>
            </w:r>
          </w:p>
        </w:tc>
        <w:tc>
          <w:tcPr/>
          <w:p>
            <w:pPr>
              <w:pStyle w:val="Compact"/>
            </w:pPr>
            <w:r>
              <w:t xml:space="preserve">No Y</w:t>
            </w:r>
          </w:p>
        </w:tc>
      </w:tr>
      <w:tr>
        <w:tc>
          <w:tcPr/>
          <w:p>
            <w:pPr>
              <w:pStyle w:val="Compact"/>
            </w:pPr>
            <w:r>
              <w:t xml:space="preserve">Covariate and missingness summary</w:t>
            </w:r>
          </w:p>
        </w:tc>
        <w:tc>
          <w:tcPr/>
          <w:p>
            <w:pPr>
              <w:pStyle w:val="Compact"/>
            </w:pPr>
            <w:r>
              <w:rPr>
                <w:rStyle w:val="VerbatimChar"/>
              </w:rPr>
              <w:t xml:space="preserve">make_table1()</w:t>
            </w:r>
            <w:r>
              <w:t xml:space="preserve">,</w:t>
            </w:r>
            <w:r>
              <w:t xml:space="preserve"> </w:t>
            </w:r>
            <w:r>
              <w:rPr>
                <w:rStyle w:val="VerbatimChar"/>
              </w:rPr>
              <w:t xml:space="preserve">sanitize_covariates()</w:t>
            </w:r>
            <w:r>
              <w:t xml:space="preserve"> </w:t>
            </w:r>
            <w:r>
              <w:t xml:space="preserve">report</w:t>
            </w:r>
          </w:p>
        </w:tc>
        <w:tc>
          <w:tcPr/>
          <w:p>
            <w:pPr>
              <w:pStyle w:val="Compact"/>
            </w:pPr>
            <w:r>
              <w:t xml:space="preserve">No Y</w:t>
            </w:r>
          </w:p>
        </w:tc>
      </w:tr>
      <w:tr>
        <w:tc>
          <w:tcPr/>
          <w:p>
            <w:pPr>
              <w:pStyle w:val="Compact"/>
            </w:pPr>
            <w:r>
              <w:t xml:space="preserve">PS overlap, support verdict, balance</w:t>
            </w:r>
          </w:p>
        </w:tc>
        <w:tc>
          <w:tcPr/>
          <w:p>
            <w:pPr>
              <w:pStyle w:val="Compact"/>
            </w:pPr>
            <w:r>
              <w:rPr>
                <w:rStyle w:val="VerbatimChar"/>
              </w:rPr>
              <w:t xml:space="preserve">fit_ps()</w:t>
            </w:r>
            <w:r>
              <w:t xml:space="preserve">,</w:t>
            </w:r>
            <w:r>
              <w:t xml:space="preserve"> </w:t>
            </w:r>
            <w:r>
              <w:rPr>
                <w:rStyle w:val="VerbatimChar"/>
              </w:rPr>
              <w:t xml:space="preserve">assess_support()</w:t>
            </w:r>
            <w:r>
              <w:t xml:space="preserve">,</w:t>
            </w:r>
            <w:r>
              <w:t xml:space="preserve"> </w:t>
            </w:r>
            <w:r>
              <w:rPr>
                <w:rStyle w:val="VerbatimChar"/>
              </w:rPr>
              <w:t xml:space="preserve">love_plot()</w:t>
            </w:r>
          </w:p>
        </w:tc>
        <w:tc>
          <w:tcPr/>
          <w:p>
            <w:pPr>
              <w:pStyle w:val="Compact"/>
            </w:pPr>
            <w:r>
              <w:t xml:space="preserve">No Y</w:t>
            </w:r>
          </w:p>
        </w:tc>
      </w:tr>
      <w:tr>
        <w:tc>
          <w:tcPr/>
          <w:p>
            <w:pPr>
              <w:pStyle w:val="Compact"/>
            </w:pPr>
            <w:r>
              <w:t xml:space="preserve">Estimand feasibility and declared ladder</w:t>
            </w:r>
          </w:p>
        </w:tc>
        <w:tc>
          <w:tcPr/>
          <w:p>
            <w:pPr>
              <w:pStyle w:val="Compact"/>
            </w:pPr>
            <w:r>
              <w:rPr>
                <w:rStyle w:val="VerbatimChar"/>
              </w:rPr>
              <w:t xml:space="preserve">estimand_feasibility()</w:t>
            </w:r>
            <w:r>
              <w:t xml:space="preserve">,</w:t>
            </w:r>
            <w:r>
              <w:t xml:space="preserve"> </w:t>
            </w:r>
            <w:r>
              <w:rPr>
                <w:rStyle w:val="VerbatimChar"/>
              </w:rPr>
              <w:t xml:space="preserve">declare_estimand_ladder()</w:t>
            </w:r>
          </w:p>
        </w:tc>
        <w:tc>
          <w:tcPr/>
          <w:p>
            <w:pPr>
              <w:pStyle w:val="Compact"/>
            </w:pPr>
            <w:r>
              <w:t xml:space="preserve">No Y</w:t>
            </w:r>
          </w:p>
        </w:tc>
      </w:tr>
      <w:tr>
        <w:tc>
          <w:tcPr/>
          <w:p>
            <w:pPr>
              <w:pStyle w:val="Compact"/>
            </w:pPr>
            <w:r>
              <w:t xml:space="preserve">Weight diagnostics</w:t>
            </w:r>
          </w:p>
        </w:tc>
        <w:tc>
          <w:tcPr/>
          <w:p>
            <w:pPr>
              <w:pStyle w:val="Compact"/>
            </w:pPr>
            <w:r>
              <w:rPr>
                <w:rStyle w:val="VerbatimChar"/>
              </w:rPr>
              <w:t xml:space="preserve">clean_weight_diagnostics()</w:t>
            </w:r>
          </w:p>
        </w:tc>
        <w:tc>
          <w:tcPr/>
          <w:p>
            <w:pPr>
              <w:pStyle w:val="Compact"/>
            </w:pPr>
            <w:r>
              <w:t xml:space="preserve">No Y</w:t>
            </w:r>
          </w:p>
        </w:tc>
      </w:tr>
      <w:tr>
        <w:tc>
          <w:tcPr/>
          <w:p>
            <w:pPr>
              <w:pStyle w:val="Compact"/>
            </w:pPr>
            <w:r>
              <w:t xml:space="preserve">Event-count and precision adequacy</w:t>
            </w:r>
          </w:p>
        </w:tc>
        <w:tc>
          <w:tcPr/>
          <w:p>
            <w:pPr>
              <w:pStyle w:val="Compact"/>
            </w:pPr>
            <w:r>
              <w:rPr>
                <w:rStyle w:val="VerbatimChar"/>
              </w:rPr>
              <w:t xml:space="preserve">estimate_design_precision()</w:t>
            </w:r>
          </w:p>
        </w:tc>
        <w:tc>
          <w:tcPr/>
          <w:p>
            <w:pPr>
              <w:pStyle w:val="Compact"/>
            </w:pPr>
            <w:r>
              <w:t xml:space="preserve">Marginal Y only</w:t>
            </w:r>
          </w:p>
        </w:tc>
      </w:tr>
      <w:tr>
        <w:tc>
          <w:tcPr/>
          <w:p>
            <w:pPr>
              <w:pStyle w:val="Compact"/>
            </w:pPr>
            <w:r>
              <w:t xml:space="preserve">Outcome-blind support map</w:t>
            </w:r>
          </w:p>
        </w:tc>
        <w:tc>
          <w:tcPr/>
          <w:p>
            <w:pPr>
              <w:pStyle w:val="Compact"/>
            </w:pPr>
            <w:r>
              <w:rPr>
                <w:rStyle w:val="VerbatimChar"/>
              </w:rPr>
              <w:t xml:space="preserve">simulate_support()</w:t>
            </w:r>
          </w:p>
        </w:tc>
        <w:tc>
          <w:tcPr/>
          <w:p>
            <w:pPr>
              <w:pStyle w:val="Compact"/>
            </w:pPr>
            <w:r>
              <w:t xml:space="preserve">Synthetic Y only</w:t>
            </w:r>
          </w:p>
        </w:tc>
      </w:tr>
      <w:tr>
        <w:tc>
          <w:tcPr/>
          <w:p>
            <w:pPr>
              <w:pStyle w:val="Compact"/>
            </w:pPr>
            <w:r>
              <w:t xml:space="preserve">Plasmode candidate selection</w:t>
            </w:r>
          </w:p>
        </w:tc>
        <w:tc>
          <w:tcPr/>
          <w:p>
            <w:pPr>
              <w:pStyle w:val="Compact"/>
            </w:pPr>
            <w:r>
              <w:rPr>
                <w:rStyle w:val="VerbatimChar"/>
              </w:rPr>
              <w:t xml:space="preserve">run_plasmode_feasibility()</w:t>
            </w:r>
            <w:r>
              <w:t xml:space="preserve">,</w:t>
            </w:r>
            <w:r>
              <w:t xml:space="preserve"> </w:t>
            </w:r>
            <w:r>
              <w:rPr>
                <w:rStyle w:val="VerbatimChar"/>
              </w:rPr>
              <w:t xml:space="preserve">select_tmle_candidate()</w:t>
            </w:r>
          </w:p>
        </w:tc>
        <w:tc>
          <w:tcPr/>
          <w:p>
            <w:pPr>
              <w:pStyle w:val="Compact"/>
            </w:pPr>
            <w:r>
              <w:t xml:space="preserve">Synthetic Y only</w:t>
            </w:r>
          </w:p>
        </w:tc>
      </w:tr>
      <w:tr>
        <w:tc>
          <w:tcPr/>
          <w:p>
            <w:pPr>
              <w:pStyle w:val="Compact"/>
            </w:pPr>
            <w:r>
              <w:t xml:space="preserve">DQ stress-test results</w:t>
            </w:r>
          </w:p>
        </w:tc>
        <w:tc>
          <w:tcPr/>
          <w:p>
            <w:pPr>
              <w:pStyle w:val="Compact"/>
            </w:pPr>
            <w:r>
              <w:rPr>
                <w:rStyle w:val="VerbatimChar"/>
              </w:rPr>
              <w:t xml:space="preserve">run_plasmode_dq_stress()</w:t>
            </w:r>
          </w:p>
        </w:tc>
        <w:tc>
          <w:tcPr/>
          <w:p>
            <w:pPr>
              <w:pStyle w:val="Compact"/>
            </w:pPr>
            <w:r>
              <w:t xml:space="preserve">Synthetic Y only</w:t>
            </w:r>
          </w:p>
        </w:tc>
      </w:tr>
      <w:tr>
        <w:tc>
          <w:tcPr/>
          <w:p>
            <w:pPr>
              <w:pStyle w:val="Compact"/>
            </w:pPr>
            <w:r>
              <w:t xml:space="preserve">Negative controls across cohort restrictions</w:t>
            </w:r>
          </w:p>
        </w:tc>
        <w:tc>
          <w:tcPr/>
          <w:p>
            <w:pPr>
              <w:pStyle w:val="Compact"/>
            </w:pPr>
            <w:r>
              <w:rPr>
                <w:rStyle w:val="VerbatimChar"/>
              </w:rPr>
              <w:t xml:space="preserve">run_negative_control_ladder()</w:t>
            </w:r>
          </w:p>
        </w:tc>
        <w:tc>
          <w:tcPr/>
          <w:p>
            <w:pPr>
              <w:pStyle w:val="Compact"/>
            </w:pPr>
            <w:r>
              <w:t xml:space="preserve">Negative-control Y only</w:t>
            </w:r>
          </w:p>
        </w:tc>
      </w:tr>
      <w:tr>
        <w:tc>
          <w:tcPr/>
          <w:p>
            <w:pPr>
              <w:pStyle w:val="Compact"/>
            </w:pPr>
            <w:r>
              <w:t xml:space="preserve">Care-process collider check</w:t>
            </w:r>
          </w:p>
        </w:tc>
        <w:tc>
          <w:tcPr/>
          <w:p>
            <w:pPr>
              <w:pStyle w:val="Compact"/>
            </w:pPr>
            <w:r>
              <w:rPr>
                <w:rStyle w:val="VerbatimChar"/>
              </w:rPr>
              <w:t xml:space="preserve">check_process_indicators()</w:t>
            </w:r>
          </w:p>
        </w:tc>
        <w:tc>
          <w:tcPr/>
          <w:p>
            <w:pPr>
              <w:pStyle w:val="Compact"/>
            </w:pPr>
            <w:r>
              <w:t xml:space="preserve">No Y</w:t>
            </w:r>
          </w:p>
        </w:tc>
      </w:tr>
      <w:tr>
        <w:tc>
          <w:tcPr/>
          <w:p>
            <w:pPr>
              <w:pStyle w:val="Compact"/>
            </w:pPr>
            <w:r>
              <w:t xml:space="preserve">Design log export</w:t>
            </w:r>
          </w:p>
        </w:tc>
        <w:tc>
          <w:tcPr/>
          <w:p>
            <w:pPr>
              <w:pStyle w:val="Compact"/>
            </w:pPr>
            <w:r>
              <w:rPr>
                <w:rStyle w:val="VerbatimChar"/>
              </w:rPr>
              <w:t xml:space="preserve">design_report()</w:t>
            </w:r>
            <w:r>
              <w:t xml:space="preserve"> </w:t>
            </w:r>
            <w:r>
              <w:t xml:space="preserve">+ lock design log</w:t>
            </w:r>
          </w:p>
        </w:tc>
        <w:tc>
          <w:tcPr/>
          <w:p>
            <w:pPr>
              <w:pStyle w:val="Compact"/>
            </w:pPr>
            <w:r>
              <w:t xml:space="preserve">No Y</w:t>
            </w:r>
          </w:p>
        </w:tc>
      </w:tr>
    </w:tbl>
    <w:p>
      <w:pPr>
        <w:pStyle w:val="BodyText"/>
      </w:pPr>
      <w:r>
        <w:t xml:space="preserve">The dossier is the artefact the reviewer reads. Comparative</w:t>
      </w:r>
      <w:r>
        <w:t xml:space="preserve"> </w:t>
      </w:r>
      <w:r>
        <w:t xml:space="preserve">treatment-outcome estimates are not part of the dossier and are</w:t>
      </w:r>
      <w:r>
        <w:t xml:space="preserve"> </w:t>
      </w:r>
      <w:r>
        <w:t xml:space="preserve">produced only after the review.</w:t>
      </w:r>
    </w:p>
    <w:bookmarkEnd w:id="40"/>
    <w:bookmarkEnd w:id="41"/>
    <w:bookmarkStart w:id="50" w:name="sec-support"/>
    <w:p>
      <w:pPr>
        <w:pStyle w:val="Heading1"/>
      </w:pPr>
      <w:r>
        <w:t xml:space="preserve">6. Deciding the estimand before outcomes</w:t>
      </w:r>
    </w:p>
    <w:bookmarkStart w:id="42" w:name="Xda78adf707067a7b3a2f7de99e6fd999b930620"/>
    <w:p>
      <w:pPr>
        <w:pStyle w:val="Heading2"/>
      </w:pPr>
      <w:r>
        <w:t xml:space="preserve">6.1 Practical positivity and why blinding does not detect it</w:t>
      </w:r>
    </w:p>
    <w:p>
      <w:pPr>
        <w:pStyle w:val="FirstParagraph"/>
      </w:pPr>
      <w:r>
        <w:t xml:space="preserve">The identification argument of</w:t>
      </w:r>
      <w:r>
        <w:t xml:space="preserve"> </w:t>
      </w:r>
      <w:hyperlink w:anchor="sec-id">
        <w:r>
          <w:rPr>
            <w:rStyle w:val="Hyperlink"/>
          </w:rPr>
          <w:t xml:space="preserve">Section 4.4</w:t>
        </w:r>
      </w:hyperlink>
      <w:r>
        <w:t xml:space="preserve"> </w:t>
      </w:r>
      <w:r>
        <w:t xml:space="preserve">includes positivity: every</w:t>
      </w:r>
      <w:r>
        <w:t xml:space="preserve"> </w:t>
      </w:r>
      <w:r>
        <w:t xml:space="preserve">covariate pattern in the target population must have a positive</w:t>
      </w:r>
      <w:r>
        <w:t xml:space="preserve"> </w:t>
      </w:r>
      <w:r>
        <w:t xml:space="preserve">probability of receiving each treatment. In finite samples the binding</w:t>
      </w:r>
      <w:r>
        <w:t xml:space="preserve"> </w:t>
      </w:r>
      <w:r>
        <w:t xml:space="preserve">version of this assumption is practical, not theoretical</w:t>
      </w:r>
      <w:r>
        <w:t xml:space="preserve"> </w:t>
      </w:r>
      <w:r>
        <w:t xml:space="preserve">(Petersen et al. 2012)</w:t>
      </w:r>
      <w:r>
        <w:t xml:space="preserve">. When the fitted propensity score</w:t>
      </w:r>
      <w:r>
        <w:t xml:space="preserve"> </w:t>
      </w:r>
      <m:oMath>
        <m:r>
          <m:t>g</m:t>
        </m:r>
        <m:d>
          <m:dPr>
            <m:begChr m:val="("/>
            <m:endChr m:val=")"/>
            <m:sepChr m:val=""/>
            <m:grow/>
          </m:dPr>
          <m:e>
            <m:r>
              <m:t>W</m:t>
            </m:r>
          </m:e>
        </m:d>
      </m:oMath>
      <w:r>
        <w:t xml:space="preserve"> </w:t>
      </w:r>
      <w:r>
        <w:t xml:space="preserve">approaches 0 or 1 in some region, the inverse-probability weights</w:t>
      </w:r>
      <w:r>
        <w:t xml:space="preserve"> </w:t>
      </w:r>
      <m:oMath>
        <m:r>
          <m:t>1</m:t>
        </m:r>
        <m:r>
          <m:rPr>
            <m:sty m:val="p"/>
          </m:rPr>
          <m:t>/</m:t>
        </m:r>
        <m:r>
          <m:t>g</m:t>
        </m:r>
      </m:oMath>
      <w:r>
        <w:t xml:space="preserve"> </w:t>
      </w:r>
      <w:r>
        <w:t xml:space="preserve">and</w:t>
      </w:r>
      <w:r>
        <w:t xml:space="preserve"> </w:t>
      </w:r>
      <m:oMath>
        <m:r>
          <m:t>1</m:t>
        </m:r>
        <m:r>
          <m:rPr>
            <m:sty m:val="p"/>
          </m:rPr>
          <m:t>/</m:t>
        </m:r>
        <m:d>
          <m:dPr>
            <m:begChr m:val="("/>
            <m:endChr m:val=")"/>
            <m:sepChr m:val=""/>
            <m:grow/>
          </m:dPr>
          <m:e>
            <m:r>
              <m:t>1</m:t>
            </m:r>
            <m:r>
              <m:rPr>
                <m:sty m:val="p"/>
              </m:rPr>
              <m:t>−</m:t>
            </m:r>
            <m:r>
              <m:t>g</m:t>
            </m:r>
          </m:e>
        </m:d>
      </m:oMath>
      <w:r>
        <w:t xml:space="preserve"> </w:t>
      </w:r>
      <w:r>
        <w:t xml:space="preserve">that the ATE implicitly assigns become enormous,</w:t>
      </w:r>
      <w:r>
        <w:t xml:space="preserve"> </w:t>
      </w:r>
      <w:r>
        <w:t xml:space="preserve">and the estimator answers the counterfactual question in that region</w:t>
      </w:r>
      <w:r>
        <w:t xml:space="preserve"> </w:t>
      </w:r>
      <w:r>
        <w:t xml:space="preserve">by extrapolating the outcome model into territory where only one arm</w:t>
      </w:r>
      <w:r>
        <w:t xml:space="preserve"> </w:t>
      </w:r>
      <w:r>
        <w:t xml:space="preserve">was ever observed. Truncating the weights (or bounding</w:t>
      </w:r>
      <w:r>
        <w:t xml:space="preserve"> </w:t>
      </w:r>
      <m:oMath>
        <m:r>
          <m:t>g</m:t>
        </m:r>
      </m:oMath>
      <w:r>
        <w:t xml:space="preserve">) caps the</w:t>
      </w:r>
      <w:r>
        <w:t xml:space="preserve"> </w:t>
      </w:r>
      <w:r>
        <w:t xml:space="preserve">variance but does not restore information; it trades an exploding</w:t>
      </w:r>
      <w:r>
        <w:t xml:space="preserve"> </w:t>
      </w:r>
      <w:r>
        <w:t xml:space="preserve">interval for a stable interval around a partly extrapolated number.</w:t>
      </w:r>
      <w:r>
        <w:t xml:space="preserve"> </w:t>
      </w:r>
      <w:r>
        <w:t xml:space="preserve">This is the second failure mode of the Introduction, and it is the one</w:t>
      </w:r>
      <w:r>
        <w:t xml:space="preserve"> </w:t>
      </w:r>
      <w:r>
        <w:t xml:space="preserve">outcome blinding cannot touch. Blinding governs</w:t>
      </w:r>
      <w:r>
        <w:t xml:space="preserve"> </w:t>
      </w:r>
      <w:r>
        <w:rPr>
          <w:i/>
          <w:iCs/>
        </w:rPr>
        <w:t xml:space="preserve">who sees what</w:t>
      </w:r>
      <w:r>
        <w:t xml:space="preserve">; the</w:t>
      </w:r>
      <w:r>
        <w:t xml:space="preserve"> </w:t>
      </w:r>
      <w:r>
        <w:t xml:space="preserve">support of the design is a property of the covariate and treatment</w:t>
      </w:r>
      <w:r>
        <w:t xml:space="preserve"> </w:t>
      </w:r>
      <w:r>
        <w:t xml:space="preserve">data that the blinded team already holds. The design stage is</w:t>
      </w:r>
      <w:r>
        <w:t xml:space="preserve"> </w:t>
      </w:r>
      <w:r>
        <w:t xml:space="preserve">therefore the natural place to assess it, and the assessment costs no</w:t>
      </w:r>
      <w:r>
        <w:t xml:space="preserve"> </w:t>
      </w:r>
      <w:r>
        <w:t xml:space="preserve">blinding at all, because none of the quantities involved read the</w:t>
      </w:r>
      <w:r>
        <w:t xml:space="preserve"> </w:t>
      </w:r>
      <w:r>
        <w:t xml:space="preserve">outcome.</w:t>
      </w:r>
    </w:p>
    <w:p>
      <w:pPr>
        <w:pStyle w:val="BodyText"/>
      </w:pPr>
      <w:r>
        <w:t xml:space="preserve">cleanTMLE makes this assessment a first-class stage with three</w:t>
      </w:r>
      <w:r>
        <w:t xml:space="preserve"> </w:t>
      </w:r>
      <w:r>
        <w:t xml:space="preserve">outputs: a graded support verdict, a per-estimand feasibility table on</w:t>
      </w:r>
      <w:r>
        <w:t xml:space="preserve"> </w:t>
      </w:r>
      <w:r>
        <w:t xml:space="preserve">the same fitted propensity, and an outcome-blind simulation that maps</w:t>
      </w:r>
      <w:r>
        <w:t xml:space="preserve"> </w:t>
      </w:r>
      <w:r>
        <w:t xml:space="preserve">how much the residual extrapolation would matter. A pre-registered</w:t>
      </w:r>
      <w:r>
        <w:t xml:space="preserve"> </w:t>
      </w:r>
      <w:r>
        <w:t xml:space="preserve">estimand ladder then converts the map into a decision.</w:t>
      </w:r>
    </w:p>
    <w:bookmarkEnd w:id="42"/>
    <w:bookmarkStart w:id="43" w:name="graded-support-assessment"/>
    <w:p>
      <w:pPr>
        <w:pStyle w:val="Heading2"/>
      </w:pPr>
      <w:r>
        <w:t xml:space="preserve">6.2 Graded support assessment</w:t>
      </w:r>
    </w:p>
    <w:p>
      <w:pPr>
        <w:pStyle w:val="FirstParagraph"/>
      </w:pPr>
      <w:r>
        <w:rPr>
          <w:rStyle w:val="VerbatimChar"/>
        </w:rPr>
        <w:t xml:space="preserve">assess_support()</w:t>
      </w:r>
      <w:r>
        <w:t xml:space="preserve"> </w:t>
      </w:r>
      <w:r>
        <w:t xml:space="preserve">reads a fitted propensity object from</w:t>
      </w:r>
      <w:r>
        <w:t xml:space="preserve"> </w:t>
      </w:r>
      <w:r>
        <w:rPr>
          <w:rStyle w:val="VerbatimChar"/>
        </w:rPr>
        <w:t xml:space="preserve">fit_ps()</w:t>
      </w:r>
      <w:r>
        <w:t xml:space="preserve"> </w:t>
      </w:r>
      <w:r>
        <w:t xml:space="preserve">and grades the overlap between arms. The headline statistics are the</w:t>
      </w:r>
      <w:r>
        <w:t xml:space="preserve"> </w:t>
      </w:r>
      <w:r>
        <w:t xml:space="preserve">share of the sample with untruncated</w:t>
      </w:r>
      <w:r>
        <w:t xml:space="preserve"> </w:t>
      </w:r>
      <m:oMath>
        <m:r>
          <m:t>g</m:t>
        </m:r>
        <m:d>
          <m:dPr>
            <m:begChr m:val="("/>
            <m:endChr m:val=")"/>
            <m:sepChr m:val=""/>
            <m:grow/>
          </m:dPr>
          <m:e>
            <m:r>
              <m:t>W</m:t>
            </m:r>
          </m:e>
        </m:d>
      </m:oMath>
      <w:r>
        <w:t xml:space="preserve"> </w:t>
      </w:r>
      <w:r>
        <w:t xml:space="preserve">outside a prespecified</w:t>
      </w:r>
      <w:r>
        <w:t xml:space="preserve"> </w:t>
      </w:r>
      <w:r>
        <w:t xml:space="preserve">band (default</w:t>
      </w:r>
      <w:r>
        <w:t xml:space="preserve"> </w:t>
      </w:r>
      <m:oMath>
        <m:d>
          <m:dPr>
            <m:begChr m:val="["/>
            <m:endChr m:val="]"/>
            <m:sepChr m:val=""/>
            <m:grow/>
          </m:dPr>
          <m:e>
            <m:r>
              <m:t>0.05</m:t>
            </m:r>
            <m:r>
              <m:rPr>
                <m:sty m:val="p"/>
              </m:rPr>
              <m:t>,</m:t>
            </m:r>
            <m:r>
              <m:t>0.95</m:t>
            </m:r>
          </m:e>
        </m:d>
      </m:oMath>
      <w:r>
        <w:t xml:space="preserve">), the largest implied ATE weight, the</w:t>
      </w:r>
      <w:r>
        <w:t xml:space="preserve"> </w:t>
      </w:r>
      <w:r>
        <w:t xml:space="preserve">effective sample size per arm, and the c-statistic of the propensity</w:t>
      </w:r>
      <w:r>
        <w:t xml:space="preserve"> </w:t>
      </w:r>
      <w:r>
        <w:t xml:space="preserve">fit, whose discrimination here is bad news rather than good: a</w:t>
      </w:r>
      <w:r>
        <w:t xml:space="preserve"> </w:t>
      </w:r>
      <w:r>
        <w:t xml:space="preserve">propensity model that separates the arms almost perfectly is</w:t>
      </w:r>
      <w:r>
        <w:t xml:space="preserve"> </w:t>
      </w:r>
      <w:r>
        <w:t xml:space="preserve">describing a design with almost no equipoise. The verdict is PASS,</w:t>
      </w:r>
      <w:r>
        <w:t xml:space="preserve"> </w:t>
      </w:r>
      <w:r>
        <w:t xml:space="preserve">FLAG (more than 1% outside the band, or a maximum weight above 30),</w:t>
      </w:r>
      <w:r>
        <w:t xml:space="preserve"> </w:t>
      </w:r>
      <w:r>
        <w:t xml:space="preserve">SEVERE (more than 25% outside, or a maximum weight above 150), or FAIL</w:t>
      </w:r>
      <w:r>
        <w:t xml:space="preserve"> </w:t>
      </w:r>
      <w:r>
        <w:t xml:space="preserve">(more than 60% outside, or a maximum weight above 1000), and the</w:t>
      </w:r>
      <w:r>
        <w:t xml:space="preserve"> </w:t>
      </w:r>
      <w:r>
        <w:t xml:space="preserve">verdict’s caveat sentence travels with every downstream estimate</w:t>
      </w:r>
      <w:r>
        <w:t xml:space="preserve"> </w:t>
      </w:r>
      <w:r>
        <w:t xml:space="preserve">rather than living in a diagnostic file nobody reopens. The default</w:t>
      </w:r>
      <w:r>
        <w:t xml:space="preserve"> </w:t>
      </w:r>
      <w:r>
        <w:t xml:space="preserve">thresholds are deliberately coarse; they are stated in the lock and</w:t>
      </w:r>
      <w:r>
        <w:t xml:space="preserve"> </w:t>
      </w:r>
      <w:r>
        <w:t xml:space="preserve">can be overridden there, so a study that overrides them does so on the</w:t>
      </w:r>
      <w:r>
        <w:t xml:space="preserve"> </w:t>
      </w:r>
      <w:r>
        <w:t xml:space="preserve">record.</w:t>
      </w:r>
    </w:p>
    <w:p>
      <w:pPr>
        <w:pStyle w:val="BodyText"/>
      </w:pPr>
      <w:r>
        <w:t xml:space="preserve">Global statistics can pass while one stratum is starved, so two local</w:t>
      </w:r>
      <w:r>
        <w:t xml:space="preserve"> </w:t>
      </w:r>
      <w:r>
        <w:t xml:space="preserve">checks run beside them. A stratum scan over the discrete covariates</w:t>
      </w:r>
      <w:r>
        <w:t xml:space="preserve"> </w:t>
      </w:r>
      <w:r>
        <w:t xml:space="preserve">looks for cells in which treatment is nearly deterministic, and a</w:t>
      </w:r>
      <w:r>
        <w:t xml:space="preserve"> </w:t>
      </w:r>
      <w:r>
        <w:t xml:space="preserve">shallow regression tree fitted to an indicator of extreme propensity</w:t>
      </w:r>
      <w:r>
        <w:t xml:space="preserve"> </w:t>
      </w:r>
      <w:r>
        <w:t xml:space="preserve">searches for interaction-defined regions the scan would miss and</w:t>
      </w:r>
      <w:r>
        <w:t xml:space="preserve"> </w:t>
      </w:r>
      <w:r>
        <w:t xml:space="preserve">reports each violation region with its size and treatment share.</w:t>
      </w:r>
      <w:r>
        <w:t xml:space="preserve"> </w:t>
      </w:r>
      <w:r>
        <w:t xml:space="preserve">Either check can escalate the verdict. The associated plot is a</w:t>
      </w:r>
      <w:r>
        <w:t xml:space="preserve"> </w:t>
      </w:r>
      <w:r>
        <w:t xml:space="preserve">mirrored histogram, treated propensities above the axis and controls</w:t>
      </w:r>
      <w:r>
        <w:t xml:space="preserve"> </w:t>
      </w:r>
      <w:r>
        <w:t xml:space="preserve">below with the band shaded, chosen because non-overlap is visible in</w:t>
      </w:r>
      <w:r>
        <w:t xml:space="preserve"> </w:t>
      </w:r>
      <w:r>
        <w:t xml:space="preserve">it at a glance and reviewers do not need training to read it.</w:t>
      </w:r>
    </w:p>
    <w:bookmarkEnd w:id="43"/>
    <w:bookmarkStart w:id="45" w:name="reading-the-same-fit-per-estimand"/>
    <w:p>
      <w:pPr>
        <w:pStyle w:val="Heading2"/>
      </w:pPr>
      <w:r>
        <w:t xml:space="preserve">6.3 Reading the same fit per estimand</w:t>
      </w:r>
    </w:p>
    <w:p>
      <w:pPr>
        <w:pStyle w:val="FirstParagraph"/>
      </w:pPr>
      <w:r>
        <w:t xml:space="preserve">Different estimands reweight the same fitted propensity differently,</w:t>
      </w:r>
      <w:r>
        <w:t xml:space="preserve"> </w:t>
      </w:r>
      <w:r>
        <w:t xml:space="preserve">which is what gives the design team room to move when the ATE is not</w:t>
      </w:r>
      <w:r>
        <w:t xml:space="preserve"> </w:t>
      </w:r>
      <w:r>
        <w:t xml:space="preserve">supported.</w:t>
      </w:r>
      <w:r>
        <w:t xml:space="preserve"> </w:t>
      </w:r>
      <w:r>
        <w:rPr>
          <w:rStyle w:val="VerbatimChar"/>
        </w:rPr>
        <w:t xml:space="preserve">estimand_feasibility()</w:t>
      </w:r>
      <w:r>
        <w:t xml:space="preserve"> </w:t>
      </w:r>
      <w:r>
        <w:t xml:space="preserve">computes, from one</w:t>
      </w:r>
      <w:r>
        <w:t xml:space="preserve"> </w:t>
      </w:r>
      <w:r>
        <w:rPr>
          <w:rStyle w:val="VerbatimChar"/>
        </w:rPr>
        <w:t xml:space="preserve">ps_fit</w:t>
      </w:r>
      <w:r>
        <w:t xml:space="preserve">, the</w:t>
      </w:r>
      <w:r>
        <w:t xml:space="preserve"> </w:t>
      </w:r>
      <w:r>
        <w:t xml:space="preserve">weight distribution each estimand implies, its maximum, the effective</w:t>
      </w:r>
      <w:r>
        <w:t xml:space="preserve"> </w:t>
      </w:r>
      <w:r>
        <w:t xml:space="preserve">sample size by arm, the share of the sample effectively removed, and a</w:t>
      </w:r>
      <w:r>
        <w:t xml:space="preserve"> </w:t>
      </w:r>
      <w:r>
        <w:t xml:space="preserve">per-estimand verdict on the same PASS to FAIL scale.</w:t>
      </w:r>
    </w:p>
    <w:tbl>
      <w:tblPr>
        <w:tblStyle w:val="Table"/>
        <w:tblW w:type="pct" w:w="5000"/>
        <w:tblLayout w:type="fixed"/>
        <w:tblLook w:firstRow="0" w:lastRow="0" w:firstColumn="0" w:lastColumn="0" w:noHBand="0" w:noVBand="0" w:val="0000"/>
      </w:tblPr>
      <w:tblGrid>
        <w:gridCol w:w="7920"/>
      </w:tblGrid>
      <w:tr>
        <w:tc>
          <w:tcPr/>
          <w:bookmarkStart w:id="44" w:name="tbl-estimand-weights"/>
          <w:p>
            <w:pPr>
              <w:jc w:val="center"/>
            </w:pPr>
            <w:pPr>
              <w:jc w:val="start"/>
              <w:spacing w:before="200"/>
              <w:pStyle w:val="ImageCaption"/>
            </w:pPr>
            <w:r>
              <w:t xml:space="preserve">Table 2: Implied weights per estimand from one fitted propensity score. The</w:t>
            </w:r>
            <w:r>
              <w:t xml:space="preserve"> </w:t>
            </w:r>
            <w:r>
              <w:t xml:space="preserve">ATT weights controls by the odds of treatment, so they stay bounded</w:t>
            </w:r>
            <w:r>
              <w:t xml:space="preserve"> </w:t>
            </w:r>
            <w:r>
              <w:t xml:space="preserve">whenever the largest propensity is bounded away from 1; the</w:t>
            </w:r>
            <w:r>
              <w:t xml:space="preserve"> </w:t>
            </w:r>
            <w:r>
              <w:t xml:space="preserve">overlap-weighted ATO has weights bounded by 1 by construction</w:t>
            </w:r>
            <w:r>
              <w:t xml:space="preserve"> </w:t>
            </w:r>
            <w:r>
              <w:t xml:space="preserve">(Li, Morgan, and Zaslavsky 2018)</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Estimand</w:t>
                  </w:r>
                </w:p>
              </w:tc>
              <w:tc>
                <w:tcPr/>
                <w:p>
                  <w:pPr>
                    <w:pStyle w:val="Compact"/>
                    <w:jc w:val="center"/>
                  </w:pPr>
                  <w:r>
                    <w:t xml:space="preserve">Weight on treated</w:t>
                  </w:r>
                </w:p>
              </w:tc>
              <w:tc>
                <w:tcPr/>
                <w:p>
                  <w:pPr>
                    <w:pStyle w:val="Compact"/>
                    <w:jc w:val="center"/>
                  </w:pPr>
                  <w:r>
                    <w:t xml:space="preserve">Weight on controls</w:t>
                  </w:r>
                </w:p>
              </w:tc>
              <w:tc>
                <w:tcPr/>
                <w:p>
                  <w:pPr>
                    <w:pStyle w:val="Compact"/>
                    <w:jc w:val="center"/>
                  </w:pPr>
                  <w:r>
                    <w:t xml:space="preserve">Bound</w:t>
                  </w:r>
                </w:p>
              </w:tc>
            </w:tr>
            <w:tr>
              <w:tc>
                <w:tcPr/>
                <w:p>
                  <w:pPr>
                    <w:pStyle w:val="Compact"/>
                    <w:jc w:val="center"/>
                  </w:pPr>
                  <w:r>
                    <w:t xml:space="preserve">ATE</w:t>
                  </w:r>
                </w:p>
              </w:tc>
              <w:tc>
                <w:tcPr/>
                <w:p>
                  <w:pPr>
                    <w:pStyle w:val="Compact"/>
                    <w:jc w:val="center"/>
                  </w:pPr>
                  <m:oMath>
                    <m:r>
                      <m:t>1</m:t>
                    </m:r>
                    <m:r>
                      <m:rPr>
                        <m:sty m:val="p"/>
                      </m:rPr>
                      <m:t>/</m:t>
                    </m:r>
                    <m:r>
                      <m:t>g</m:t>
                    </m:r>
                  </m:oMath>
                </w:p>
              </w:tc>
              <w:tc>
                <w:tcPr/>
                <w:p>
                  <w:pPr>
                    <w:pStyle w:val="Compact"/>
                    <w:jc w:val="center"/>
                  </w:pPr>
                  <m:oMath>
                    <m:r>
                      <m:t>1</m:t>
                    </m:r>
                    <m:r>
                      <m:rPr>
                        <m:sty m:val="p"/>
                      </m:rPr>
                      <m:t>/</m:t>
                    </m:r>
                    <m:d>
                      <m:dPr>
                        <m:begChr m:val="("/>
                        <m:endChr m:val=")"/>
                        <m:sepChr m:val=""/>
                        <m:grow/>
                      </m:dPr>
                      <m:e>
                        <m:r>
                          <m:t>1</m:t>
                        </m:r>
                        <m:r>
                          <m:rPr>
                            <m:sty m:val="p"/>
                          </m:rPr>
                          <m:t>−</m:t>
                        </m:r>
                        <m:r>
                          <m:t>g</m:t>
                        </m:r>
                      </m:e>
                    </m:d>
                  </m:oMath>
                </w:p>
              </w:tc>
              <w:tc>
                <w:tcPr/>
                <w:p>
                  <w:pPr>
                    <w:pStyle w:val="Compact"/>
                    <w:jc w:val="center"/>
                  </w:pPr>
                  <w:r>
                    <w:t xml:space="preserve">none</w:t>
                  </w:r>
                </w:p>
              </w:tc>
            </w:tr>
            <w:tr>
              <w:tc>
                <w:tcPr/>
                <w:p>
                  <w:pPr>
                    <w:pStyle w:val="Compact"/>
                    <w:jc w:val="center"/>
                  </w:pPr>
                  <w:r>
                    <w:t xml:space="preserve">Trimmed ATE</w:t>
                  </w:r>
                </w:p>
              </w:tc>
              <w:tc>
                <w:tcPr/>
                <w:p>
                  <w:pPr>
                    <w:pStyle w:val="Compact"/>
                    <w:jc w:val="center"/>
                  </w:pPr>
                  <m:oMath>
                    <m:r>
                      <m:t>1</m:t>
                    </m:r>
                    <m:r>
                      <m:rPr>
                        <m:sty m:val="p"/>
                      </m:rPr>
                      <m:t>/</m:t>
                    </m:r>
                    <m:r>
                      <m:t>g</m:t>
                    </m:r>
                  </m:oMath>
                  <w:r>
                    <w:t xml:space="preserve"> </w:t>
                  </w:r>
                  <w:r>
                    <w:t xml:space="preserve">on support</w:t>
                  </w:r>
                </w:p>
              </w:tc>
              <w:tc>
                <w:tcPr/>
                <w:p>
                  <w:pPr>
                    <w:pStyle w:val="Compact"/>
                    <w:jc w:val="center"/>
                  </w:pPr>
                  <m:oMath>
                    <m:r>
                      <m:t>1</m:t>
                    </m:r>
                    <m:r>
                      <m:rPr>
                        <m:sty m:val="p"/>
                      </m:rPr>
                      <m:t>/</m:t>
                    </m:r>
                    <m:d>
                      <m:dPr>
                        <m:begChr m:val="("/>
                        <m:endChr m:val=")"/>
                        <m:sepChr m:val=""/>
                        <m:grow/>
                      </m:dPr>
                      <m:e>
                        <m:r>
                          <m:t>1</m:t>
                        </m:r>
                        <m:r>
                          <m:rPr>
                            <m:sty m:val="p"/>
                          </m:rPr>
                          <m:t>−</m:t>
                        </m:r>
                        <m:r>
                          <m:t>g</m:t>
                        </m:r>
                      </m:e>
                    </m:d>
                  </m:oMath>
                  <w:r>
                    <w:t xml:space="preserve"> </w:t>
                  </w:r>
                  <w:r>
                    <w:t xml:space="preserve">on support</w:t>
                  </w:r>
                </w:p>
              </w:tc>
              <w:tc>
                <w:tcPr/>
                <w:p>
                  <w:pPr>
                    <w:pStyle w:val="Compact"/>
                    <w:jc w:val="center"/>
                  </w:pPr>
                  <w:r>
                    <w:t xml:space="preserve">set by trim</w:t>
                  </w:r>
                </w:p>
              </w:tc>
            </w:tr>
            <w:tr>
              <w:tc>
                <w:tcPr/>
                <w:p>
                  <w:pPr>
                    <w:pStyle w:val="Compact"/>
                    <w:jc w:val="center"/>
                  </w:pPr>
                  <w:r>
                    <w:t xml:space="preserve">ATT</w:t>
                  </w:r>
                </w:p>
              </w:tc>
              <w:tc>
                <w:tcPr/>
                <w:p>
                  <w:pPr>
                    <w:pStyle w:val="Compact"/>
                    <w:jc w:val="center"/>
                  </w:pPr>
                  <m:oMath>
                    <m:r>
                      <m:t>1</m:t>
                    </m:r>
                  </m:oMath>
                </w:p>
              </w:tc>
              <w:tc>
                <w:tcPr/>
                <w:p>
                  <w:pPr>
                    <w:pStyle w:val="Compact"/>
                    <w:jc w:val="center"/>
                  </w:pPr>
                  <m:oMath>
                    <m:r>
                      <m:t>g</m:t>
                    </m:r>
                    <m:r>
                      <m:rPr>
                        <m:sty m:val="p"/>
                      </m:rPr>
                      <m:t>/</m:t>
                    </m:r>
                    <m:d>
                      <m:dPr>
                        <m:begChr m:val="("/>
                        <m:endChr m:val=")"/>
                        <m:sepChr m:val=""/>
                        <m:grow/>
                      </m:dPr>
                      <m:e>
                        <m:r>
                          <m:t>1</m:t>
                        </m:r>
                        <m:r>
                          <m:rPr>
                            <m:sty m:val="p"/>
                          </m:rPr>
                          <m:t>−</m:t>
                        </m:r>
                        <m:r>
                          <m:t>g</m:t>
                        </m:r>
                      </m:e>
                    </m:d>
                  </m:oMath>
                </w:p>
              </w:tc>
              <w:tc>
                <w:tcPr/>
                <w:p>
                  <w:pPr>
                    <w:pStyle w:val="Compact"/>
                    <w:jc w:val="center"/>
                  </w:pPr>
                  <m:oMath>
                    <m:r>
                      <m:rPr>
                        <m:sty m:val="p"/>
                      </m:rPr>
                      <m:t>max</m:t>
                    </m:r>
                    <m:r>
                      <m:t>g</m:t>
                    </m:r>
                    <m:r>
                      <m:rPr>
                        <m:sty m:val="p"/>
                      </m:rPr>
                      <m:t>/</m:t>
                    </m:r>
                    <m:d>
                      <m:dPr>
                        <m:begChr m:val="("/>
                        <m:endChr m:val=")"/>
                        <m:sepChr m:val=""/>
                        <m:grow/>
                      </m:dPr>
                      <m:e>
                        <m:r>
                          <m:t>1</m:t>
                        </m:r>
                        <m:r>
                          <m:rPr>
                            <m:sty m:val="p"/>
                          </m:rPr>
                          <m:t>−</m:t>
                        </m:r>
                        <m:r>
                          <m:rPr>
                            <m:sty m:val="p"/>
                          </m:rPr>
                          <m:t>max</m:t>
                        </m:r>
                        <m:r>
                          <m:t>g</m:t>
                        </m:r>
                      </m:e>
                    </m:d>
                  </m:oMath>
                </w:p>
              </w:tc>
            </w:tr>
            <w:tr>
              <w:tc>
                <w:tcPr/>
                <w:p>
                  <w:pPr>
                    <w:pStyle w:val="Compact"/>
                    <w:jc w:val="center"/>
                  </w:pPr>
                  <w:r>
                    <w:t xml:space="preserve">ATO</w:t>
                  </w:r>
                </w:p>
              </w:tc>
              <w:tc>
                <w:tcPr/>
                <w:p>
                  <w:pPr>
                    <w:pStyle w:val="Compact"/>
                    <w:jc w:val="center"/>
                  </w:pPr>
                  <m:oMath>
                    <m:r>
                      <m:t>1</m:t>
                    </m:r>
                    <m:r>
                      <m:rPr>
                        <m:sty m:val="p"/>
                      </m:rPr>
                      <m:t>−</m:t>
                    </m:r>
                    <m:r>
                      <m:t>g</m:t>
                    </m:r>
                  </m:oMath>
                </w:p>
              </w:tc>
              <w:tc>
                <w:tcPr/>
                <w:p>
                  <w:pPr>
                    <w:pStyle w:val="Compact"/>
                    <w:jc w:val="center"/>
                  </w:pPr>
                  <m:oMath>
                    <m:r>
                      <m:t>g</m:t>
                    </m:r>
                  </m:oMath>
                </w:p>
              </w:tc>
              <w:tc>
                <w:tcPr/>
                <w:p>
                  <w:pPr>
                    <w:pStyle w:val="Compact"/>
                    <w:jc w:val="center"/>
                  </w:pPr>
                  <m:oMath>
                    <m:r>
                      <m:t>1</m:t>
                    </m:r>
                  </m:oMath>
                </w:p>
              </w:tc>
            </w:tr>
          </w:tbl>
          <w:bookmarkEnd w:id="44"/>
          <w:p/>
        </w:tc>
      </w:tr>
    </w:tbl>
    <w:p>
      <w:pPr>
        <w:pStyle w:val="BodyText"/>
      </w:pPr>
      <w:r>
        <w:t xml:space="preserve">The trimmed ATE restricts to the region of common support, by a fixed</w:t>
      </w:r>
      <w:r>
        <w:t xml:space="preserve"> </w:t>
      </w:r>
      <w:r>
        <w:t xml:space="preserve">band or by the variance-minimising rule of</w:t>
      </w:r>
      <w:r>
        <w:t xml:space="preserve"> </w:t>
      </w:r>
      <w:r>
        <w:t xml:space="preserve">Crump et al. (2009)</w:t>
      </w:r>
      <w:r>
        <w:t xml:space="preserve">, and</w:t>
      </w:r>
      <w:r>
        <w:t xml:space="preserve"> </w:t>
      </w:r>
      <w:r>
        <w:t xml:space="preserve">then refits within it. Trimming changes the population, so the</w:t>
      </w:r>
      <w:r>
        <w:t xml:space="preserve"> </w:t>
      </w:r>
      <w:r>
        <w:t xml:space="preserve">feasibility table is paired with a profile of who is removed:</w:t>
      </w:r>
      <w:r>
        <w:t xml:space="preserve"> </w:t>
      </w:r>
      <w:r>
        <w:rPr>
          <w:rStyle w:val="VerbatimChar"/>
        </w:rPr>
        <w:t xml:space="preserve">estimand_feasibility(profile_vars = ...)</w:t>
      </w:r>
      <w:r>
        <w:t xml:space="preserve"> </w:t>
      </w:r>
      <w:r>
        <w:t xml:space="preserve">compares the trimmed-away</w:t>
      </w:r>
      <w:r>
        <w:t xml:space="preserve"> </w:t>
      </w:r>
      <w:r>
        <w:t xml:space="preserve">patients with the retained ones on interpretable variables, and the</w:t>
      </w:r>
      <w:r>
        <w:t xml:space="preserve"> </w:t>
      </w:r>
      <w:r>
        <w:t xml:space="preserve">design report states the retained population in words. The ATT</w:t>
      </w:r>
      <w:r>
        <w:t xml:space="preserve"> </w:t>
      </w:r>
      <w:r>
        <w:t xml:space="preserve">reweights only controls, by</w:t>
      </w:r>
      <w:r>
        <w:t xml:space="preserve"> </w:t>
      </w:r>
      <m:oMath>
        <m:r>
          <m:t>g</m:t>
        </m:r>
        <m:r>
          <m:rPr>
            <m:sty m:val="p"/>
          </m:rPr>
          <m:t>/</m:t>
        </m:r>
        <m:d>
          <m:dPr>
            <m:begChr m:val="("/>
            <m:endChr m:val=")"/>
            <m:sepChr m:val=""/>
            <m:grow/>
          </m:dPr>
          <m:e>
            <m:r>
              <m:t>1</m:t>
            </m:r>
            <m:r>
              <m:rPr>
                <m:sty m:val="p"/>
              </m:rPr>
              <m:t>−</m:t>
            </m:r>
            <m:r>
              <m:t>g</m:t>
            </m:r>
          </m:e>
        </m:d>
      </m:oMath>
      <w:r>
        <w:t xml:space="preserve"> </w:t>
      </w:r>
      <w:r>
        <w:t xml:space="preserve">(the weighting representation</w:t>
      </w:r>
      <w:r>
        <w:t xml:space="preserve"> </w:t>
      </w:r>
      <w:r>
        <w:t xml:space="preserve">in Li, Morgan, and Zaslavsky 2018)</w:t>
      </w:r>
      <w:r>
        <w:t xml:space="preserve">, and the ATO weights every patient by the</w:t>
      </w:r>
      <w:r>
        <w:t xml:space="preserve"> </w:t>
      </w:r>
      <w:r>
        <w:t xml:space="preserve">probability of the treatment they did not receive, so it targets the</w:t>
      </w:r>
      <w:r>
        <w:t xml:space="preserve"> </w:t>
      </w:r>
      <w:r>
        <w:t xml:space="preserve">population in clinical equipoise with weights bounded by 1</w:t>
      </w:r>
      <w:r>
        <w:t xml:space="preserve"> </w:t>
      </w:r>
      <w:r>
        <w:t xml:space="preserve">(Li, Morgan, and Zaslavsky 2018; Mao, Li, and Greene 2019)</w:t>
      </w:r>
      <w:r>
        <w:t xml:space="preserve">. A matched-cohort ATT rides along as a</w:t>
      </w:r>
      <w:r>
        <w:t xml:space="preserve"> </w:t>
      </w:r>
      <w:r>
        <w:t xml:space="preserve">sensitivity analysis. Estimation for each rung uses the estimator</w:t>
      </w:r>
      <w:r>
        <w:t xml:space="preserve"> </w:t>
      </w:r>
      <w:r>
        <w:t xml:space="preserve">suited to it: TMLE for the ATE and trimmed ATE (with IPCW available</w:t>
      </w:r>
      <w:r>
        <w:t xml:space="preserve"> </w:t>
      </w:r>
      <w:r>
        <w:t xml:space="preserve">for missing outcomes), a complete-case TMLE for the ATT (the ATT</w:t>
      </w:r>
      <w:r>
        <w:t xml:space="preserve"> </w:t>
      </w:r>
      <w:r>
        <w:t xml:space="preserve">efficient influence function does not compose with the IPCW censoring</w:t>
      </w:r>
      <w:r>
        <w:t xml:space="preserve"> </w:t>
      </w:r>
      <w:r>
        <w:t xml:space="preserve">weights in our implementation, and the package says so rather than</w:t>
      </w:r>
      <w:r>
        <w:t xml:space="preserve"> </w:t>
      </w:r>
      <w:r>
        <w:t xml:space="preserve">silently proceeding), and the augmented overlap-weighted estimator of</w:t>
      </w:r>
      <w:r>
        <w:t xml:space="preserve"> </w:t>
      </w:r>
      <w:r>
        <w:t xml:space="preserve">Mao, Li, and Greene (2019)</w:t>
      </w:r>
      <w:r>
        <w:t xml:space="preserve"> </w:t>
      </w:r>
      <w:r>
        <w:t xml:space="preserve">for the ATO.</w:t>
      </w:r>
    </w:p>
    <w:bookmarkEnd w:id="45"/>
    <w:bookmarkStart w:id="47" w:name="sec-support-map"/>
    <w:p>
      <w:pPr>
        <w:pStyle w:val="Heading2"/>
      </w:pPr>
      <w:r>
        <w:t xml:space="preserve">6.4 The outcome-blind support map</w:t>
      </w:r>
    </w:p>
    <w:p>
      <w:pPr>
        <w:pStyle w:val="FirstParagraph"/>
      </w:pPr>
      <w:r>
        <w:t xml:space="preserve">The feasibility table says which estimands imply bounded weights. It</w:t>
      </w:r>
      <w:r>
        <w:t xml:space="preserve"> </w:t>
      </w:r>
      <w:r>
        <w:t xml:space="preserve">cannot say how much the residual extrapolation matters, because that</w:t>
      </w:r>
      <w:r>
        <w:t xml:space="preserve"> </w:t>
      </w:r>
      <w:r>
        <w:t xml:space="preserve">depends on how the outcome behaves in the region only one arm</w:t>
      </w:r>
      <w:r>
        <w:t xml:space="preserve"> </w:t>
      </w:r>
      <w:r>
        <w:t xml:space="preserve">inhabits, and the design team is blind to the outcome. The package’s</w:t>
      </w:r>
      <w:r>
        <w:t xml:space="preserve"> </w:t>
      </w:r>
      <w:r>
        <w:t xml:space="preserve">answer is the same plasmode device it uses for candidate selection.</w:t>
      </w:r>
      <w:r>
        <w:t xml:space="preserve"> </w:t>
      </w:r>
      <w:r>
        <w:rPr>
          <w:rStyle w:val="VerbatimChar"/>
        </w:rPr>
        <w:t xml:space="preserve">simulate_support()</w:t>
      </w:r>
      <w:r>
        <w:t xml:space="preserve"> </w:t>
      </w:r>
      <w:r>
        <w:t xml:space="preserve">resamples the locked covariates, draws treatment</w:t>
      </w:r>
      <w:r>
        <w:t xml:space="preserve"> </w:t>
      </w:r>
      <w:r>
        <w:t xml:space="preserve">from the fitted propensity, and generates synthetic outcomes from a</w:t>
      </w:r>
      <w:r>
        <w:t xml:space="preserve"> </w:t>
      </w:r>
      <w:r>
        <w:t xml:space="preserve">prespecified family of surfaces indexed by two knobs: how strongly the</w:t>
      </w:r>
      <w:r>
        <w:t xml:space="preserve"> </w:t>
      </w:r>
      <w:r>
        <w:t xml:space="preserve">outcome depends on the direction that drives the non-overlap, and how</w:t>
      </w:r>
      <w:r>
        <w:t xml:space="preserve"> </w:t>
      </w:r>
      <w:r>
        <w:t xml:space="preserve">much the treatment effect varies along that direction. Because the</w:t>
      </w:r>
      <w:r>
        <w:t xml:space="preserve"> </w:t>
      </w:r>
      <w:r>
        <w:t xml:space="preserve">truth is known on every replicate, and known separately for the ATE,</w:t>
      </w:r>
      <w:r>
        <w:t xml:space="preserve"> </w:t>
      </w:r>
      <w:r>
        <w:t xml:space="preserve">trimmed ATE, ATT, ATO, and matched estimands, the output is a</w:t>
      </w:r>
      <w:r>
        <w:t xml:space="preserve"> </w:t>
      </w:r>
      <w:r>
        <w:rPr>
          <w:i/>
          <w:iCs/>
        </w:rPr>
        <w:t xml:space="preserve">support</w:t>
      </w:r>
      <w:r>
        <w:rPr>
          <w:i/>
          <w:iCs/>
        </w:rPr>
        <w:t xml:space="preserve"> </w:t>
      </w:r>
      <w:r>
        <w:rPr>
          <w:i/>
          <w:iCs/>
        </w:rPr>
        <w:t xml:space="preserve">map</w:t>
      </w:r>
      <w:r>
        <w:t xml:space="preserve">: for each estimand, the region of the surface family in which its</w:t>
      </w:r>
      <w:r>
        <w:t xml:space="preserve"> </w:t>
      </w:r>
      <w:r>
        <w:t xml:space="preserve">estimator stays within a prespecified bias tolerance at near-nominal</w:t>
      </w:r>
      <w:r>
        <w:t xml:space="preserve"> </w:t>
      </w:r>
      <w:r>
        <w:t xml:space="preserve">coverage. An estimand whose estimator fails inside the plausible</w:t>
      </w:r>
      <w:r>
        <w:t xml:space="preserve"> </w:t>
      </w:r>
      <w:r>
        <w:t xml:space="preserve">region of that family is declared infeasible, and the team learns this</w:t>
      </w:r>
      <w:r>
        <w:t xml:space="preserve"> </w:t>
      </w:r>
      <w:r>
        <w:t xml:space="preserve">without touching a real outcome. The map is read jointly with the</w:t>
      </w:r>
      <w:r>
        <w:t xml:space="preserve"> </w:t>
      </w:r>
      <w:r>
        <w:t xml:space="preserve">prespecified plausible region; a whole-grid pass rule is conservative</w:t>
      </w:r>
      <w:r>
        <w:t xml:space="preserve"> </w:t>
      </w:r>
      <w:r>
        <w:t xml:space="preserve">by construction, and the design report states which rule was declared.</w:t>
      </w:r>
    </w:p>
    <w:bookmarkStart w:id="46" w:name="generate-treatment-not-sample-treatment"/>
    <w:p>
      <w:pPr>
        <w:pStyle w:val="Heading3"/>
      </w:pPr>
      <w:r>
        <w:t xml:space="preserve">6.4.1 Generate-treatment, not sample-treatment</w:t>
      </w:r>
    </w:p>
    <w:p>
      <w:pPr>
        <w:pStyle w:val="FirstParagraph"/>
      </w:pPr>
      <w:r>
        <w:t xml:space="preserve">One design choice in this simulation deserves emphasis because the</w:t>
      </w:r>
      <w:r>
        <w:t xml:space="preserve"> </w:t>
      </w:r>
      <w:r>
        <w:t xml:space="preserve">literature has recently shown it is easy to get wrong. Plasmode</w:t>
      </w:r>
      <w:r>
        <w:t xml:space="preserve"> </w:t>
      </w:r>
      <w:r>
        <w:t xml:space="preserve">studies commonly resample covariate-treatment pairs, so each subject</w:t>
      </w:r>
      <w:r>
        <w:t xml:space="preserve"> </w:t>
      </w:r>
      <w:r>
        <w:t xml:space="preserve">keeps their observed treatment.</w:t>
      </w:r>
      <w:r>
        <w:t xml:space="preserve"> </w:t>
      </w:r>
      <w:r>
        <w:t xml:space="preserve">Shaw et al. (2025)</w:t>
      </w:r>
      <w:r>
        <w:t xml:space="preserve"> </w:t>
      </w:r>
      <w:r>
        <w:t xml:space="preserve">show that this</w:t>
      </w:r>
      <w:r>
        <w:t xml:space="preserve"> </w:t>
      </w:r>
      <w:r>
        <w:t xml:space="preserve">sample-treatment design builds a positivity violation into the</w:t>
      </w:r>
      <w:r>
        <w:t xml:space="preserve"> </w:t>
      </w:r>
      <w:r>
        <w:t xml:space="preserve">simulation itself: covariate regions that are all-treated in the data</w:t>
      </w:r>
      <w:r>
        <w:t xml:space="preserve"> </w:t>
      </w:r>
      <w:r>
        <w:t xml:space="preserve">stay all-treated in every replicate regardless of the generating</w:t>
      </w:r>
      <w:r>
        <w:t xml:space="preserve"> </w:t>
      </w:r>
      <w:r>
        <w:t xml:space="preserve">propensity, so the simulation reproduces the observed violation</w:t>
      </w:r>
      <w:r>
        <w:t xml:space="preserve"> </w:t>
      </w:r>
      <w:r>
        <w:t xml:space="preserve">rather than letting the declared design govern it. For most plasmode</w:t>
      </w:r>
      <w:r>
        <w:t xml:space="preserve"> </w:t>
      </w:r>
      <w:r>
        <w:t xml:space="preserve">uses this is a nuisance. For a support map it is disqualifying, since</w:t>
      </w:r>
      <w:r>
        <w:t xml:space="preserve"> </w:t>
      </w:r>
      <w:r>
        <w:t xml:space="preserve">the object under study</w:t>
      </w:r>
      <w:r>
        <w:t xml:space="preserve"> </w:t>
      </w:r>
      <w:r>
        <w:rPr>
          <w:i/>
          <w:iCs/>
        </w:rPr>
        <w:t xml:space="preserve">is</w:t>
      </w:r>
      <w:r>
        <w:t xml:space="preserve"> </w:t>
      </w:r>
      <w:r>
        <w:t xml:space="preserve">the violation.</w:t>
      </w:r>
      <w:r>
        <w:t xml:space="preserve"> </w:t>
      </w:r>
      <w:r>
        <w:rPr>
          <w:rStyle w:val="VerbatimChar"/>
        </w:rPr>
        <w:t xml:space="preserve">simulate_support()</w:t>
      </w:r>
      <w:r>
        <w:t xml:space="preserve"> </w:t>
      </w:r>
      <w:r>
        <w:t xml:space="preserve">and</w:t>
      </w:r>
      <w:r>
        <w:t xml:space="preserve"> </w:t>
      </w:r>
      <w:r>
        <w:t xml:space="preserve">the plasmode selector therefore default to the generate-treatment</w:t>
      </w:r>
      <w:r>
        <w:t xml:space="preserve"> </w:t>
      </w:r>
      <w:r>
        <w:t xml:space="preserve">design: covariates are resampled, treatment is redrawn from the</w:t>
      </w:r>
      <w:r>
        <w:t xml:space="preserve"> </w:t>
      </w:r>
      <w:r>
        <w:t xml:space="preserve">fitted propensity, and synthetic outcomes follow. The sample-treatment</w:t>
      </w:r>
      <w:r>
        <w:t xml:space="preserve"> </w:t>
      </w:r>
      <w:r>
        <w:t xml:space="preserve">design remains available as an explicit option for backward</w:t>
      </w:r>
      <w:r>
        <w:t xml:space="preserve"> </w:t>
      </w:r>
      <w:r>
        <w:t xml:space="preserve">comparison, and the case study reports the two side by side on its</w:t>
      </w:r>
      <w:r>
        <w:t xml:space="preserve"> </w:t>
      </w:r>
      <w:r>
        <w:t xml:space="preserve">primary contrast.</w:t>
      </w:r>
    </w:p>
    <w:bookmarkEnd w:id="46"/>
    <w:bookmarkEnd w:id="47"/>
    <w:bookmarkStart w:id="48" w:name="the-estimand-ladder"/>
    <w:p>
      <w:pPr>
        <w:pStyle w:val="Heading2"/>
      </w:pPr>
      <w:r>
        <w:t xml:space="preserve">6.5 The estimand ladder</w:t>
      </w:r>
    </w:p>
    <w:p>
      <w:pPr>
        <w:pStyle w:val="FirstParagraph"/>
      </w:pPr>
      <w:r>
        <w:t xml:space="preserve">The remaining question is who decides what happens when the primary</w:t>
      </w:r>
      <w:r>
        <w:t xml:space="preserve"> </w:t>
      </w:r>
      <w:r>
        <w:t xml:space="preserve">estimand fails, and when. Switching estimands after seeing results is</w:t>
      </w:r>
      <w:r>
        <w:t xml:space="preserve"> </w:t>
      </w:r>
      <w:r>
        <w:t xml:space="preserve">a garden of forking paths; refusing ever to switch wastes designs that</w:t>
      </w:r>
      <w:r>
        <w:t xml:space="preserve"> </w:t>
      </w:r>
      <w:r>
        <w:t xml:space="preserve">can support a neighbouring question. The package’s resolution is a</w:t>
      </w:r>
      <w:r>
        <w:t xml:space="preserve"> </w:t>
      </w:r>
      <w:r>
        <w:t xml:space="preserve">pre-registered ladder.</w:t>
      </w:r>
      <w:r>
        <w:t xml:space="preserve"> </w:t>
      </w:r>
      <w:r>
        <w:rPr>
          <w:rStyle w:val="VerbatimChar"/>
        </w:rPr>
        <w:t xml:space="preserve">declare_estimand_ladder()</w:t>
      </w:r>
      <w:r>
        <w:t xml:space="preserve"> </w:t>
      </w:r>
      <w:r>
        <w:t xml:space="preserve">records, on the</w:t>
      </w:r>
      <w:r>
        <w:t xml:space="preserve"> </w:t>
      </w:r>
      <w:r>
        <w:t xml:space="preserve">lock and before any outcome access, the primary estimand, the ordered</w:t>
      </w:r>
      <w:r>
        <w:t xml:space="preserve"> </w:t>
      </w:r>
      <w:r>
        <w:t xml:space="preserve">fallbacks, the support verdict that triggers a move (default SEVERE),</w:t>
      </w:r>
      <w:r>
        <w:t xml:space="preserve"> </w:t>
      </w:r>
      <w:r>
        <w:t xml:space="preserve">and optional sensitivity floors such as the minimum bias-to-null that</w:t>
      </w:r>
      <w:r>
        <w:t xml:space="preserve"> </w:t>
      </w:r>
      <w:r>
        <w:t xml:space="preserve">would overturn a conclusion.</w:t>
      </w:r>
      <w:r>
        <w:t xml:space="preserve"> </w:t>
      </w:r>
      <w:r>
        <w:rPr>
          <w:rStyle w:val="VerbatimChar"/>
        </w:rPr>
        <w:t xml:space="preserve">run_estimand_ladder()</w:t>
      </w:r>
      <w:r>
        <w:t xml:space="preserve"> </w:t>
      </w:r>
      <w:r>
        <w:t xml:space="preserve">then estimates</w:t>
      </w:r>
      <w:r>
        <w:t xml:space="preserve"> </w:t>
      </w:r>
      <w:r>
        <w:t xml:space="preserve">the declared primary whenever it is feasible, plus every feasible</w:t>
      </w:r>
      <w:r>
        <w:t xml:space="preserve"> </w:t>
      </w:r>
      <w:r>
        <w:t xml:space="preserve">fallback, and labels each row with its estimand, its support verdict,</w:t>
      </w:r>
      <w:r>
        <w:t xml:space="preserve"> </w:t>
      </w:r>
      <w:r>
        <w:t xml:space="preserve">and the trigger status. An infeasible primary is refused unless the</w:t>
      </w:r>
      <w:r>
        <w:t xml:space="preserve"> </w:t>
      </w:r>
      <w:r>
        <w:t xml:space="preserve">analyst supplies an override reason, which is logged. The switch is</w:t>
      </w:r>
      <w:r>
        <w:t xml:space="preserve"> </w:t>
      </w:r>
      <w:r>
        <w:t xml:space="preserve">thereby a design decision with a timestamp, not a silent</w:t>
      </w:r>
      <w:r>
        <w:t xml:space="preserve"> </w:t>
      </w:r>
      <w:r>
        <w:t xml:space="preserve">substitution, and the reader of the final table can see what was</w:t>
      </w:r>
      <w:r>
        <w:t xml:space="preserve"> </w:t>
      </w:r>
      <w:r>
        <w:t xml:space="preserve">promised, what was delivered, and why they differ.</w:t>
      </w:r>
    </w:p>
    <w:p>
      <w:pPr>
        <w:pStyle w:val="BodyText"/>
      </w:pPr>
      <w:r>
        <w:t xml:space="preserve">Every estimate the ladder returns also passes an implausibility</w:t>
      </w:r>
      <w:r>
        <w:t xml:space="preserve"> </w:t>
      </w:r>
      <w:r>
        <w:t xml:space="preserve">guard: a set of cheap checks against bounds the data imposes (an</w:t>
      </w:r>
      <w:r>
        <w:t xml:space="preserve"> </w:t>
      </w:r>
      <w:r>
        <w:t xml:space="preserve">estimate whose sign contradicts the crude difference by an order of</w:t>
      </w:r>
      <w:r>
        <w:t xml:space="preserve"> </w:t>
      </w:r>
      <w:r>
        <w:t xml:space="preserve">magnitude, exceeds several multiples of the crude contrast, or</w:t>
      </w:r>
      <w:r>
        <w:t xml:space="preserve"> </w:t>
      </w:r>
      <w:r>
        <w:t xml:space="preserve">implies an arm-specific risk outside the observed range is flagged,</w:t>
      </w:r>
      <w:r>
        <w:t xml:space="preserve"> </w:t>
      </w:r>
      <w:r>
        <w:t xml:space="preserve">not suppressed). The guard exists because the motivating failure, the</w:t>
      </w:r>
      <w:r>
        <w:t xml:space="preserve"> </w:t>
      </w:r>
      <w:r>
        <w:t xml:space="preserve">+14,637-minute effect of the Introduction, would have been caught by</w:t>
      </w:r>
      <w:r>
        <w:t xml:space="preserve"> </w:t>
      </w:r>
      <w:r>
        <w:t xml:space="preserve">any one of these checks, and none of them requires anything beyond</w:t>
      </w:r>
      <w:r>
        <w:t xml:space="preserve"> </w:t>
      </w:r>
      <w:r>
        <w:t xml:space="preserve">the estimate and the raw arm summaries.</w:t>
      </w:r>
    </w:p>
    <w:bookmarkEnd w:id="48"/>
    <w:bookmarkStart w:id="49" w:name="X493b88a742275252ba860757ad2e93d53b6cbef"/>
    <w:p>
      <w:pPr>
        <w:pStyle w:val="Heading2"/>
      </w:pPr>
      <w:r>
        <w:t xml:space="preserve">6.6 Negative-control ladder and process indicators</w:t>
      </w:r>
    </w:p>
    <w:p>
      <w:pPr>
        <w:pStyle w:val="FirstParagraph"/>
      </w:pPr>
      <w:r>
        <w:t xml:space="preserve">Two further design checks run beside the support machinery, both</w:t>
      </w:r>
      <w:r>
        <w:t xml:space="preserve"> </w:t>
      </w:r>
      <w:r>
        <w:t xml:space="preserve">registered on the lock. The negative-control ladder fits every</w:t>
      </w:r>
      <w:r>
        <w:t xml:space="preserve"> </w:t>
      </w:r>
      <w:r>
        <w:t xml:space="preserve">registered negative-control outcome on every nested cohort</w:t>
      </w:r>
      <w:r>
        <w:t xml:space="preserve"> </w:t>
      </w:r>
      <w:r>
        <w:t xml:space="preserve">restriction, so the team sees not only whether a control fails but</w:t>
      </w:r>
      <w:r>
        <w:t xml:space="preserve"> </w:t>
      </w:r>
      <w:r>
        <w:t xml:space="preserve">which restriction makes it pass; a control that fails on the full</w:t>
      </w:r>
      <w:r>
        <w:t xml:space="preserve"> </w:t>
      </w:r>
      <w:r>
        <w:t xml:space="preserve">cohort and turns null after a pre-registered exclusion localises the</w:t>
      </w:r>
      <w:r>
        <w:t xml:space="preserve"> </w:t>
      </w:r>
      <w:r>
        <w:t xml:space="preserve">confounding to the excluded stratum rather than leaving a global</w:t>
      </w:r>
      <w:r>
        <w:t xml:space="preserve"> </w:t>
      </w:r>
      <w:r>
        <w:t xml:space="preserve">verdict</w:t>
      </w:r>
      <w:r>
        <w:t xml:space="preserve"> </w:t>
      </w:r>
      <w:r>
        <w:t xml:space="preserve">(Lipsitch, Tchetgen Tchetgen, and Cohen 2010; Shi, Miao, and Tchetgen Tchetgen 2020)</w:t>
      </w:r>
      <w:r>
        <w:t xml:space="preserve">. The</w:t>
      </w:r>
      <w:r>
        <w:t xml:space="preserve"> </w:t>
      </w:r>
      <w:r>
        <w:t xml:space="preserve">process-indicator check regresses each care-process variable on</w:t>
      </w:r>
      <w:r>
        <w:t xml:space="preserve"> </w:t>
      </w:r>
      <w:r>
        <w:t xml:space="preserve">treatment given severity, a collider alarm for conditioning on</w:t>
      </w:r>
      <w:r>
        <w:t xml:space="preserve"> </w:t>
      </w:r>
      <w:r>
        <w:t xml:space="preserve">post-treatment care processes. Both reports enter the design dossier</w:t>
      </w:r>
      <w:r>
        <w:t xml:space="preserve"> </w:t>
      </w:r>
      <w:r>
        <w:t xml:space="preserve">of</w:t>
      </w:r>
      <w:r>
        <w:t xml:space="preserve"> </w:t>
      </w:r>
      <w:hyperlink w:anchor="sec-framework">
        <w:r>
          <w:rPr>
            <w:rStyle w:val="Hyperlink"/>
          </w:rPr>
          <w:t xml:space="preserve">Section 5</w:t>
        </w:r>
      </w:hyperlink>
      <w:r>
        <w:t xml:space="preserve">.</w:t>
      </w:r>
    </w:p>
    <w:bookmarkEnd w:id="49"/>
    <w:bookmarkEnd w:id="50"/>
    <w:bookmarkStart w:id="59" w:name="sec-dq"/>
    <w:p>
      <w:pPr>
        <w:pStyle w:val="Heading1"/>
      </w:pPr>
      <w:r>
        <w:t xml:space="preserve">7. Data Quality as a Quantifiable Threat</w:t>
      </w:r>
    </w:p>
    <w:p>
      <w:pPr>
        <w:pStyle w:val="FirstParagraph"/>
      </w:pPr>
      <w:r>
        <w:t xml:space="preserve">The outcome-blind plasmode loop on which the DQ stress test is built</w:t>
      </w:r>
      <w:r>
        <w:t xml:space="preserve"> </w:t>
      </w:r>
      <w:r>
        <w:t xml:space="preserve">follows the guidance of</w:t>
      </w:r>
      <w:r>
        <w:t xml:space="preserve"> </w:t>
      </w:r>
      <w:r>
        <w:t xml:space="preserve">Nance et al. (2026)</w:t>
      </w:r>
      <w:r>
        <w:t xml:space="preserve">, which formalises a five-step</w:t>
      </w:r>
      <w:r>
        <w:t xml:space="preserve"> </w:t>
      </w:r>
      <w:r>
        <w:t xml:space="preserve">pre-outcome candidate-evaluation procedure: (1) declare the candidate estimators,</w:t>
      </w:r>
      <w:r>
        <w:t xml:space="preserve"> </w:t>
      </w:r>
      <w:r>
        <w:t xml:space="preserve">learner libraries, truncation grids, and variance methods to be</w:t>
      </w:r>
      <w:r>
        <w:t xml:space="preserve"> </w:t>
      </w:r>
      <w:r>
        <w:t xml:space="preserve">compared; (2) specify a data-generating process; (3) generate</w:t>
      </w:r>
      <w:r>
        <w:t xml:space="preserve"> </w:t>
      </w:r>
      <w:r>
        <w:t xml:space="preserve">replicates and apply candidate estimators factorially; (4) select</w:t>
      </w:r>
      <w:r>
        <w:t xml:space="preserve"> </w:t>
      </w:r>
      <w:r>
        <w:t xml:space="preserve">candidates in two stages, first the point estimator (against an</w:t>
      </w:r>
      <w:r>
        <w:t xml:space="preserve"> </w:t>
      </w:r>
      <w:r>
        <w:t xml:space="preserve">oracle-coverage screen built from the Monte Carlo empirical SE),</w:t>
      </w:r>
      <w:r>
        <w:t xml:space="preserve"> </w:t>
      </w:r>
      <w:r>
        <w:t xml:space="preserve">then the variance method; (5) implement on real data and report</w:t>
      </w:r>
      <w:r>
        <w:t xml:space="preserve"> </w:t>
      </w:r>
      <w:r>
        <w:t xml:space="preserve">transparently. FIORD also formalises a</w:t>
      </w:r>
      <w:r>
        <w:t xml:space="preserve"> </w:t>
      </w:r>
      <w:r>
        <w:rPr>
          <w:b/>
          <w:bCs/>
        </w:rPr>
        <w:t xml:space="preserve">spectrum of data-generating</w:t>
      </w:r>
      <w:r>
        <w:rPr>
          <w:b/>
          <w:bCs/>
        </w:rPr>
        <w:t xml:space="preserve"> </w:t>
      </w:r>
      <w:r>
        <w:rPr>
          <w:b/>
          <w:bCs/>
        </w:rPr>
        <w:t xml:space="preserve">processes</w:t>
      </w:r>
      <w:r>
        <w:t xml:space="preserve"> </w:t>
      </w:r>
      <w:r>
        <w:t xml:space="preserve">for the simulation, from fully investigator-specified</w:t>
      </w:r>
      <w:r>
        <w:t xml:space="preserve"> </w:t>
      </w:r>
      <w:r>
        <w:t xml:space="preserve">parametric structural equations, through hybrid generators that use</w:t>
      </w:r>
      <w:r>
        <w:t xml:space="preserve"> </w:t>
      </w:r>
      <w:r>
        <w:t xml:space="preserve">empirical covariates and fitted treatment / censoring mechanisms with</w:t>
      </w:r>
      <w:r>
        <w:t xml:space="preserve"> </w:t>
      </w:r>
      <w:r>
        <w:t xml:space="preserve">an investigator-specified outcome regression, to parametric bootstraps</w:t>
      </w:r>
      <w:r>
        <w:t xml:space="preserve"> </w:t>
      </w:r>
      <w:r>
        <w:t xml:space="preserve">from the fitted joint. cleanTMLE’s default plasmode sits in the</w:t>
      </w:r>
      <w:r>
        <w:t xml:space="preserve"> </w:t>
      </w:r>
      <w:r>
        <w:rPr>
          <w:i/>
          <w:iCs/>
        </w:rPr>
        <w:t xml:space="preserve">hybrid</w:t>
      </w:r>
      <w:r>
        <w:t xml:space="preserve"> </w:t>
      </w:r>
      <w:r>
        <w:t xml:space="preserve">middle of this spectrum: it uses the empirical</w:t>
      </w:r>
      <w:r>
        <w:t xml:space="preserve"> </w:t>
      </w:r>
      <m:oMath>
        <m:d>
          <m:dPr>
            <m:begChr m:val="("/>
            <m:endChr m:val=")"/>
            <m:sepChr m:val=""/>
            <m:grow/>
          </m:dPr>
          <m:e>
            <m:r>
              <m:t>W</m:t>
            </m:r>
            <m:r>
              <m:rPr>
                <m:sty m:val="p"/>
              </m:rPr>
              <m:t>,</m:t>
            </m:r>
            <m:r>
              <m:t>A</m:t>
            </m:r>
          </m:e>
        </m:d>
      </m:oMath>
      <w:r>
        <w:t xml:space="preserve"> </w:t>
      </w:r>
      <w:r>
        <w:t xml:space="preserve">structure with a covariate-only outcome model, never the joint</w:t>
      </w:r>
      <w:r>
        <w:t xml:space="preserve"> </w:t>
      </w:r>
      <m:oMath>
        <m:d>
          <m:dPr>
            <m:begChr m:val="("/>
            <m:endChr m:val=")"/>
            <m:sepChr m:val=""/>
            <m:grow/>
          </m:dPr>
          <m:e>
            <m:r>
              <m:t>A</m:t>
            </m:r>
            <m:r>
              <m:rPr>
                <m:sty m:val="p"/>
              </m:rPr>
              <m:t>,</m:t>
            </m:r>
            <m:r>
              <m:t>Y</m:t>
            </m:r>
          </m:e>
        </m:d>
        <m:r>
          <m:rPr>
            <m:sty m:val="p"/>
          </m:rPr>
          <m:t>∣</m:t>
        </m:r>
        <m:r>
          <m:t>W</m:t>
        </m:r>
      </m:oMath>
      <w:r>
        <w:t xml:space="preserve"> </w:t>
      </w:r>
      <w:r>
        <w:t xml:space="preserve">relationship. The DQ stress test extends FIORD by</w:t>
      </w:r>
      <w:r>
        <w:t xml:space="preserve"> </w:t>
      </w:r>
      <w:r>
        <w:t xml:space="preserve">adding the prespecified perturbation step on top of the same</w:t>
      </w:r>
      <w:r>
        <w:t xml:space="preserve"> </w:t>
      </w:r>
      <w:r>
        <w:t xml:space="preserve">hybrid generator.</w:t>
      </w:r>
    </w:p>
    <w:bookmarkStart w:id="51" w:name="X262475fd6dc51a12a4d5d933c1148a3024c08ab"/>
    <w:p>
      <w:pPr>
        <w:pStyle w:val="Heading2"/>
      </w:pPr>
      <w:r>
        <w:t xml:space="preserve">7.1 Why plasmode DQ stress testing adds information beyond standard pre-outcome diagnostics</w:t>
      </w:r>
    </w:p>
    <w:p>
      <w:pPr>
        <w:pStyle w:val="FirstParagraph"/>
      </w:pPr>
      <w:r>
        <w:t xml:space="preserve">Four pre-outcome tools answer four different questions and are</w:t>
      </w:r>
      <w:r>
        <w:t xml:space="preserve"> </w:t>
      </w:r>
      <w:r>
        <w:t xml:space="preserve">complementary rather than substitutable. (i) Propensity-score</w:t>
      </w:r>
      <w:r>
        <w:t xml:space="preserve"> </w:t>
      </w:r>
      <w:r>
        <w:t xml:space="preserve">diagnostics</w:t>
      </w:r>
      <w:r>
        <w:t xml:space="preserve"> </w:t>
      </w:r>
      <w:r>
        <w:t xml:space="preserve">(Austin 2009)</w:t>
      </w:r>
      <w:r>
        <w:t xml:space="preserve"> </w:t>
      </w:r>
      <w:r>
        <w:t xml:space="preserve">assess empirical comparability, overlap, and</w:t>
      </w:r>
      <w:r>
        <w:t xml:space="preserve"> </w:t>
      </w:r>
      <w:r>
        <w:t xml:space="preserve">weight stability, indicating whether the design is feasible under the</w:t>
      </w:r>
      <w:r>
        <w:t xml:space="preserve"> </w:t>
      </w:r>
      <w:r>
        <w:t xml:space="preserve">observed covariate and treatment distributions; they do not estimate the</w:t>
      </w:r>
      <w:r>
        <w:t xml:space="preserve"> </w:t>
      </w:r>
      <w:r>
        <w:t xml:space="preserve">operating characteristics of a candidate estimator. Balance is</w:t>
      </w:r>
      <w:r>
        <w:t xml:space="preserve"> </w:t>
      </w:r>
      <w:r>
        <w:t xml:space="preserve">conventionally summarised with standardised mean differences (SMDs), but</w:t>
      </w:r>
      <w:r>
        <w:t xml:space="preserve"> </w:t>
      </w:r>
      <w:r>
        <w:t xml:space="preserve">univariate SMDs compare only the marginal means of each covariate and</w:t>
      </w:r>
      <w:r>
        <w:t xml:space="preserve"> </w:t>
      </w:r>
      <w:r>
        <w:t xml:space="preserve">can be satisfied while variances, higher moments, or covariate</w:t>
      </w:r>
      <w:r>
        <w:t xml:space="preserve"> </w:t>
      </w:r>
      <w:r>
        <w:t xml:space="preserve">interactions remain imbalanced, so distributional and interaction</w:t>
      </w:r>
      <w:r>
        <w:t xml:space="preserve"> </w:t>
      </w:r>
      <w:r>
        <w:t xml:space="preserve">diagnostics are needed alongside them after matching or weighting</w:t>
      </w:r>
      <w:r>
        <w:t xml:space="preserve"> </w:t>
      </w:r>
      <w:r>
        <w:t xml:space="preserve">(Austin 2009; Zhang et al. 2019)</w:t>
      </w:r>
      <w:r>
        <w:t xml:space="preserve">.</w:t>
      </w:r>
      <w:r>
        <w:t xml:space="preserve"> </w:t>
      </w:r>
      <w:r>
        <w:t xml:space="preserve">(ii) Baseline plasmode simulation evaluates candidate-estimator</w:t>
      </w:r>
      <w:r>
        <w:t xml:space="preserve"> </w:t>
      </w:r>
      <w:r>
        <w:t xml:space="preserve">operating characteristics (bias, RMSE, coverage) under a single</w:t>
      </w:r>
      <w:r>
        <w:t xml:space="preserve"> </w:t>
      </w:r>
      <w:r>
        <w:t xml:space="preserve">locked synthetic outcome model conditional on the empirical</w:t>
      </w:r>
      <w:r>
        <w:t xml:space="preserve"> </w:t>
      </w:r>
      <m:oMath>
        <m:d>
          <m:dPr>
            <m:begChr m:val="("/>
            <m:endChr m:val=")"/>
            <m:sepChr m:val=""/>
            <m:grow/>
          </m:dPr>
          <m:e>
            <m:r>
              <m:t>W</m:t>
            </m:r>
            <m:r>
              <m:rPr>
                <m:sty m:val="p"/>
              </m:rPr>
              <m:t>,</m:t>
            </m:r>
            <m:r>
              <m:t>A</m:t>
            </m:r>
          </m:e>
        </m:d>
      </m:oMath>
      <w:r>
        <w:t xml:space="preserve"> </w:t>
      </w:r>
      <w:r>
        <w:t xml:space="preserve">structure. (iii) Negative-control analyses probe</w:t>
      </w:r>
      <w:r>
        <w:t xml:space="preserve"> </w:t>
      </w:r>
      <w:r>
        <w:t xml:space="preserve">residual bias for selected control outcomes against a different</w:t>
      </w:r>
      <w:r>
        <w:t xml:space="preserve"> </w:t>
      </w:r>
      <w:r>
        <w:t xml:space="preserve">data-generating channel altogether; they do not directly evaluate</w:t>
      </w:r>
      <w:r>
        <w:t xml:space="preserve"> </w:t>
      </w:r>
      <w:r>
        <w:t xml:space="preserve">how the primary estimator behaves under prespecified measurement</w:t>
      </w:r>
      <w:r>
        <w:t xml:space="preserve"> </w:t>
      </w:r>
      <w:r>
        <w:t xml:space="preserve">error, missingness, or unmeasured-confounding scenarios.</w:t>
      </w:r>
      <w:r>
        <w:t xml:space="preserve"> </w:t>
      </w:r>
      <w:r>
        <w:t xml:space="preserve">(iv) The DQ stress test asks whether the locked</w:t>
      </w:r>
      <w:r>
        <w:t xml:space="preserve"> </w:t>
      </w:r>
      <w:r>
        <w:t xml:space="preserve">estimator-selection decision is stable under prespecified</w:t>
      </w:r>
      <w:r>
        <w:t xml:space="preserve"> </w:t>
      </w:r>
      <w:r>
        <w:t xml:space="preserve">fit-for-purpose threats translated into quantitative</w:t>
      </w:r>
      <w:r>
        <w:t xml:space="preserve"> </w:t>
      </w:r>
      <w:r>
        <w:t xml:space="preserve">perturbations of the baseline plasmode, before the primary</w:t>
      </w:r>
      <w:r>
        <w:t xml:space="preserve"> </w:t>
      </w:r>
      <w:r>
        <w:t xml:space="preserve">treatment-outcome association is inspected. A STOP under a stress</w:t>
      </w:r>
      <w:r>
        <w:t xml:space="preserve"> </w:t>
      </w:r>
      <w:r>
        <w:t xml:space="preserve">scenario should be read as evidence that the study requires redesign,</w:t>
      </w:r>
      <w:r>
        <w:t xml:space="preserve"> </w:t>
      </w:r>
      <w:r>
        <w:t xml:space="preserve">external validation, additional sensitivity analysis, or narrower causal</w:t>
      </w:r>
      <w:r>
        <w:t xml:space="preserve"> </w:t>
      </w:r>
      <w:r>
        <w:t xml:space="preserve">claims before outcome access.</w:t>
      </w:r>
    </w:p>
    <w:p>
      <w:pPr>
        <w:pStyle w:val="BodyText"/>
      </w:pPr>
      <w:r>
        <w:t xml:space="preserve">The DQ stress test is a quantitative supplement to fit-for-purpose</w:t>
      </w:r>
      <w:r>
        <w:t xml:space="preserve"> </w:t>
      </w:r>
      <w:r>
        <w:t xml:space="preserve">review, not a substitute for validation, governance, or</w:t>
      </w:r>
      <w:r>
        <w:t xml:space="preserve"> </w:t>
      </w:r>
      <w:r>
        <w:t xml:space="preserve">post-outcome quantitative bias analysis. The workflow does not</w:t>
      </w:r>
      <w:r>
        <w:t xml:space="preserve"> </w:t>
      </w:r>
      <w:r>
        <w:t xml:space="preserve">guarantee that estimator rankings under synthetic outcomes will</w:t>
      </w:r>
      <w:r>
        <w:t xml:space="preserve"> </w:t>
      </w:r>
      <w:r>
        <w:t xml:space="preserve">generalise to the realised outcome process. DQ stress testing</w:t>
      </w:r>
      <w:r>
        <w:t xml:space="preserve"> </w:t>
      </w:r>
      <w:r>
        <w:t xml:space="preserve">should not be interpreted as a formal identification-region</w:t>
      </w:r>
      <w:r>
        <w:t xml:space="preserve"> </w:t>
      </w:r>
      <w:r>
        <w:t xml:space="preserve">analysis or as a replacement for post-outcome quantitative bias</w:t>
      </w:r>
      <w:r>
        <w:t xml:space="preserve"> </w:t>
      </w:r>
      <w:r>
        <w:t xml:space="preserve">analysis. It is a pre-outcome robustness screen for estimator</w:t>
      </w:r>
      <w:r>
        <w:t xml:space="preserve"> </w:t>
      </w:r>
      <w:r>
        <w:t xml:space="preserve">behaviour under prespecified perturbations.</w:t>
      </w:r>
    </w:p>
    <w:bookmarkEnd w:id="51"/>
    <w:bookmarkStart w:id="53" w:name="X4f009c1ca2a345c3f9f27806faafdc4c5929f9a"/>
    <w:p>
      <w:pPr>
        <w:pStyle w:val="Heading2"/>
      </w:pPr>
      <w:r>
        <w:t xml:space="preserve">7.2 Mapping data-quality concerns to plasmode parameters</w:t>
      </w:r>
    </w:p>
    <w:p>
      <w:pPr>
        <w:pStyle w:val="FirstParagraph"/>
      </w:pPr>
      <w:r>
        <w:t xml:space="preserve">SPIFD2</w:t>
      </w:r>
      <w:r>
        <w:t xml:space="preserve"> </w:t>
      </w:r>
      <w:r>
        <w:t xml:space="preserve">(Gatto et al. 2023)</w:t>
      </w:r>
      <w:r>
        <w:t xml:space="preserve"> </w:t>
      </w:r>
      <w:r>
        <w:t xml:space="preserve">does not list a fixed taxonomy of</w:t>
      </w:r>
      <w:r>
        <w:t xml:space="preserve"> </w:t>
      </w:r>
      <w:r>
        <w:t xml:space="preserve">“data-quality dimensions”</w:t>
      </w:r>
      <w:r>
        <w:t xml:space="preserve">; it is a stepwise template that asks the</w:t>
      </w:r>
      <w:r>
        <w:t xml:space="preserve"> </w:t>
      </w:r>
      <w:r>
        <w:t xml:space="preserve">analyst to record each design element of the hypothetical target</w:t>
      </w:r>
      <w:r>
        <w:t xml:space="preserve"> </w:t>
      </w:r>
      <w:r>
        <w:t xml:space="preserve">trial and the data feature that operationalises it. The harmonised</w:t>
      </w:r>
      <w:r>
        <w:t xml:space="preserve"> </w:t>
      </w:r>
      <w:r>
        <w:t xml:space="preserve">data-quality terminology of</w:t>
      </w:r>
      <w:r>
        <w:t xml:space="preserve"> </w:t>
      </w:r>
      <w:r>
        <w:t xml:space="preserve">Kahn et al. (2016)</w:t>
      </w:r>
      <w:r>
        <w:t xml:space="preserve">, by contrast, defines</w:t>
      </w:r>
      <w:r>
        <w:t xml:space="preserve"> </w:t>
      </w:r>
      <w:r>
        <w:t xml:space="preserve">three dimensions (conformance, completeness, plausibility) that</w:t>
      </w:r>
      <w:r>
        <w:t xml:space="preserve"> </w:t>
      </w:r>
      <w:r>
        <w:t xml:space="preserve">have become standard in OHDSI-style assessments. We map both</w:t>
      </w:r>
      <w:r>
        <w:t xml:space="preserve"> </w:t>
      </w:r>
      <w:r>
        <w:t xml:space="preserve">SPIFD2 design-element categories and the</w:t>
      </w:r>
      <w:r>
        <w:t xml:space="preserve"> </w:t>
      </w:r>
      <w:r>
        <w:t xml:space="preserve">Kahn et al. (2016)</w:t>
      </w:r>
      <w:r>
        <w:t xml:space="preserve"> </w:t>
      </w:r>
      <w:r>
        <w:t xml:space="preserve">dimensions</w:t>
      </w:r>
      <w:r>
        <w:t xml:space="preserve"> </w:t>
      </w:r>
      <w:r>
        <w:t xml:space="preserve">to plasmode parameters as follows.</w:t>
      </w:r>
    </w:p>
    <w:tbl>
      <w:tblPr>
        <w:tblStyle w:val="Table"/>
        <w:tblW w:type="pct" w:w="5000"/>
        <w:tblLayout w:type="fixed"/>
        <w:tblLook w:firstRow="0" w:lastRow="0" w:firstColumn="0" w:lastColumn="0" w:noHBand="0" w:noVBand="0" w:val="0000"/>
      </w:tblPr>
      <w:tblGrid>
        <w:gridCol w:w="7920"/>
      </w:tblGrid>
      <w:tr>
        <w:tc>
          <w:tcPr/>
          <w:bookmarkStart w:id="52" w:name="tbl-spifd2-map"/>
          <w:p>
            <w:pPr>
              <w:jc w:val="center"/>
            </w:pPr>
            <w:pPr>
              <w:jc w:val="start"/>
              <w:spacing w:before="200"/>
              <w:pStyle w:val="ImageCaption"/>
            </w:pPr>
            <w:r>
              <w:t xml:space="preserve">Table 3: Mapping data-quality concerns to plasmode-parameter inputs of run_plasmode_dq_stress().</w:t>
            </w:r>
          </w:p>
          <w:tbl>
            <w:tblPr>
              <w:tblStyle w:val="Table"/>
              <w:tblW w:type="pct" w:w="5000"/>
              <w:tblLayout w:type="fixed"/>
              <w:tblLook w:firstRow="1" w:lastRow="0" w:firstColumn="0" w:lastColumn="0" w:noHBand="0" w:noVBand="0" w:val="0020"/>
            </w:tblPr>
            <w:tblGrid>
              <w:gridCol w:w="2136"/>
              <w:gridCol w:w="2099"/>
              <w:gridCol w:w="1768"/>
              <w:gridCol w:w="1915"/>
            </w:tblGrid>
            <w:tr>
              <w:trPr>
                <w:tblHeader w:val="on"/>
              </w:trPr>
              <w:tc>
                <w:tcPr/>
                <w:p>
                  <w:pPr>
                    <w:pStyle w:val="Compact"/>
                    <w:jc w:val="left"/>
                    <w:jc w:val="center"/>
                  </w:pPr>
                  <w:r>
                    <w:t xml:space="preserve">SPIFD2 / Kahn category</w:t>
                  </w:r>
                </w:p>
              </w:tc>
              <w:tc>
                <w:tcPr/>
                <w:p>
                  <w:pPr>
                    <w:pStyle w:val="Compact"/>
                    <w:jc w:val="left"/>
                    <w:jc w:val="center"/>
                  </w:pPr>
                  <w:r>
                    <w:t xml:space="preserve">Plasmode parameter</w:t>
                  </w:r>
                </w:p>
              </w:tc>
              <w:tc>
                <w:tcPr/>
                <w:p>
                  <w:pPr>
                    <w:pStyle w:val="Compact"/>
                    <w:jc w:val="left"/>
                    <w:jc w:val="center"/>
                  </w:pPr>
                  <w:r>
                    <w:t xml:space="preserve">Source of plausible range</w:t>
                  </w:r>
                </w:p>
              </w:tc>
              <w:tc>
                <w:tcPr/>
                <w:p>
                  <w:pPr>
                    <w:pStyle w:val="Compact"/>
                    <w:jc w:val="left"/>
                    <w:jc w:val="center"/>
                  </w:pPr>
                  <w:r>
                    <w:t xml:space="preserve">Decision criterion (default)</w:t>
                  </w:r>
                </w:p>
              </w:tc>
            </w:tr>
            <w:tr>
              <w:tc>
                <w:tcPr/>
                <w:p>
                  <w:pPr>
                    <w:pStyle w:val="Compact"/>
                    <w:jc w:val="left"/>
                    <w:jc w:val="center"/>
                  </w:pPr>
                  <w:r>
                    <w:t xml:space="preserve">Covariate measurement / availability (Kahn: completeness)</w:t>
                  </w:r>
                </w:p>
              </w:tc>
              <w:tc>
                <w:tcPr/>
                <w:p>
                  <w:pPr>
                    <w:pStyle w:val="Compact"/>
                    <w:jc w:val="left"/>
                    <w:jc w:val="center"/>
                  </w:pPr>
                  <w:r>
                    <w:t xml:space="preserve">Fraction of MCAR missingness, pi</w:t>
                  </w:r>
                </w:p>
              </w:tc>
              <w:tc>
                <w:tcPr/>
                <w:p>
                  <w:pPr>
                    <w:pStyle w:val="Compact"/>
                    <w:jc w:val="left"/>
                    <w:jc w:val="center"/>
                  </w:pPr>
                  <w:r>
                    <w:t xml:space="preserve">Data profiling, linked validation studies</w:t>
                  </w:r>
                </w:p>
              </w:tc>
              <w:tc>
                <w:tcPr/>
                <w:p>
                  <w:pPr>
                    <w:pStyle w:val="Compact"/>
                    <w:jc w:val="left"/>
                    <w:jc w:val="center"/>
                  </w:pPr>
                  <w:r>
                    <w:t xml:space="preserve">RMSE ratio &gt; 1.5 at observed missingness rate</w:t>
                  </w:r>
                </w:p>
              </w:tc>
            </w:tr>
            <w:tr>
              <w:tc>
                <w:tcPr/>
                <w:p>
                  <w:pPr>
                    <w:pStyle w:val="Compact"/>
                    <w:jc w:val="left"/>
                    <w:jc w:val="center"/>
                  </w:pPr>
                  <w:r>
                    <w:t xml:space="preserve">Treatment exposure definition (Kahn: conformance)</w:t>
                  </w:r>
                </w:p>
              </w:tc>
              <w:tc>
                <w:tcPr/>
                <w:p>
                  <w:pPr>
                    <w:pStyle w:val="Compact"/>
                    <w:jc w:val="left"/>
                    <w:jc w:val="center"/>
                  </w:pPr>
                  <w:r>
                    <w:t xml:space="preserve">(sens, spec) of treatment ascertainment</w:t>
                  </w:r>
                </w:p>
              </w:tc>
              <w:tc>
                <w:tcPr/>
                <w:p>
                  <w:pPr>
                    <w:pStyle w:val="Compact"/>
                    <w:jc w:val="left"/>
                    <w:jc w:val="center"/>
                  </w:pPr>
                  <w:r>
                    <w:t xml:space="preserve">Chart review, claims-validation literature</w:t>
                  </w:r>
                </w:p>
              </w:tc>
              <w:tc>
                <w:tcPr/>
                <w:p>
                  <w:pPr>
                    <w:pStyle w:val="Compact"/>
                    <w:jc w:val="left"/>
                    <w:jc w:val="center"/>
                  </w:pPr>
                  <w:r>
                    <w:t xml:space="preserve">|Bias| &gt; target at plausible (sens, spec)</w:t>
                  </w:r>
                </w:p>
              </w:tc>
            </w:tr>
            <w:tr>
              <w:tc>
                <w:tcPr/>
                <w:p>
                  <w:pPr>
                    <w:pStyle w:val="Compact"/>
                    <w:jc w:val="left"/>
                    <w:jc w:val="center"/>
                  </w:pPr>
                  <w:r>
                    <w:t xml:space="preserve">Outcome ascertainment (Kahn: conformance + plausibility)</w:t>
                  </w:r>
                </w:p>
              </w:tc>
              <w:tc>
                <w:tcPr/>
                <w:p>
                  <w:pPr>
                    <w:pStyle w:val="Compact"/>
                    <w:jc w:val="left"/>
                    <w:jc w:val="center"/>
                  </w:pPr>
                  <w:r>
                    <w:t xml:space="preserve">(sens, spec) of outcome ascertainment, optionally by arm</w:t>
                  </w:r>
                </w:p>
              </w:tc>
              <w:tc>
                <w:tcPr/>
                <w:p>
                  <w:pPr>
                    <w:pStyle w:val="Compact"/>
                    <w:jc w:val="left"/>
                    <w:jc w:val="center"/>
                  </w:pPr>
                  <w:r>
                    <w:t xml:space="preserve">Algorithm validation, PPV / sensitivity studies</w:t>
                  </w:r>
                </w:p>
              </w:tc>
              <w:tc>
                <w:tcPr/>
                <w:p>
                  <w:pPr>
                    <w:pStyle w:val="Compact"/>
                    <w:jc w:val="left"/>
                    <w:jc w:val="center"/>
                  </w:pPr>
                  <w:r>
                    <w:t xml:space="preserve">|Bias| &gt; target at plausible (sens, spec)</w:t>
                  </w:r>
                </w:p>
              </w:tc>
            </w:tr>
            <w:tr>
              <w:tc>
                <w:tcPr/>
                <w:p>
                  <w:pPr>
                    <w:pStyle w:val="Compact"/>
                    <w:jc w:val="left"/>
                    <w:jc w:val="center"/>
                  </w:pPr>
                  <w:r>
                    <w:t xml:space="preserve">Unmeasured confounding (SPIFD2 sensitivity step)</w:t>
                  </w:r>
                </w:p>
              </w:tc>
              <w:tc>
                <w:tcPr/>
                <w:p>
                  <w:pPr>
                    <w:pStyle w:val="Compact"/>
                    <w:jc w:val="left"/>
                    <w:jc w:val="center"/>
                  </w:pPr>
                  <w:r>
                    <w:t xml:space="preserve">Latent U with prevalence p_U and (OR_A, OR_Y)</w:t>
                  </w:r>
                </w:p>
              </w:tc>
              <w:tc>
                <w:tcPr/>
                <w:p>
                  <w:pPr>
                    <w:pStyle w:val="Compact"/>
                    <w:jc w:val="left"/>
                    <w:jc w:val="center"/>
                  </w:pPr>
                  <w:r>
                    <w:t xml:space="preserve">Expert elicitation, literature, E-value bounds</w:t>
                  </w:r>
                </w:p>
              </w:tc>
              <w:tc>
                <w:tcPr/>
                <w:p>
                  <w:pPr>
                    <w:pStyle w:val="Compact"/>
                    <w:jc w:val="left"/>
                    <w:jc w:val="center"/>
                  </w:pPr>
                  <w:r>
                    <w:t xml:space="preserve">|Bias| &gt; target at plausible U strength</w:t>
                  </w:r>
                </w:p>
              </w:tc>
            </w:tr>
            <w:tr>
              <w:tc>
                <w:tcPr/>
                <w:p>
                  <w:pPr>
                    <w:pStyle w:val="Compact"/>
                    <w:jc w:val="left"/>
                    <w:jc w:val="center"/>
                  </w:pPr>
                  <w:r>
                    <w:t xml:space="preserve">Sample-size adequacy (SPIFD2 step 2)</w:t>
                  </w:r>
                </w:p>
              </w:tc>
              <w:tc>
                <w:tcPr/>
                <w:p>
                  <w:pPr>
                    <w:pStyle w:val="Compact"/>
                    <w:jc w:val="left"/>
                    <w:jc w:val="center"/>
                  </w:pPr>
                  <w:r>
                    <w:t xml:space="preserve">Tested by base plasmode through n</w:t>
                  </w:r>
                </w:p>
              </w:tc>
              <w:tc>
                <w:tcPr/>
                <w:p>
                  <w:pPr>
                    <w:pStyle w:val="Compact"/>
                    <w:jc w:val="left"/>
                    <w:jc w:val="center"/>
                  </w:pPr>
                  <w:r>
                    <w:t xml:space="preserve">Known from data source</w:t>
                  </w:r>
                </w:p>
              </w:tc>
              <w:tc>
                <w:tcPr/>
                <w:p>
                  <w:pPr>
                    <w:pStyle w:val="Compact"/>
                    <w:jc w:val="left"/>
                    <w:jc w:val="center"/>
                  </w:pPr>
                  <w:r>
                    <w:t xml:space="preserve">Coverage &lt; min_coverage</w:t>
                  </w:r>
                </w:p>
              </w:tc>
            </w:tr>
          </w:tbl>
          <w:bookmarkEnd w:id="52"/>
          <w:p/>
        </w:tc>
      </w:tr>
    </w:tbl>
    <w:p>
      <w:pPr>
        <w:pStyle w:val="BodyText"/>
      </w:pPr>
      <w:r>
        <w:t xml:space="preserve">The mapping is deliberately one-to-many: a single SPIFD2 design</w:t>
      </w:r>
      <w:r>
        <w:t xml:space="preserve"> </w:t>
      </w:r>
      <w:r>
        <w:t xml:space="preserve">element (say, outcome ascertainment) can drive several plasmode</w:t>
      </w:r>
      <w:r>
        <w:t xml:space="preserve"> </w:t>
      </w:r>
      <w:r>
        <w:t xml:space="preserve">parameters (per-arm sensitivity and specificity), and a single</w:t>
      </w:r>
      <w:r>
        <w:t xml:space="preserve"> </w:t>
      </w:r>
      <w:r>
        <w:t xml:space="preserve">plasmode parameter (say, MCAR fraction) can speak to several SPIFD2</w:t>
      </w:r>
      <w:r>
        <w:t xml:space="preserve"> </w:t>
      </w:r>
      <w:r>
        <w:t xml:space="preserve">elements (covariate availability, missingness handling).</w:t>
      </w:r>
    </w:p>
    <w:bookmarkEnd w:id="53"/>
    <w:bookmarkStart w:id="55" w:name="the-degradation-gradient"/>
    <w:p>
      <w:pPr>
        <w:pStyle w:val="Heading2"/>
      </w:pPr>
      <w:r>
        <w:t xml:space="preserve">7.3 The degradation gradient</w:t>
      </w:r>
    </w:p>
    <w:p>
      <w:pPr>
        <w:pStyle w:val="FirstParagraph"/>
      </w:pPr>
      <w:r>
        <w:t xml:space="preserve">Rather than testing a single value of each threat, the function</w:t>
      </w:r>
      <w:r>
        <w:t xml:space="preserve"> </w:t>
      </w:r>
      <w:r>
        <w:t xml:space="preserve">sweeps a vector of severities. The degradation gradient is the</w:t>
      </w:r>
      <w:r>
        <w:t xml:space="preserve"> </w:t>
      </w:r>
      <w:r>
        <w:t xml:space="preserve">curve of bias, RMSE, coverage, or type I error against the</w:t>
      </w:r>
      <w:r>
        <w:t xml:space="preserve"> </w:t>
      </w:r>
      <w:r>
        <w:t xml:space="preserve">severity of a prespecified data-quality threat. It is analogous to</w:t>
      </w:r>
      <w:r>
        <w:t xml:space="preserve"> </w:t>
      </w:r>
      <w:r>
        <w:t xml:space="preserve">a dose-response curve for estimator fragility: it asks how severe</w:t>
      </w:r>
      <w:r>
        <w:t xml:space="preserve"> </w:t>
      </w:r>
      <w:r>
        <w:t xml:space="preserve">the degradation must be before a candidate fails the locked</w:t>
      </w:r>
      <w:r>
        <w:t xml:space="preserve"> </w:t>
      </w:r>
      <w:r>
        <w:t xml:space="preserve">decision criteria. A robust candidate has a shallow gradient and</w:t>
      </w:r>
      <w:r>
        <w:t xml:space="preserve"> </w:t>
      </w:r>
      <w:r>
        <w:t xml:space="preserve">remains within thresholds across plausible severities. A fragile</w:t>
      </w:r>
      <w:r>
        <w:t xml:space="preserve"> </w:t>
      </w:r>
      <w:r>
        <w:t xml:space="preserve">candidate shows a cliff, where a small increase in degradation</w:t>
      </w:r>
      <w:r>
        <w:t xml:space="preserve"> </w:t>
      </w:r>
      <w:r>
        <w:t xml:space="preserve">moves bias or coverage beyond the threshold. The default candidate-selection</w:t>
      </w:r>
      <w:r>
        <w:t xml:space="preserve"> </w:t>
      </w:r>
      <w:r>
        <w:t xml:space="preserve">rule (</w:t>
      </w:r>
      <w:r>
        <w:rPr>
          <w:rStyle w:val="VerbatimChar"/>
        </w:rPr>
        <w:t xml:space="preserve">select_tmle_candidate(rule = "min_rmse")</w:t>
      </w:r>
      <w:r>
        <w:t xml:space="preserve">) chooses on RMSE in a</w:t>
      </w:r>
      <w:r>
        <w:t xml:space="preserve"> </w:t>
      </w:r>
      <w:r>
        <w:t xml:space="preserve">single step. cleanTMLE also provides</w:t>
      </w:r>
      <w:r>
        <w:t xml:space="preserve"> </w:t>
      </w:r>
      <w:r>
        <w:rPr>
          <w:rStyle w:val="VerbatimChar"/>
        </w:rPr>
        <w:t xml:space="preserve">rule = "fiord_two_stage"</w:t>
      </w:r>
      <w:r>
        <w:t xml:space="preserve">, which</w:t>
      </w:r>
      <w:r>
        <w:t xml:space="preserve"> </w:t>
      </w:r>
      <w:r>
        <w:t xml:space="preserve">implements the point-estimator stage of the two-stage selector</w:t>
      </w:r>
      <w:r>
        <w:t xml:space="preserve"> </w:t>
      </w:r>
      <w:r>
        <w:t xml:space="preserve">formalised in FIORD</w:t>
      </w:r>
      <w:r>
        <w:t xml:space="preserve"> </w:t>
      </w:r>
      <w:r>
        <w:t xml:space="preserve">(Nance et al. 2026)</w:t>
      </w:r>
      <w:r>
        <w:t xml:space="preserve">: candidates are first screened to</w:t>
      </w:r>
      <w:r>
        <w:t xml:space="preserve"> </w:t>
      </w:r>
      <w:r>
        <w:t xml:space="preserve">those that achieve nominal</w:t>
      </w:r>
      <w:r>
        <w:t xml:space="preserve"> </w:t>
      </w:r>
      <w:r>
        <w:rPr>
          <w:b/>
          <w:bCs/>
        </w:rPr>
        <w:t xml:space="preserve">oracle coverage</w:t>
      </w:r>
      <w:r>
        <w:t xml:space="preserve"> </w:t>
      </w:r>
      <w:r>
        <w:t xml:space="preserve">(a CI built from the</w:t>
      </w:r>
      <w:r>
        <w:t xml:space="preserve"> </w:t>
      </w:r>
      <w:r>
        <w:t xml:space="preserve">Monte Carlo empirical SE), and the lowest-variance survivor is locked</w:t>
      </w:r>
      <w:r>
        <w:t xml:space="preserve"> </w:t>
      </w:r>
      <w:r>
        <w:t xml:space="preserve">in. FIORD’s second stage, selecting the variance method on the locked</w:t>
      </w:r>
      <w:r>
        <w:t xml:space="preserve"> </w:t>
      </w:r>
      <w:r>
        <w:t xml:space="preserve">point estimator to achieve nominal coverage, is provided by</w:t>
      </w:r>
      <w:r>
        <w:t xml:space="preserve"> </w:t>
      </w:r>
      <w:r>
        <w:rPr>
          <w:rStyle w:val="VerbatimChar"/>
        </w:rPr>
        <w:t xml:space="preserve">select_variance_method()</w:t>
      </w:r>
      <w:r>
        <w:t xml:space="preserve">, with</w:t>
      </w:r>
      <w:r>
        <w:t xml:space="preserve"> </w:t>
      </w:r>
      <w:r>
        <w:rPr>
          <w:rStyle w:val="VerbatimChar"/>
        </w:rPr>
        <w:t xml:space="preserve">bootstrap_rd_variance()</w:t>
      </w:r>
      <w:r>
        <w:t xml:space="preserve"> </w:t>
      </w:r>
      <w:r>
        <w:t xml:space="preserve">supplying a</w:t>
      </w:r>
      <w:r>
        <w:t xml:space="preserve"> </w:t>
      </w:r>
      <w:r>
        <w:t xml:space="preserve">full-pipeline nonparametric bootstrap that re-runs matching on each resample</w:t>
      </w:r>
      <w:r>
        <w:t xml:space="preserve"> </w:t>
      </w:r>
      <w:r>
        <w:t xml:space="preserve">as one candidate variance method alongside the influence-function SE; the</w:t>
      </w:r>
      <w:r>
        <w:t xml:space="preserve"> </w:t>
      </w:r>
      <w:r>
        <w:t xml:space="preserve">method achieving nominal oracle coverage is selected empirically (</w:t>
      </w:r>
      <w:hyperlink w:anchor="sec-simulation">
        <w:r>
          <w:rPr>
            <w:rStyle w:val="Hyperlink"/>
          </w:rPr>
          <w:t xml:space="preserve">Section 10</w:t>
        </w:r>
      </w:hyperlink>
      <w:r>
        <w:t xml:space="preserve">).</w:t>
      </w:r>
      <w:r>
        <w:t xml:space="preserve"> </w:t>
      </w:r>
      <w:r>
        <w:t xml:space="preserve">The rule can also require a</w:t>
      </w:r>
      <w:r>
        <w:t xml:space="preserve"> </w:t>
      </w:r>
      <w:r>
        <w:t xml:space="preserve">maximum allowed degradation in the DQ stress test, which excludes</w:t>
      </w:r>
      <w:r>
        <w:t xml:space="preserve"> </w:t>
      </w:r>
      <w:r>
        <w:t xml:space="preserve">fragile candidates before the outcome is accessed.</w:t>
      </w:r>
    </w:p>
    <w:p>
      <w:pPr>
        <w:pStyle w:val="BodyText"/>
      </w:pPr>
      <w:r>
        <w:t xml:space="preserve">Propensity-score truncation does not only stabilise variance. It</w:t>
      </w:r>
      <w:r>
        <w:t xml:space="preserve"> </w:t>
      </w:r>
      <w:r>
        <w:t xml:space="preserve">also restricts support to units with adequate overlap and therefore</w:t>
      </w:r>
      <w:r>
        <w:t xml:space="preserve"> </w:t>
      </w:r>
      <w:r>
        <w:t xml:space="preserve">changes the effective target population, so it changes the estimand</w:t>
      </w:r>
      <w:r>
        <w:t xml:space="preserve"> </w:t>
      </w:r>
      <w:r>
        <w:t xml:space="preserve">and not only the variance of the estimator</w:t>
      </w:r>
      <w:r>
        <w:t xml:space="preserve"> </w:t>
      </w:r>
      <w:r>
        <w:t xml:space="preserve">(Lash et al. 2014)</w:t>
      </w:r>
      <w:r>
        <w:t xml:space="preserve">. When the</w:t>
      </w:r>
      <w:r>
        <w:t xml:space="preserve"> </w:t>
      </w:r>
      <w:r>
        <w:t xml:space="preserve">prespecified truncation level varies across candidates, the</w:t>
      </w:r>
      <w:r>
        <w:t xml:space="preserve"> </w:t>
      </w:r>
      <w:r>
        <w:t xml:space="preserve">candidates are paired estimator-and-estimand objects, and the</w:t>
      </w:r>
      <w:r>
        <w:t xml:space="preserve"> </w:t>
      </w:r>
      <w:r>
        <w:t xml:space="preserve">pre-outcome decision must consider whether the implied target</w:t>
      </w:r>
      <w:r>
        <w:t xml:space="preserve"> </w:t>
      </w:r>
      <w:r>
        <w:t xml:space="preserve">population still answers the scientific question posed in the</w:t>
      </w:r>
      <w:r>
        <w:t xml:space="preserve"> </w:t>
      </w:r>
      <w:r>
        <w:t xml:space="preserve">target trial. cleanTMLE records the truncation rule for each</w:t>
      </w:r>
      <w:r>
        <w:t xml:space="preserve"> </w:t>
      </w:r>
      <w:r>
        <w:t xml:space="preserve">candidate as part of the analysis lock, so the</w:t>
      </w:r>
      <w:r>
        <w:t xml:space="preserve"> </w:t>
      </w:r>
      <w:r>
        <w:t xml:space="preserve">estimand-versus-estimator distinction is auditable and any</w:t>
      </w:r>
      <w:r>
        <w:t xml:space="preserve"> </w:t>
      </w:r>
      <w:r>
        <w:t xml:space="preserve">estimand drift induced by truncation is scored on the same RMSE</w:t>
      </w:r>
      <w:r>
        <w:t xml:space="preserve"> </w:t>
      </w:r>
      <w:r>
        <w:t xml:space="preserve">and coverage metrics as everything else, and not chosen</w:t>
      </w:r>
      <w:r>
        <w:t xml:space="preserve"> </w:t>
      </w:r>
      <w:r>
        <w:t xml:space="preserve">post-hoc on the realised data.</w:t>
      </w:r>
    </w:p>
    <w:bookmarkStart w:id="54" w:name="X78fa7a5ad4e21e99467d9bc9a856cd1b9091e6d"/>
    <w:p>
      <w:pPr>
        <w:pStyle w:val="Heading3"/>
      </w:pPr>
      <w:r>
        <w:t xml:space="preserve">7.3.1 When STOP motivates estimand revision, not just estimator</w:t>
      </w:r>
    </w:p>
    <w:p>
      <w:pPr>
        <w:pStyle w:val="FirstParagraph"/>
      </w:pPr>
      <w:r>
        <w:t xml:space="preserve">swapping</w:t>
      </w:r>
    </w:p>
    <w:p>
      <w:pPr>
        <w:pStyle w:val="BodyText"/>
      </w:pPr>
      <w:r>
        <w:t xml:space="preserve">A STOP or FLAG decision from the pre-outcome rule is not always a</w:t>
      </w:r>
      <w:r>
        <w:t xml:space="preserve"> </w:t>
      </w:r>
      <w:r>
        <w:t xml:space="preserve">signal to</w:t>
      </w:r>
      <w:r>
        <w:t xml:space="preserve"> </w:t>
      </w:r>
      <w:r>
        <w:rPr>
          <w:i/>
          <w:iCs/>
        </w:rPr>
        <w:t xml:space="preserve">change the estimator</w:t>
      </w:r>
      <w:r>
        <w:t xml:space="preserve">; sometimes it is a signal to</w:t>
      </w:r>
      <w:r>
        <w:t xml:space="preserve"> </w:t>
      </w:r>
      <w:r>
        <w:rPr>
          <w:i/>
          <w:iCs/>
        </w:rPr>
        <w:t xml:space="preserve">change the estimand</w:t>
      </w:r>
      <w:r>
        <w:t xml:space="preserve"> </w:t>
      </w:r>
      <w:r>
        <w:t xml:space="preserve">itself. The targeted-learning RWE roadmap</w:t>
      </w:r>
      <w:r>
        <w:t xml:space="preserve"> </w:t>
      </w:r>
      <w:r>
        <w:t xml:space="preserve">(Dang et al. 2023; Petersen and Laan 2014)</w:t>
      </w:r>
      <w:r>
        <w:t xml:space="preserve"> </w:t>
      </w:r>
      <w:r>
        <w:t xml:space="preserve">makes this explicit: if</w:t>
      </w:r>
      <w:r>
        <w:t xml:space="preserve"> </w:t>
      </w:r>
      <w:r>
        <w:t xml:space="preserve">the simulation reveals that no prespecified candidate can recover</w:t>
      </w:r>
      <w:r>
        <w:t xml:space="preserve"> </w:t>
      </w:r>
      <w:r>
        <w:t xml:space="preserve">the original target estimand under plausible threats, the honest</w:t>
      </w:r>
      <w:r>
        <w:t xml:space="preserve"> </w:t>
      </w:r>
      <w:r>
        <w:t xml:space="preserve">moves include narrowing the target population to where positivity</w:t>
      </w:r>
      <w:r>
        <w:t xml:space="preserve"> </w:t>
      </w:r>
      <w:r>
        <w:t xml:space="preserve">is supported, revising the treatment strategy to one whose</w:t>
      </w:r>
      <w:r>
        <w:t xml:space="preserve"> </w:t>
      </w:r>
      <w:r>
        <w:t xml:space="preserve">counterfactual is identifiable from the data, changing the</w:t>
      </w:r>
      <w:r>
        <w:t xml:space="preserve"> </w:t>
      </w:r>
      <w:r>
        <w:t xml:space="preserve">follow-up window, switching from a marginal to a matched or</w:t>
      </w:r>
      <w:r>
        <w:t xml:space="preserve"> </w:t>
      </w:r>
      <w:r>
        <w:t xml:space="preserve">overlap-restricted target, or changing the missingness strategy.</w:t>
      </w:r>
      <w:r>
        <w:t xml:space="preserve"> </w:t>
      </w:r>
      <w:r>
        <w:t xml:space="preserve">Each of these is an</w:t>
      </w:r>
      <w:r>
        <w:t xml:space="preserve"> </w:t>
      </w:r>
      <w:r>
        <w:rPr>
          <w:i/>
          <w:iCs/>
        </w:rPr>
        <w:t xml:space="preserve">estimand revision</w:t>
      </w:r>
      <w:r>
        <w:t xml:space="preserve">, recorded in the analysis</w:t>
      </w:r>
      <w:r>
        <w:t xml:space="preserve"> </w:t>
      </w:r>
      <w:r>
        <w:t xml:space="preserve">lock and decision log alongside the estimator changes that</w:t>
      </w:r>
      <w:r>
        <w:t xml:space="preserve"> </w:t>
      </w:r>
      <w:r>
        <w:t xml:space="preserve">prompted it. Reporting the revised estimand transparently is</w:t>
      </w:r>
      <w:r>
        <w:t xml:space="preserve"> </w:t>
      </w:r>
      <w:r>
        <w:t xml:space="preserve">preferable to reporting the original estimand with a documented</w:t>
      </w:r>
      <w:r>
        <w:t xml:space="preserve"> </w:t>
      </w:r>
      <w:r>
        <w:t xml:space="preserve">override.</w:t>
      </w:r>
    </w:p>
    <w:bookmarkEnd w:id="54"/>
    <w:bookmarkEnd w:id="55"/>
    <w:bookmarkStart w:id="57" w:name="sec-threat-matrix"/>
    <w:p>
      <w:pPr>
        <w:pStyle w:val="Heading2"/>
      </w:pPr>
      <w:r>
        <w:t xml:space="preserve">7.4 Threat-to-assumption matrix: what each scenario probes (and what it does not)</w:t>
      </w:r>
    </w:p>
    <w:p>
      <w:pPr>
        <w:pStyle w:val="FirstParagraph"/>
      </w:pPr>
      <w:r>
        <w:t xml:space="preserve">Each DQ scenario is best understood as an</w:t>
      </w:r>
      <w:r>
        <w:t xml:space="preserve"> </w:t>
      </w:r>
      <w:r>
        <w:rPr>
          <w:i/>
          <w:iCs/>
        </w:rPr>
        <w:t xml:space="preserve">engineering</w:t>
      </w:r>
      <w:r>
        <w:rPr>
          <w:i/>
          <w:iCs/>
        </w:rPr>
        <w:t xml:space="preserve"> </w:t>
      </w:r>
      <w:r>
        <w:rPr>
          <w:i/>
          <w:iCs/>
        </w:rPr>
        <w:t xml:space="preserve">approximation</w:t>
      </w:r>
      <w:r>
        <w:t xml:space="preserve"> </w:t>
      </w:r>
      <w:r>
        <w:t xml:space="preserve">to a class of threats rather than an</w:t>
      </w:r>
      <w:r>
        <w:t xml:space="preserve"> </w:t>
      </w:r>
      <w:r>
        <w:t xml:space="preserve">assumption-specific diagnostic.</w:t>
      </w:r>
      <w:r>
        <w:t xml:space="preserve"> </w:t>
      </w:r>
      <w:hyperlink w:anchor="tbl-threat-matrix">
        <w:r>
          <w:rPr>
            <w:rStyle w:val="Hyperlink"/>
          </w:rPr>
          <w:t xml:space="preserve">Table 4</w:t>
        </w:r>
      </w:hyperlink>
      <w:r>
        <w:t xml:space="preserve"> </w:t>
      </w:r>
      <w:r>
        <w:t xml:space="preserve">makes that distinction explicit: for each scenario it lists the</w:t>
      </w:r>
      <w:r>
        <w:t xml:space="preserve"> </w:t>
      </w:r>
      <w:r>
        <w:t xml:space="preserve">identification or measurement assumption nominally probed, the</w:t>
      </w:r>
      <w:r>
        <w:t xml:space="preserve"> </w:t>
      </w:r>
      <w:r>
        <w:t xml:space="preserve">scenario operationalisation, and the threats the scenario</w:t>
      </w:r>
      <w:r>
        <w:t xml:space="preserve"> </w:t>
      </w:r>
      <w:r>
        <w:rPr>
          <w:i/>
          <w:iCs/>
        </w:rPr>
        <w:t xml:space="preserve">does</w:t>
      </w:r>
      <w:r>
        <w:rPr>
          <w:i/>
          <w:iCs/>
        </w:rPr>
        <w:t xml:space="preserve"> </w:t>
      </w:r>
      <w:r>
        <w:rPr>
          <w:i/>
          <w:iCs/>
        </w:rPr>
        <w:t xml:space="preserve">not</w:t>
      </w:r>
      <w:r>
        <w:t xml:space="preserve"> </w:t>
      </w:r>
      <w:r>
        <w:t xml:space="preserve">probe. The reader should treat the table as a guide to</w:t>
      </w:r>
      <w:r>
        <w:t xml:space="preserve"> </w:t>
      </w:r>
      <w:r>
        <w:t xml:space="preserve">interpreting</w:t>
      </w:r>
      <w:r>
        <w:t xml:space="preserve"> </w:t>
      </w:r>
      <w:r>
        <w:rPr>
          <w:rStyle w:val="VerbatimChar"/>
        </w:rPr>
        <w:t xml:space="preserve">run_plasmode_dq_stress()</w:t>
      </w:r>
      <w:r>
        <w:t xml:space="preserve"> </w:t>
      </w:r>
      <w:r>
        <w:t xml:space="preserve">output rather than as a</w:t>
      </w:r>
      <w:r>
        <w:t xml:space="preserve"> </w:t>
      </w:r>
      <w:r>
        <w:t xml:space="preserve">claim that the five scenarios constitute a complete</w:t>
      </w:r>
      <w:r>
        <w:t xml:space="preserve"> </w:t>
      </w:r>
      <w:r>
        <w:t xml:space="preserve">threat taxonomy.</w:t>
      </w:r>
    </w:p>
    <w:tbl>
      <w:tblPr>
        <w:tblStyle w:val="Table"/>
        <w:tblW w:type="pct" w:w="5000"/>
        <w:tblLayout w:type="fixed"/>
        <w:tblLook w:firstRow="0" w:lastRow="0" w:firstColumn="0" w:lastColumn="0" w:noHBand="0" w:noVBand="0" w:val="0000"/>
      </w:tblPr>
      <w:tblGrid>
        <w:gridCol w:w="7920"/>
      </w:tblGrid>
      <w:tr>
        <w:tc>
          <w:tcPr/>
          <w:bookmarkStart w:id="56" w:name="tbl-threat-matrix"/>
          <w:p>
            <w:pPr>
              <w:jc w:val="center"/>
            </w:pPr>
            <w:pPr>
              <w:jc w:val="start"/>
              <w:spacing w:before="200"/>
              <w:pStyle w:val="ImageCaption"/>
            </w:pPr>
            <w:r>
              <w:t xml:space="preserve">Table 4: Threat-to-assumption matrix. For each scenario, the assumption nominally probed, the operationalisation, and the threats the scenario does NOT probe. Severity ranges must come from external validation evidence (see</w:t>
            </w:r>
            <w:r>
              <w:t xml:space="preserve"> </w:t>
            </w:r>
            <w:hyperlink w:anchor="sec-calibration">
              <w:r>
                <w:rPr>
                  <w:rStyle w:val="Hyperlink"/>
                </w:rPr>
                <w:t xml:space="preserve">Section 7.5</w:t>
              </w:r>
            </w:hyperlink>
            <w:r>
              <w:t xml:space="preserve">).</w:t>
            </w:r>
          </w:p>
          <w:tbl>
            <w:tblPr>
              <w:tblStyle w:val="Table"/>
              <w:tblW w:type="pct" w:w="5000"/>
              <w:tblLayout w:type="fixed"/>
              <w:tblLook w:firstRow="1" w:lastRow="0" w:firstColumn="0" w:lastColumn="0" w:noHBand="0" w:noVBand="0" w:val="0020"/>
            </w:tblPr>
            <w:tblGrid>
              <w:gridCol w:w="866"/>
              <w:gridCol w:w="2227"/>
              <w:gridCol w:w="2629"/>
              <w:gridCol w:w="2196"/>
            </w:tblGrid>
            <w:tr>
              <w:trPr>
                <w:tblHeader w:val="on"/>
              </w:trPr>
              <w:tc>
                <w:tcPr/>
                <w:p>
                  <w:pPr>
                    <w:pStyle w:val="Compact"/>
                    <w:jc w:val="left"/>
                    <w:jc w:val="center"/>
                  </w:pPr>
                  <w:r>
                    <w:t xml:space="preserve">Scenario</w:t>
                  </w:r>
                </w:p>
              </w:tc>
              <w:tc>
                <w:tcPr/>
                <w:p>
                  <w:pPr>
                    <w:pStyle w:val="Compact"/>
                    <w:jc w:val="left"/>
                    <w:jc w:val="center"/>
                  </w:pPr>
                  <w:r>
                    <w:t xml:space="preserve">Nominally probes</w:t>
                  </w:r>
                </w:p>
              </w:tc>
              <w:tc>
                <w:tcPr/>
                <w:p>
                  <w:pPr>
                    <w:pStyle w:val="Compact"/>
                    <w:jc w:val="left"/>
                    <w:jc w:val="center"/>
                  </w:pPr>
                  <w:r>
                    <w:t xml:space="preserve">Operationalisation</w:t>
                  </w:r>
                </w:p>
              </w:tc>
              <w:tc>
                <w:tcPr/>
                <w:p>
                  <w:pPr>
                    <w:pStyle w:val="Compact"/>
                    <w:jc w:val="left"/>
                    <w:jc w:val="center"/>
                  </w:pPr>
                  <w:r>
                    <w:t xml:space="preserve">Does NOT probe</w:t>
                  </w:r>
                </w:p>
              </w:tc>
            </w:tr>
            <w:tr>
              <w:tc>
                <w:tcPr/>
                <w:p>
                  <w:pPr>
                    <w:pStyle w:val="Compact"/>
                    <w:jc w:val="left"/>
                    <w:jc w:val="center"/>
                  </w:pPr>
                  <w:r>
                    <w:t xml:space="preserve">Covariate missingness</w:t>
                  </w:r>
                </w:p>
              </w:tc>
              <w:tc>
                <w:tcPr/>
                <w:p>
                  <w:pPr>
                    <w:pStyle w:val="Compact"/>
                    <w:jc w:val="left"/>
                    <w:jc w:val="center"/>
                  </w:pPr>
                  <w:r>
                    <w:t xml:space="preserve">Robustness of nuisance fits to missingness in</w:t>
                  </w:r>
                  <w:r>
                    <w:t xml:space="preserve"> </w:t>
                  </w:r>
                  <m:oMath>
                    <m:r>
                      <m:t>W</m:t>
                    </m:r>
                  </m:oMath>
                  <w:r>
                    <w:t xml:space="preserve"> </w:t>
                  </w:r>
                  <w:r>
                    <w:t xml:space="preserve">and its imputation</w:t>
                  </w:r>
                </w:p>
              </w:tc>
              <w:tc>
                <w:tcPr/>
                <w:p>
                  <w:pPr>
                    <w:pStyle w:val="Compact"/>
                    <w:jc w:val="left"/>
                    <w:jc w:val="center"/>
                  </w:pPr>
                  <w:r>
                    <w:t xml:space="preserve">MCAR, MAR, and MNAR masks of</w:t>
                  </w:r>
                  <w:r>
                    <w:t xml:space="preserve"> </w:t>
                  </w:r>
                  <m:oMath>
                    <m:r>
                      <m:t>W</m:t>
                    </m:r>
                  </m:oMath>
                  <w:r>
                    <w:t xml:space="preserve">, median imputation</w:t>
                  </w:r>
                </w:p>
              </w:tc>
              <w:tc>
                <w:tcPr/>
                <w:p>
                  <w:pPr>
                    <w:pStyle w:val="Compact"/>
                    <w:jc w:val="left"/>
                    <w:jc w:val="center"/>
                  </w:pPr>
                  <w:r>
                    <w:t xml:space="preserve">Missingness in</w:t>
                  </w:r>
                  <w:r>
                    <w:t xml:space="preserve"> </w:t>
                  </w:r>
                  <m:oMath>
                    <m:r>
                      <m:t>A</m:t>
                    </m:r>
                  </m:oMath>
                  <w:r>
                    <w:t xml:space="preserve"> </w:t>
                  </w:r>
                  <w:r>
                    <w:t xml:space="preserve">or</w:t>
                  </w:r>
                  <w:r>
                    <w:t xml:space="preserve"> </w:t>
                  </w:r>
                  <m:oMath>
                    <m:r>
                      <m:t>Y</m:t>
                    </m:r>
                  </m:oMath>
                  <w:r>
                    <w:t xml:space="preserve">; non-median-imputation handling (MI, IPW)</w:t>
                  </w:r>
                </w:p>
              </w:tc>
            </w:tr>
            <w:tr>
              <w:tc>
                <w:tcPr/>
                <w:p>
                  <w:pPr>
                    <w:pStyle w:val="Compact"/>
                    <w:jc w:val="left"/>
                    <w:jc w:val="center"/>
                  </w:pPr>
                  <w:r>
                    <w:t xml:space="preserve">Treatment misclassification</w:t>
                  </w:r>
                </w:p>
              </w:tc>
              <w:tc>
                <w:tcPr/>
                <w:p>
                  <w:pPr>
                    <w:pStyle w:val="Compact"/>
                    <w:jc w:val="left"/>
                    <w:jc w:val="center"/>
                  </w:pPr>
                  <w:r>
                    <w:t xml:space="preserve">Consistency / SUTVA on</w:t>
                  </w:r>
                  <w:r>
                    <w:t xml:space="preserve"> </w:t>
                  </w:r>
                  <m:oMath>
                    <m:r>
                      <m:t>A</m:t>
                    </m:r>
                  </m:oMath>
                  <w:r>
                    <w:t xml:space="preserve"> </w:t>
                  </w:r>
                  <w:r>
                    <w:t xml:space="preserve">when the treatment phenotype is imperfect</w:t>
                  </w:r>
                </w:p>
              </w:tc>
              <w:tc>
                <w:tcPr/>
                <w:p>
                  <w:pPr>
                    <w:pStyle w:val="Compact"/>
                    <w:jc w:val="left"/>
                    <w:jc w:val="center"/>
                  </w:pPr>
                  <w:r>
                    <w:t xml:space="preserve">Sensitivity / specificity flips of</w:t>
                  </w:r>
                  <w:r>
                    <w:t xml:space="preserve"> </w:t>
                  </w:r>
                  <m:oMath>
                    <m:r>
                      <m:t>A</m:t>
                    </m:r>
                  </m:oMath>
                  <w:r>
                    <w:t xml:space="preserve">, optionally asymmetric</w:t>
                  </w:r>
                </w:p>
              </w:tc>
              <w:tc>
                <w:tcPr/>
                <w:p>
                  <w:pPr>
                    <w:pStyle w:val="Compact"/>
                    <w:jc w:val="left"/>
                    <w:jc w:val="center"/>
                  </w:pPr>
                  <w:r>
                    <w:t xml:space="preserve">Time-varying treatment versions; per-arm differential exposure error</w:t>
                  </w:r>
                </w:p>
              </w:tc>
            </w:tr>
            <w:tr>
              <w:tc>
                <w:tcPr/>
                <w:p>
                  <w:pPr>
                    <w:pStyle w:val="Compact"/>
                    <w:jc w:val="left"/>
                    <w:jc w:val="center"/>
                  </w:pPr>
                  <w:r>
                    <w:t xml:space="preserve">Outcome misclassification</w:t>
                  </w:r>
                </w:p>
              </w:tc>
              <w:tc>
                <w:tcPr/>
                <w:p>
                  <w:pPr>
                    <w:pStyle w:val="Compact"/>
                    <w:jc w:val="left"/>
                    <w:jc w:val="center"/>
                  </w:pPr>
                  <w:r>
                    <w:t xml:space="preserve">Differential or non-differential outcome measurement error</w:t>
                  </w:r>
                </w:p>
              </w:tc>
              <w:tc>
                <w:tcPr/>
                <w:p>
                  <w:pPr>
                    <w:pStyle w:val="Compact"/>
                    <w:jc w:val="left"/>
                    <w:jc w:val="center"/>
                  </w:pPr>
                  <w:r>
                    <w:t xml:space="preserve">Sensitivity / specificity flips of</w:t>
                  </w:r>
                  <w:r>
                    <w:t xml:space="preserve"> </w:t>
                  </w:r>
                  <m:oMath>
                    <m:r>
                      <m:t>Y</m:t>
                    </m:r>
                  </m:oMath>
                  <w:r>
                    <w:t xml:space="preserve">, optionally per arm</w:t>
                  </w:r>
                </w:p>
              </w:tc>
              <w:tc>
                <w:tcPr/>
                <w:p>
                  <w:pPr>
                    <w:pStyle w:val="Compact"/>
                    <w:jc w:val="left"/>
                    <w:jc w:val="center"/>
                  </w:pPr>
                  <w:r>
                    <w:t xml:space="preserve">Outcome measurement processes that depend on covariates other than</w:t>
                  </w:r>
                  <w:r>
                    <w:t xml:space="preserve"> </w:t>
                  </w:r>
                  <m:oMath>
                    <m:r>
                      <m:t>A</m:t>
                    </m:r>
                  </m:oMath>
                </w:p>
              </w:tc>
            </w:tr>
            <w:tr>
              <w:tc>
                <w:tcPr/>
                <w:p>
                  <w:pPr>
                    <w:pStyle w:val="Compact"/>
                    <w:jc w:val="left"/>
                    <w:jc w:val="center"/>
                  </w:pPr>
                  <w:r>
                    <w:t xml:space="preserve">Near-positivity</w:t>
                  </w:r>
                </w:p>
              </w:tc>
              <w:tc>
                <w:tcPr/>
                <w:p>
                  <w:pPr>
                    <w:pStyle w:val="Compact"/>
                    <w:jc w:val="left"/>
                    <w:jc w:val="center"/>
                  </w:pPr>
                  <w:r>
                    <w:t xml:space="preserve">Positivity: stability of the estimate as propensity weights grow heavy</w:t>
                  </w:r>
                </w:p>
              </w:tc>
              <w:tc>
                <w:tcPr/>
                <w:p>
                  <w:pPr>
                    <w:pStyle w:val="Compact"/>
                    <w:jc w:val="left"/>
                    <w:jc w:val="center"/>
                  </w:pPr>
                  <w:r>
                    <w:t xml:space="preserve">Amplifying the covariate-to-treatment association (</w:t>
                  </w:r>
                  <m:oMath>
                    <m:r>
                      <m:rPr>
                        <m:sty m:val="p"/>
                      </m:rPr>
                      <m:t>×</m:t>
                    </m:r>
                    <m:r>
                      <m:t>2</m:t>
                    </m:r>
                    <m:r>
                      <m:rPr>
                        <m:sty m:val="p"/>
                      </m:rPr>
                      <m:t>/</m:t>
                    </m:r>
                    <m:r>
                      <m:rPr>
                        <m:sty m:val="p"/>
                      </m:rPr>
                      <m:t>×</m:t>
                    </m:r>
                    <m:r>
                      <m:t>3</m:t>
                    </m:r>
                    <m:r>
                      <m:rPr>
                        <m:sty m:val="p"/>
                      </m:rPr>
                      <m:t>/</m:t>
                    </m:r>
                    <m:r>
                      <m:rPr>
                        <m:sty m:val="p"/>
                      </m:rPr>
                      <m:t>×</m:t>
                    </m:r>
                    <m:r>
                      <m:t>4</m:t>
                    </m:r>
                  </m:oMath>
                  <w:r>
                    <w:t xml:space="preserve">)</w:t>
                  </w:r>
                </w:p>
              </w:tc>
              <w:tc>
                <w:tcPr/>
                <w:p>
                  <w:pPr>
                    <w:pStyle w:val="Compact"/>
                    <w:jc w:val="left"/>
                    <w:jc w:val="center"/>
                  </w:pPr>
                  <w:r>
                    <w:t xml:space="preserve">Structural non-overlap (deterministic treatment assignment)</w:t>
                  </w:r>
                </w:p>
              </w:tc>
            </w:tr>
            <w:tr>
              <w:tc>
                <w:tcPr/>
                <w:p>
                  <w:pPr>
                    <w:pStyle w:val="Compact"/>
                    <w:jc w:val="left"/>
                    <w:jc w:val="center"/>
                  </w:pPr>
                  <w:r>
                    <w:t xml:space="preserve">Unmeasured confounding</w:t>
                  </w:r>
                </w:p>
              </w:tc>
              <w:tc>
                <w:tcPr/>
                <w:p>
                  <w:pPr>
                    <w:pStyle w:val="Compact"/>
                    <w:jc w:val="left"/>
                    <w:jc w:val="center"/>
                  </w:pPr>
                  <w:r>
                    <w:t xml:space="preserve">Conditional exchangeability when one or more confounders are unmeasured</w:t>
                  </w:r>
                </w:p>
              </w:tc>
              <w:tc>
                <w:tcPr/>
                <w:p>
                  <w:pPr>
                    <w:pStyle w:val="Compact"/>
                    <w:jc w:val="left"/>
                    <w:jc w:val="center"/>
                  </w:pPr>
                  <w:r>
                    <w:t xml:space="preserve">Latent</w:t>
                  </w:r>
                  <w:r>
                    <w:t xml:space="preserve"> </w:t>
                  </w:r>
                  <m:oMath>
                    <m:r>
                      <m:t>U</m:t>
                    </m:r>
                    <m:r>
                      <m:rPr>
                        <m:sty m:val="p"/>
                      </m:rPr>
                      <m:t>∼</m:t>
                    </m:r>
                    <m:r>
                      <m:rPr>
                        <m:nor/>
                        <m:sty m:val="p"/>
                      </m:rPr>
                      <m:t>Bern</m:t>
                    </m:r>
                    <m:d>
                      <m:dPr>
                        <m:begChr m:val="("/>
                        <m:endChr m:val=")"/>
                        <m:sepChr m:val=""/>
                        <m:grow/>
                      </m:dPr>
                      <m:e>
                        <m:sSub>
                          <m:e>
                            <m:r>
                              <m:t>p</m:t>
                            </m:r>
                          </m:e>
                          <m:sub>
                            <m:r>
                              <m:t>U</m:t>
                            </m:r>
                          </m:sub>
                        </m:sSub>
                      </m:e>
                    </m:d>
                  </m:oMath>
                  <w:r>
                    <w:t xml:space="preserve"> </w:t>
                  </w:r>
                  <w:r>
                    <w:t xml:space="preserve">with</w:t>
                  </w:r>
                  <w:r>
                    <w:t xml:space="preserve"> </w:t>
                  </w:r>
                  <m:oMath>
                    <m:sSub>
                      <m:e>
                        <m:r>
                          <m:rPr>
                            <m:nor/>
                            <m:sty m:val="p"/>
                          </m:rPr>
                          <m:t>OR</m:t>
                        </m:r>
                      </m:e>
                      <m:sub>
                        <m:r>
                          <m:t>A</m:t>
                        </m:r>
                      </m:sub>
                    </m:sSub>
                  </m:oMath>
                  <w:r>
                    <w:t xml:space="preserve">,</w:t>
                  </w:r>
                  <w:r>
                    <w:t xml:space="preserve"> </w:t>
                  </w:r>
                  <m:oMath>
                    <m:sSub>
                      <m:e>
                        <m:r>
                          <m:rPr>
                            <m:nor/>
                            <m:sty m:val="p"/>
                          </m:rPr>
                          <m:t>OR</m:t>
                        </m:r>
                      </m:e>
                      <m:sub>
                        <m:r>
                          <m:t>Y</m:t>
                        </m:r>
                      </m:sub>
                    </m:sSub>
                  </m:oMath>
                </w:p>
              </w:tc>
              <w:tc>
                <w:tcPr/>
                <w:p>
                  <w:pPr>
                    <w:pStyle w:val="Compact"/>
                    <w:jc w:val="left"/>
                    <w:jc w:val="center"/>
                  </w:pPr>
                  <w:r>
                    <w:t xml:space="preserve">Confounding by variables not exchangeable with the chosen latent</w:t>
                  </w:r>
                  <w:r>
                    <w:t xml:space="preserve"> </w:t>
                  </w:r>
                  <m:oMath>
                    <m:r>
                      <m:t>U</m:t>
                    </m:r>
                  </m:oMath>
                </w:p>
              </w:tc>
            </w:tr>
          </w:tbl>
          <w:bookmarkEnd w:id="56"/>
          <w:p/>
        </w:tc>
      </w:tr>
    </w:tbl>
    <w:p>
      <w:pPr>
        <w:pStyle w:val="BodyText"/>
      </w:pPr>
      <w:r>
        <w:t xml:space="preserve">A consequence is that the</w:t>
      </w:r>
      <w:r>
        <w:t xml:space="preserve"> </w:t>
      </w:r>
      <w:r>
        <w:rPr>
          <w:rStyle w:val="VerbatimChar"/>
        </w:rPr>
        <w:t xml:space="preserve">run_plasmode_dq_stress()</w:t>
      </w:r>
      <w:r>
        <w:t xml:space="preserve"> </w:t>
      </w:r>
      <w:r>
        <w:t xml:space="preserve">output is</w:t>
      </w:r>
      <w:r>
        <w:t xml:space="preserve"> </w:t>
      </w:r>
      <w:r>
        <w:t xml:space="preserve">useful for</w:t>
      </w:r>
      <w:r>
        <w:t xml:space="preserve"> </w:t>
      </w:r>
      <w:r>
        <w:rPr>
          <w:i/>
          <w:iCs/>
        </w:rPr>
        <w:t xml:space="preserve">robustness screening</w:t>
      </w:r>
      <w:r>
        <w:t xml:space="preserve"> </w:t>
      </w:r>
      <w:r>
        <w:t xml:space="preserve">of candidate estimators against</w:t>
      </w:r>
      <w:r>
        <w:t xml:space="preserve"> </w:t>
      </w:r>
      <w:r>
        <w:t xml:space="preserve">prespecified threat ranges, not for</w:t>
      </w:r>
      <w:r>
        <w:t xml:space="preserve"> </w:t>
      </w:r>
      <w:r>
        <w:rPr>
          <w:i/>
          <w:iCs/>
        </w:rPr>
        <w:t xml:space="preserve">validating</w:t>
      </w:r>
      <w:r>
        <w:t xml:space="preserve"> </w:t>
      </w:r>
      <w:r>
        <w:t xml:space="preserve">the data source.</w:t>
      </w:r>
      <w:r>
        <w:t xml:space="preserve"> </w:t>
      </w:r>
      <w:r>
        <w:t xml:space="preserve">Variable validation, source-data audit, and post-outcome</w:t>
      </w:r>
      <w:r>
        <w:t xml:space="preserve"> </w:t>
      </w:r>
      <w:r>
        <w:t xml:space="preserve">quantitative bias analysis</w:t>
      </w:r>
      <w:r>
        <w:t xml:space="preserve"> </w:t>
      </w:r>
      <w:r>
        <w:t xml:space="preserve">(Lash et al. 2014)</w:t>
      </w:r>
      <w:r>
        <w:t xml:space="preserve"> </w:t>
      </w:r>
      <w:r>
        <w:t xml:space="preserve">remain separate</w:t>
      </w:r>
      <w:r>
        <w:t xml:space="preserve"> </w:t>
      </w:r>
      <w:r>
        <w:t xml:space="preserve">activities anchored in the validation literature</w:t>
      </w:r>
      <w:r>
        <w:t xml:space="preserve"> </w:t>
      </w:r>
      <w:r>
        <w:t xml:space="preserve">(U.S. Food and Drug Administration 2024b, 2021; European Medicines Agency 2026)</w:t>
      </w:r>
      <w:r>
        <w:t xml:space="preserve"> </w:t>
      </w:r>
      <w:r>
        <w:t xml:space="preserve">rather than</w:t>
      </w:r>
      <w:r>
        <w:t xml:space="preserve"> </w:t>
      </w:r>
      <w:r>
        <w:t xml:space="preserve">in the simulation engine.</w:t>
      </w:r>
    </w:p>
    <w:bookmarkEnd w:id="57"/>
    <w:bookmarkStart w:id="58" w:name="sec-calibration"/>
    <w:p>
      <w:pPr>
        <w:pStyle w:val="Heading2"/>
      </w:pPr>
      <w:r>
        <w:t xml:space="preserve">7.5 Calibration of severity ranges from external evidence</w:t>
      </w:r>
    </w:p>
    <w:p>
      <w:pPr>
        <w:pStyle w:val="FirstParagraph"/>
      </w:pPr>
      <w:r>
        <w:t xml:space="preserve">The DQ stress test is only as informative as the severity grids</w:t>
      </w:r>
      <w:r>
        <w:t xml:space="preserve"> </w:t>
      </w:r>
      <w:r>
        <w:t xml:space="preserve">the analyst supplies. Each grid should be anchored in external</w:t>
      </w:r>
      <w:r>
        <w:t xml:space="preserve"> </w:t>
      </w:r>
      <w:r>
        <w:t xml:space="preserve">evidence, not chosen for convenience:</w:t>
      </w:r>
    </w:p>
    <w:p>
      <w:pPr>
        <w:pStyle w:val="Compact"/>
        <w:numPr>
          <w:ilvl w:val="0"/>
          <w:numId w:val="1003"/>
        </w:numPr>
      </w:pPr>
      <w:r>
        <w:rPr>
          <w:b/>
          <w:bCs/>
        </w:rPr>
        <w:t xml:space="preserve">Covariate missingness fractions</w:t>
      </w:r>
      <w:r>
        <w:t xml:space="preserve"> </w:t>
      </w:r>
      <w:r>
        <w:t xml:space="preserve">should be calibrated to the</w:t>
      </w:r>
      <w:r>
        <w:t xml:space="preserve"> </w:t>
      </w:r>
      <w:r>
        <w:t xml:space="preserve">observed missingness in the data source under study, plus</w:t>
      </w:r>
      <w:r>
        <w:t xml:space="preserve"> </w:t>
      </w:r>
      <w:r>
        <w:t xml:space="preserve">realistic alternative scenarios from data-profiling studies</w:t>
      </w:r>
      <w:r>
        <w:t xml:space="preserve"> </w:t>
      </w:r>
      <w:r>
        <w:t xml:space="preserve">(Kahn et al. 2016; U.S. Food and Drug Administration 2024b; European Medicines Agency 2026)</w:t>
      </w:r>
      <w:r>
        <w:t xml:space="preserve">.</w:t>
      </w:r>
    </w:p>
    <w:p>
      <w:pPr>
        <w:pStyle w:val="Compact"/>
        <w:numPr>
          <w:ilvl w:val="0"/>
          <w:numId w:val="1003"/>
        </w:numPr>
      </w:pPr>
      <w:r>
        <w:rPr>
          <w:b/>
          <w:bCs/>
        </w:rPr>
        <w:t xml:space="preserve">Treatment-ascertainment (sensitivity, specificity)</w:t>
      </w:r>
      <w:r>
        <w:t xml:space="preserve"> </w:t>
      </w:r>
      <w:r>
        <w:t xml:space="preserve">ranges</w:t>
      </w:r>
      <w:r>
        <w:t xml:space="preserve"> </w:t>
      </w:r>
      <w:r>
        <w:t xml:space="preserve">should come from claims-validation studies for the relevant</w:t>
      </w:r>
      <w:r>
        <w:t xml:space="preserve"> </w:t>
      </w:r>
      <w:r>
        <w:t xml:space="preserve">exposure phenotype or from independent chart review</w:t>
      </w:r>
      <w:r>
        <w:t xml:space="preserve"> </w:t>
      </w:r>
      <w:r>
        <w:t xml:space="preserve">(U.S. Food and Drug Administration 2024a, 2024b)</w:t>
      </w:r>
      <w:r>
        <w:t xml:space="preserve">.</w:t>
      </w:r>
    </w:p>
    <w:p>
      <w:pPr>
        <w:pStyle w:val="Compact"/>
        <w:numPr>
          <w:ilvl w:val="0"/>
          <w:numId w:val="1003"/>
        </w:numPr>
      </w:pPr>
      <w:r>
        <w:rPr>
          <w:b/>
          <w:bCs/>
        </w:rPr>
        <w:t xml:space="preserve">Outcome-ascertainment (sensitivity, specificity)</w:t>
      </w:r>
      <w:r>
        <w:t xml:space="preserve"> </w:t>
      </w:r>
      <w:r>
        <w:t xml:space="preserve">ranges</w:t>
      </w:r>
      <w:r>
        <w:t xml:space="preserve"> </w:t>
      </w:r>
      <w:r>
        <w:t xml:space="preserve">should come from algorithm-validation studies or PPV / sensitivity</w:t>
      </w:r>
      <w:r>
        <w:t xml:space="preserve"> </w:t>
      </w:r>
      <w:r>
        <w:t xml:space="preserve">literature for the outcome phenotype, with optional per-arm</w:t>
      </w:r>
      <w:r>
        <w:t xml:space="preserve"> </w:t>
      </w:r>
      <w:r>
        <w:t xml:space="preserve">differential misclassification when the validation literature</w:t>
      </w:r>
      <w:r>
        <w:t xml:space="preserve"> </w:t>
      </w:r>
      <w:r>
        <w:t xml:space="preserve">supports it</w:t>
      </w:r>
      <w:r>
        <w:t xml:space="preserve"> </w:t>
      </w:r>
      <w:r>
        <w:t xml:space="preserve">(U.S. Food and Drug Administration 2024a)</w:t>
      </w:r>
      <w:r>
        <w:t xml:space="preserve">.</w:t>
      </w:r>
    </w:p>
    <w:p>
      <w:pPr>
        <w:pStyle w:val="Compact"/>
        <w:numPr>
          <w:ilvl w:val="0"/>
          <w:numId w:val="1003"/>
        </w:numPr>
      </w:pPr>
      <w:r>
        <w:rPr>
          <w:b/>
          <w:bCs/>
        </w:rPr>
        <w:t xml:space="preserve">Unmeasured-confounder strengths</w:t>
      </w:r>
      <w:r>
        <w:t xml:space="preserve"> </w:t>
      </w:r>
      <w:r>
        <w:t xml:space="preserve">(</w:t>
      </w:r>
      <m:oMath>
        <m:sSub>
          <m:e>
            <m:r>
              <m:t>p</m:t>
            </m:r>
          </m:e>
          <m:sub>
            <m:r>
              <m:t>U</m:t>
            </m:r>
          </m:sub>
        </m:sSub>
      </m:oMath>
      <w:r>
        <w:t xml:space="preserve">,</w:t>
      </w:r>
      <w:r>
        <w:t xml:space="preserve"> </w:t>
      </w:r>
      <m:oMath>
        <m:sSub>
          <m:e>
            <m:r>
              <m:rPr>
                <m:nor/>
                <m:sty m:val="p"/>
              </m:rPr>
              <m:t>OR</m:t>
            </m:r>
          </m:e>
          <m:sub>
            <m:r>
              <m:t>A</m:t>
            </m:r>
          </m:sub>
        </m:sSub>
      </m:oMath>
      <w:r>
        <w:t xml:space="preserve">,</w:t>
      </w:r>
      <w:r>
        <w:t xml:space="preserve"> </w:t>
      </w:r>
      <m:oMath>
        <m:sSub>
          <m:e>
            <m:r>
              <m:rPr>
                <m:nor/>
                <m:sty m:val="p"/>
              </m:rPr>
              <m:t>OR</m:t>
            </m:r>
          </m:e>
          <m:sub>
            <m:r>
              <m:t>Y</m:t>
            </m:r>
          </m:sub>
        </m:sSub>
      </m:oMath>
      <w:r>
        <w:t xml:space="preserve">) should be elicited from subject-matter experts,</w:t>
      </w:r>
      <w:r>
        <w:t xml:space="preserve"> </w:t>
      </w:r>
      <w:r>
        <w:t xml:space="preserve">prior-literature E-value bounds</w:t>
      </w:r>
      <w:r>
        <w:t xml:space="preserve"> </w:t>
      </w:r>
      <w:r>
        <w:t xml:space="preserve">(VanderWeele and Ding 2017)</w:t>
      </w:r>
      <w:r>
        <w:t xml:space="preserve">, or</w:t>
      </w:r>
      <w:r>
        <w:t xml:space="preserve"> </w:t>
      </w:r>
      <w:r>
        <w:t xml:space="preserve">causal-gap sensitivity ranges</w:t>
      </w:r>
      <w:r>
        <w:t xml:space="preserve"> </w:t>
      </w:r>
      <w:r>
        <w:t xml:space="preserve">(Dı́az and Laan 2013)</w:t>
      </w:r>
      <w:r>
        <w:t xml:space="preserve">.</w:t>
      </w:r>
    </w:p>
    <w:p>
      <w:pPr>
        <w:pStyle w:val="FirstParagraph"/>
      </w:pPr>
      <w:r>
        <w:t xml:space="preserve">We recommend that the analyst record, in the decision log, a brief</w:t>
      </w:r>
      <w:r>
        <w:t xml:space="preserve"> </w:t>
      </w:r>
      <w:r>
        <w:t xml:space="preserve">citation for each severity range alongside the lock fingerprint, so</w:t>
      </w:r>
      <w:r>
        <w:t xml:space="preserve"> </w:t>
      </w:r>
      <w:r>
        <w:t xml:space="preserve">that a reviewer can check both the values and their provenance. The</w:t>
      </w:r>
      <w:r>
        <w:t xml:space="preserve"> </w:t>
      </w:r>
      <w:r>
        <w:t xml:space="preserve">boundaries of what this screen does</w:t>
      </w:r>
      <w:r>
        <w:t xml:space="preserve"> </w:t>
      </w:r>
      <w:r>
        <w:rPr>
          <w:i/>
          <w:iCs/>
        </w:rPr>
        <w:t xml:space="preserve">not</w:t>
      </w:r>
      <w:r>
        <w:t xml:space="preserve"> </w:t>
      </w:r>
      <w:r>
        <w:t xml:space="preserve">establish (data-source</w:t>
      </w:r>
      <w:r>
        <w:t xml:space="preserve"> </w:t>
      </w:r>
      <w:r>
        <w:t xml:space="preserve">validation, causal identification, post-outcome sensitivity, and</w:t>
      </w:r>
      <w:r>
        <w:t xml:space="preserve"> </w:t>
      </w:r>
      <w:r>
        <w:t xml:space="preserve">independent governance) are listed concisely in the regulatory</w:t>
      </w:r>
      <w:r>
        <w:t xml:space="preserve"> </w:t>
      </w:r>
      <w:r>
        <w:t xml:space="preserve">alignment table (</w:t>
      </w:r>
      <w:hyperlink w:anchor="sec-roadmap">
        <w:r>
          <w:rPr>
            <w:rStyle w:val="Hyperlink"/>
          </w:rPr>
          <w:t xml:space="preserve">Section 2</w:t>
        </w:r>
      </w:hyperlink>
      <w:r>
        <w:t xml:space="preserve">,</w:t>
      </w:r>
      <w:r>
        <w:t xml:space="preserve"> </w:t>
      </w:r>
      <w:hyperlink w:anchor="tbl-reg-align">
        <w:r>
          <w:rPr>
            <w:rStyle w:val="Hyperlink"/>
          </w:rPr>
          <w:t xml:space="preserve">Table 15</w:t>
        </w:r>
      </w:hyperlink>
      <w:r>
        <w:t xml:space="preserve">) and</w:t>
      </w:r>
      <w:r>
        <w:t xml:space="preserve"> </w:t>
      </w:r>
      <w:r>
        <w:t xml:space="preserve">in the limitations paragraph in the Discussion (</w:t>
      </w:r>
      <w:hyperlink w:anchor="sec-discussion">
        <w:r>
          <w:rPr>
            <w:rStyle w:val="Hyperlink"/>
          </w:rPr>
          <w:t xml:space="preserve">Section 13</w:t>
        </w:r>
      </w:hyperlink>
      <w:r>
        <w:t xml:space="preserve">).</w:t>
      </w:r>
    </w:p>
    <w:bookmarkEnd w:id="58"/>
    <w:bookmarkEnd w:id="59"/>
    <w:bookmarkStart w:id="65" w:name="sec-bridge"/>
    <w:p>
      <w:pPr>
        <w:pStyle w:val="Heading1"/>
      </w:pPr>
      <w:r>
        <w:t xml:space="preserve">8. A quantitative supplement to fit-for-purpose review</w:t>
      </w:r>
    </w:p>
    <w:p>
      <w:pPr>
        <w:pStyle w:val="FirstParagraph"/>
      </w:pPr>
      <w:r>
        <w:t xml:space="preserve">This section describes how the pre-outcome decision is currently scored</w:t>
      </w:r>
      <w:r>
        <w:t xml:space="preserve"> </w:t>
      </w:r>
      <w:r>
        <w:t xml:space="preserve">in published TL-RWE pipelines and what changes when the DQ stress</w:t>
      </w:r>
      <w:r>
        <w:t xml:space="preserve"> </w:t>
      </w:r>
      <w:r>
        <w:t xml:space="preserve">test feeds into the same decision. The test scores robustness of</w:t>
      </w:r>
      <w:r>
        <w:t xml:space="preserve"> </w:t>
      </w:r>
      <w:r>
        <w:t xml:space="preserve">candidate estimators against prespecified threat ranges; the</w:t>
      </w:r>
      <w:r>
        <w:t xml:space="preserve"> </w:t>
      </w:r>
      <w:r>
        <w:t xml:space="preserve">validity of those ranges, and of the data source itself, remains</w:t>
      </w:r>
      <w:r>
        <w:t xml:space="preserve"> </w:t>
      </w:r>
      <w:r>
        <w:t xml:space="preserve">an external study-level argument anchored in source-specific</w:t>
      </w:r>
      <w:r>
        <w:t xml:space="preserve"> </w:t>
      </w:r>
      <w:r>
        <w:t xml:space="preserve">assessment guidance</w:t>
      </w:r>
      <w:r>
        <w:t xml:space="preserve"> </w:t>
      </w:r>
      <w:r>
        <w:t xml:space="preserve">(U.S. Food and Drug Administration 2024a, 2024b; European Medicines Agency 2026)</w:t>
      </w:r>
      <w:r>
        <w:t xml:space="preserve"> </w:t>
      </w:r>
      <w:r>
        <w:t xml:space="preserve">(see</w:t>
      </w:r>
      <w:r>
        <w:t xml:space="preserve"> </w:t>
      </w:r>
      <w:hyperlink w:anchor="tbl-reg-align">
        <w:r>
          <w:rPr>
            <w:rStyle w:val="Hyperlink"/>
          </w:rPr>
          <w:t xml:space="preserve">Table 15</w:t>
        </w:r>
      </w:hyperlink>
      <w:r>
        <w:t xml:space="preserve">).</w:t>
      </w:r>
    </w:p>
    <w:p>
      <w:pPr>
        <w:pStyle w:val="BodyText"/>
      </w:pPr>
      <w:r>
        <w:t xml:space="preserve">A note on terminology:</w:t>
      </w:r>
      <w:r>
        <w:t xml:space="preserve"> </w:t>
      </w:r>
      <w:r>
        <w:t xml:space="preserve">Muntner et al. (2024)</w:t>
      </w:r>
      <w:r>
        <w:t xml:space="preserve"> </w:t>
      </w:r>
      <w:r>
        <w:t xml:space="preserve">describe three</w:t>
      </w:r>
      <w:r>
        <w:t xml:space="preserve"> </w:t>
      </w:r>
      <w:r>
        <w:t xml:space="preserve">review-team decisions (</w:t>
      </w:r>
      <w:r>
        <w:t xml:space="preserve">“proceed to the next stage”</w:t>
      </w:r>
      <w:r>
        <w:t xml:space="preserve">,</w:t>
      </w:r>
      <w:r>
        <w:t xml:space="preserve"> </w:t>
      </w:r>
      <w:r>
        <w:t xml:space="preserve">“conduct</w:t>
      </w:r>
      <w:r>
        <w:t xml:space="preserve"> </w:t>
      </w:r>
      <w:r>
        <w:t xml:space="preserve">additional analyses to address bias”</w:t>
      </w:r>
      <w:r>
        <w:t xml:space="preserve">, or</w:t>
      </w:r>
      <w:r>
        <w:t xml:space="preserve"> </w:t>
      </w:r>
      <w:r>
        <w:t xml:space="preserve">“terminate the study”</w:t>
      </w:r>
      <w:r>
        <w:t xml:space="preserve">),</w:t>
      </w:r>
      <w:r>
        <w:t xml:space="preserve"> </w:t>
      </w:r>
      <w:r>
        <w:t xml:space="preserve">which we abbreviate in the decision-rule analyses of this manuscript</w:t>
      </w:r>
      <w:r>
        <w:t xml:space="preserve"> </w:t>
      </w:r>
      <w:r>
        <w:t xml:space="preserve">as GO, FLAG, and STOP. GO means proceed to the locked primary</w:t>
      </w:r>
      <w:r>
        <w:t xml:space="preserve"> </w:t>
      </w:r>
      <w:r>
        <w:t xml:space="preserve">analysis; FLAG means proceed only with documented review or</w:t>
      </w:r>
      <w:r>
        <w:t xml:space="preserve"> </w:t>
      </w:r>
      <w:r>
        <w:t xml:space="preserve">qualification; STOP means do not conduct or report the primary</w:t>
      </w:r>
      <w:r>
        <w:t xml:space="preserve"> </w:t>
      </w:r>
      <w:r>
        <w:t xml:space="preserve">comparative analysis under the current estimand, design, and</w:t>
      </w:r>
      <w:r>
        <w:t xml:space="preserve"> </w:t>
      </w:r>
      <w:r>
        <w:t xml:space="preserve">specification. The mapping to the Muntner et al. wording is</w:t>
      </w:r>
      <w:r>
        <w:t xml:space="preserve"> </w:t>
      </w:r>
      <w:r>
        <w:t xml:space="preserve">one-to-one; these are shorthand for their recommendations, not</w:t>
      </w:r>
      <w:r>
        <w:t xml:space="preserve"> </w:t>
      </w:r>
      <w:r>
        <w:t xml:space="preserve">additional machinery. The support verdicts of</w:t>
      </w:r>
      <w:r>
        <w:t xml:space="preserve"> </w:t>
      </w:r>
      <w:hyperlink w:anchor="sec-support">
        <w:r>
          <w:rPr>
            <w:rStyle w:val="Hyperlink"/>
          </w:rPr>
          <w:t xml:space="preserve">Section 6</w:t>
        </w:r>
      </w:hyperlink>
      <w:r>
        <w:t xml:space="preserve"> </w:t>
      </w:r>
      <w:r>
        <w:t xml:space="preserve">(PASS,</w:t>
      </w:r>
      <w:r>
        <w:t xml:space="preserve"> </w:t>
      </w:r>
      <w:r>
        <w:t xml:space="preserve">FLAG, SEVERE, FAIL) grade a diagnostic, not a decision, and feed the</w:t>
      </w:r>
      <w:r>
        <w:t xml:space="preserve"> </w:t>
      </w:r>
      <w:r>
        <w:t xml:space="preserve">decision through the declared ladder trigger.</w:t>
      </w:r>
    </w:p>
    <w:bookmarkStart w:id="60" w:name="X4870de5334a1d002935adfa59f8358a3c7029c6"/>
    <w:p>
      <w:pPr>
        <w:pStyle w:val="Heading2"/>
      </w:pPr>
      <w:r>
        <w:t xml:space="preserve">8.1 What the pre-outcome decision currently does</w:t>
      </w:r>
    </w:p>
    <w:p>
      <w:pPr>
        <w:pStyle w:val="FirstParagraph"/>
      </w:pPr>
      <w:r>
        <w:t xml:space="preserve">In the published TL-RWE literature the pre-outcome decision is a</w:t>
      </w:r>
      <w:r>
        <w:t xml:space="preserve"> </w:t>
      </w:r>
      <w:r>
        <w:t xml:space="preserve">prespecified set of qualitative checks: the SAP exists, the lock is</w:t>
      </w:r>
      <w:r>
        <w:t xml:space="preserve"> </w:t>
      </w:r>
      <w:r>
        <w:t xml:space="preserve">in place, the cohort meets minimum size and event criteria, the</w:t>
      </w:r>
      <w:r>
        <w:t xml:space="preserve"> </w:t>
      </w:r>
      <w:r>
        <w:t xml:space="preserve">propensity-score overlap looks acceptable, and the negative-</w:t>
      </w:r>
      <w:r>
        <w:t xml:space="preserve"> </w:t>
      </w:r>
      <w:r>
        <w:t xml:space="preserve">control-outcome estimate is consistent with no effect</w:t>
      </w:r>
      <w:r>
        <w:t xml:space="preserve"> </w:t>
      </w:r>
      <w:r>
        <w:t xml:space="preserve">(Dang et al. 2023; Gruber, Lee, et al. 2024; Gruber, Phillips, Lee, Concato, et al. 2024)</w:t>
      </w:r>
      <w:r>
        <w:t xml:space="preserve">. Each</w:t>
      </w:r>
      <w:r>
        <w:t xml:space="preserve"> </w:t>
      </w:r>
      <w:r>
        <w:t xml:space="preserve">check is binary or ordinal, and each is computed from a different</w:t>
      </w:r>
      <w:r>
        <w:t xml:space="preserve"> </w:t>
      </w:r>
      <w:r>
        <w:t xml:space="preserve">source (a PDF SAP, a balance table, a negative-control estimate).</w:t>
      </w:r>
      <w:r>
        <w:t xml:space="preserve"> </w:t>
      </w:r>
      <w:r>
        <w:t xml:space="preserve">When the data-fitness argument is added, it usually appears as a</w:t>
      </w:r>
      <w:r>
        <w:t xml:space="preserve"> </w:t>
      </w:r>
      <w:r>
        <w:t xml:space="preserve">separate document (the SPIFD2 or HARPER table</w:t>
      </w:r>
      <w:r>
        <w:t xml:space="preserve"> </w:t>
      </w:r>
      <w:r>
        <w:t xml:space="preserve">(Wang, Sreedhara, and Schneeweiss 2023)</w:t>
      </w:r>
      <w:r>
        <w:t xml:space="preserve">) and is adjudicated by reviewers rather than</w:t>
      </w:r>
      <w:r>
        <w:t xml:space="preserve"> </w:t>
      </w:r>
      <w:r>
        <w:t xml:space="preserve">scored against the prespecified decision rule.</w:t>
      </w:r>
    </w:p>
    <w:bookmarkEnd w:id="60"/>
    <w:bookmarkStart w:id="61" w:name="what-the-dq-supplement-adds"/>
    <w:p>
      <w:pPr>
        <w:pStyle w:val="Heading2"/>
      </w:pPr>
      <w:r>
        <w:t xml:space="preserve">8.2 What the DQ supplement adds</w:t>
      </w:r>
    </w:p>
    <w:p>
      <w:pPr>
        <w:pStyle w:val="FirstParagraph"/>
      </w:pPr>
      <w:r>
        <w:t xml:space="preserve">The DQ stress test reports, for each candidate, the same triple</w:t>
      </w:r>
      <w:r>
        <w:t xml:space="preserve"> </w:t>
      </w:r>
      <w:r>
        <w:t xml:space="preserve">(bias, RMSE, coverage) at each severity of each threat that the</w:t>
      </w:r>
      <w:r>
        <w:t xml:space="preserve"> </w:t>
      </w:r>
      <w:r>
        <w:t xml:space="preserve">baseline plasmode reports. Because the units match, the same</w:t>
      </w:r>
      <w:r>
        <w:t xml:space="preserve"> </w:t>
      </w:r>
      <w:r>
        <w:t xml:space="preserve">prespecified thresholds (maximum allowed bias, minimum allowed</w:t>
      </w:r>
      <w:r>
        <w:t xml:space="preserve"> </w:t>
      </w:r>
      <w:r>
        <w:t xml:space="preserve">coverage, and an allowed SE-calibration window) can be applied</w:t>
      </w:r>
      <w:r>
        <w:t xml:space="preserve"> </w:t>
      </w:r>
      <w:r>
        <w:t xml:space="preserve">uniformly to the baseline plasmode and to the degraded runs. The</w:t>
      </w:r>
      <w:r>
        <w:t xml:space="preserve"> </w:t>
      </w:r>
      <w:r>
        <w:t xml:space="preserve">prespecified candidate is required to meet those thresholds both</w:t>
      </w:r>
      <w:r>
        <w:t xml:space="preserve"> </w:t>
      </w:r>
      <w:r>
        <w:t xml:space="preserve">under the locked data-generating process and across the plausible</w:t>
      </w:r>
      <w:r>
        <w:t xml:space="preserve"> </w:t>
      </w:r>
      <w:r>
        <w:t xml:space="preserve">range of each threat documented in the fit-for-purpose review.</w:t>
      </w:r>
      <w:r>
        <w:t xml:space="preserve"> </w:t>
      </w:r>
      <w:r>
        <w:t xml:space="preserve">The package ships heuristic defaults for these thresholds</w:t>
      </w:r>
      <w:r>
        <w:t xml:space="preserve"> </w:t>
      </w:r>
      <w:r>
        <w:t xml:space="preserve">(</w:t>
      </w:r>
      <w:r>
        <w:rPr>
          <w:rStyle w:val="VerbatimChar"/>
        </w:rPr>
        <w:t xml:space="preserve">max_abs_bias = 0.01</w:t>
      </w:r>
      <w:r>
        <w:t xml:space="preserve"> </w:t>
      </w:r>
      <w:r>
        <w:t xml:space="preserve">on the risk-difference scale,</w:t>
      </w:r>
      <w:r>
        <w:t xml:space="preserve"> </w:t>
      </w:r>
      <w:r>
        <w:rPr>
          <w:rStyle w:val="VerbatimChar"/>
        </w:rPr>
        <w:t xml:space="preserve">min_coverage = 0.90</w:t>
      </w:r>
      <w:r>
        <w:t xml:space="preserve">, an SE-to-empirical-SD window of (0.8, 1.2), and an ESS</w:t>
      </w:r>
      <w:r>
        <w:t xml:space="preserve"> </w:t>
      </w:r>
      <w:r>
        <w:t xml:space="preserve">floor at 30% of</w:t>
      </w:r>
      <w:r>
        <w:t xml:space="preserve"> </w:t>
      </w:r>
      <m:oMath>
        <m:r>
          <m:t>n</m:t>
        </m:r>
      </m:oMath>
      <w:r>
        <w:t xml:space="preserve">). These are conventional rules of thumb rather</w:t>
      </w:r>
      <w:r>
        <w:t xml:space="preserve"> </w:t>
      </w:r>
      <w:r>
        <w:t xml:space="preserve">than values derived from a regulatory specification; analysts</w:t>
      </w:r>
      <w:r>
        <w:t xml:space="preserve"> </w:t>
      </w:r>
      <w:r>
        <w:t xml:space="preserve">should set them from the study context (the estimand magnitude,</w:t>
      </w:r>
      <w:r>
        <w:t xml:space="preserve"> </w:t>
      </w:r>
      <w:r>
        <w:t xml:space="preserve">the prespecified Type I error budget, and the operating</w:t>
      </w:r>
      <w:r>
        <w:t xml:space="preserve"> </w:t>
      </w:r>
      <w:r>
        <w:t xml:space="preserve">characteristics required by the receiver of the evidence) before</w:t>
      </w:r>
      <w:r>
        <w:t xml:space="preserve"> </w:t>
      </w:r>
      <w:r>
        <w:t xml:space="preserve">the analysis lock is signed. The package records the values in</w:t>
      </w:r>
      <w:r>
        <w:t xml:space="preserve"> </w:t>
      </w:r>
      <w:r>
        <w:t xml:space="preserve">use as part of the lock fingerprint.</w:t>
      </w:r>
    </w:p>
    <w:p>
      <w:pPr>
        <w:pStyle w:val="BodyText"/>
      </w:pPr>
      <w:r>
        <w:t xml:space="preserve">This shifts the pre-outcome decision in three ways. First, the</w:t>
      </w:r>
      <w:r>
        <w:t xml:space="preserve"> </w:t>
      </w:r>
      <w:r>
        <w:t xml:space="preserve">data-fitness argument becomes numeric and candidate-specific:</w:t>
      </w:r>
      <w:r>
        <w:t xml:space="preserve"> </w:t>
      </w:r>
      <w:r>
        <w:t xml:space="preserve">instead of a prose claim that</w:t>
      </w:r>
      <w:r>
        <w:t xml:space="preserve"> </w:t>
      </w:r>
      <w:r>
        <w:t xml:space="preserve">“the outcome ascertainment algorithm</w:t>
      </w:r>
      <w:r>
        <w:t xml:space="preserve"> </w:t>
      </w:r>
      <w:r>
        <w:t xml:space="preserve">has reported sensitivity 0.90,”</w:t>
      </w:r>
      <w:r>
        <w:t xml:space="preserve"> </w:t>
      </w:r>
      <w:r>
        <w:t xml:space="preserve">the analyst sees that at</w:t>
      </w:r>
      <w:r>
        <w:t xml:space="preserve"> </w:t>
      </w:r>
      <w:r>
        <w:t xml:space="preserve">sensitivity = 0.90 and specificity = 0.95 the bias of the selected</w:t>
      </w:r>
      <w:r>
        <w:t xml:space="preserve"> </w:t>
      </w:r>
      <w:r>
        <w:t xml:space="preserve">candidate rises from near zero to 0.004, still within the</w:t>
      </w:r>
      <w:r>
        <w:t xml:space="preserve"> </w:t>
      </w:r>
      <w:r>
        <w:t xml:space="preserve">prespecified threshold of 0.010. The steeper threat is unmeasured</w:t>
      </w:r>
      <w:r>
        <w:t xml:space="preserve"> </w:t>
      </w:r>
      <w:r>
        <w:t xml:space="preserve">confounding: at OR</w:t>
      </w:r>
      <m:oMath>
        <m:sSub>
          <m:e>
            <m:r>
              <m:t>​</m:t>
            </m:r>
          </m:e>
          <m:sub>
            <m:r>
              <m:t>A</m:t>
            </m:r>
          </m:sub>
        </m:sSub>
      </m:oMath>
      <w:r>
        <w:t xml:space="preserve"> </w:t>
      </w:r>
      <w:r>
        <w:t xml:space="preserve">= OR</w:t>
      </w:r>
      <m:oMath>
        <m:sSub>
          <m:e>
            <m:r>
              <m:t>​</m:t>
            </m:r>
          </m:e>
          <m:sub>
            <m:r>
              <m:t>Y</m:t>
            </m:r>
          </m:sub>
        </m:sSub>
      </m:oMath>
      <w:r>
        <w:t xml:space="preserve"> </w:t>
      </w:r>
      <w:r>
        <w:t xml:space="preserve">= 2.0 the same candidate’s bias</w:t>
      </w:r>
      <w:r>
        <w:t xml:space="preserve"> </w:t>
      </w:r>
      <w:r>
        <w:t xml:space="preserve">reaches 0.010, touching the threshold, and RMSE rises by 9 %</w:t>
      </w:r>
      <w:r>
        <w:t xml:space="preserve"> </w:t>
      </w:r>
      <w:r>
        <w:t xml:space="preserve">relative to the baseline plasmode. Second, the default</w:t>
      </w:r>
      <w:r>
        <w:t xml:space="preserve"> </w:t>
      </w:r>
      <w:r>
        <w:rPr>
          <w:rStyle w:val="VerbatimChar"/>
        </w:rPr>
        <w:t xml:space="preserve">select_tmle_candidate()</w:t>
      </w:r>
      <w:r>
        <w:t xml:space="preserve"> </w:t>
      </w:r>
      <w:r>
        <w:t xml:space="preserve">rule, which picks the RMSE-minimiser on</w:t>
      </w:r>
      <w:r>
        <w:t xml:space="preserve"> </w:t>
      </w:r>
      <w:r>
        <w:t xml:space="preserve">the baseline plasmode, gains the option</w:t>
      </w:r>
      <w:r>
        <w:t xml:space="preserve"> </w:t>
      </w:r>
      <w:r>
        <w:rPr>
          <w:rStyle w:val="VerbatimChar"/>
        </w:rPr>
        <w:t xml:space="preserve">rule = "min_max_rmse"</w:t>
      </w:r>
      <w:r>
        <w:t xml:space="preserve">,</w:t>
      </w:r>
      <w:r>
        <w:t xml:space="preserve"> </w:t>
      </w:r>
      <w:r>
        <w:t xml:space="preserve">which selects the candidate with the lowest worst-case RMSE across</w:t>
      </w:r>
      <w:r>
        <w:t xml:space="preserve"> </w:t>
      </w:r>
      <w:r>
        <w:t xml:space="preserve">the DQ scenarios; a candidate that wins on the baseline but</w:t>
      </w:r>
      <w:r>
        <w:t xml:space="preserve"> </w:t>
      </w:r>
      <w:r>
        <w:t xml:space="preserve">collapses under a positivity violation loses to a slightly less</w:t>
      </w:r>
      <w:r>
        <w:t xml:space="preserve"> </w:t>
      </w:r>
      <w:r>
        <w:t xml:space="preserve">efficient one that maintains acceptable performance across the</w:t>
      </w:r>
      <w:r>
        <w:t xml:space="preserve"> </w:t>
      </w:r>
      <w:r>
        <w:t xml:space="preserve">entire plausible range.</w:t>
      </w:r>
      <w:r>
        <w:t xml:space="preserve"> </w:t>
      </w:r>
      <w:hyperlink w:anchor="sec-divergence">
        <w:r>
          <w:rPr>
            <w:rStyle w:val="Hyperlink"/>
          </w:rPr>
          <w:t xml:space="preserve">Section 10.4</w:t>
        </w:r>
      </w:hyperlink>
      <w:r>
        <w:t xml:space="preserve"> </w:t>
      </w:r>
      <w:r>
        <w:t xml:space="preserve">exhibits a candidate grid</w:t>
      </w:r>
      <w:r>
        <w:t xml:space="preserve"> </w:t>
      </w:r>
      <w:r>
        <w:t xml:space="preserve">under which this rule changes the locked estimator. Third, because the DQ output is recorded</w:t>
      </w:r>
      <w:r>
        <w:t xml:space="preserve"> </w:t>
      </w:r>
      <w:r>
        <w:t xml:space="preserve">in the same audit log as the baseline plasmode, a reviewer can</w:t>
      </w:r>
      <w:r>
        <w:t xml:space="preserve"> </w:t>
      </w:r>
      <w:r>
        <w:t xml:space="preserve">read the audit trail, see the externally derived ranges that went</w:t>
      </w:r>
      <w:r>
        <w:t xml:space="preserve"> </w:t>
      </w:r>
      <w:r>
        <w:t xml:space="preserve">in, see the prespecified thresholds that came out, and reproduce</w:t>
      </w:r>
      <w:r>
        <w:t xml:space="preserve"> </w:t>
      </w:r>
      <w:r>
        <w:t xml:space="preserve">the decision.</w:t>
      </w:r>
    </w:p>
    <w:bookmarkEnd w:id="61"/>
    <w:bookmarkStart w:id="62" w:name="position-relative-to-other-bias-analyses"/>
    <w:p>
      <w:pPr>
        <w:pStyle w:val="Heading2"/>
      </w:pPr>
      <w:r>
        <w:t xml:space="preserve">8.3 Position relative to other bias analyses</w:t>
      </w:r>
    </w:p>
    <w:p>
      <w:pPr>
        <w:pStyle w:val="FirstParagraph"/>
      </w:pPr>
      <w:r>
        <w:t xml:space="preserve">The DQ stress test is distinct from quantitative bias analysis (QBA)</w:t>
      </w:r>
      <w:r>
        <w:t xml:space="preserve"> </w:t>
      </w:r>
      <w:r>
        <w:t xml:space="preserve">(Lash et al. 2014)</w:t>
      </w:r>
      <w:r>
        <w:t xml:space="preserve"> </w:t>
      </w:r>
      <w:r>
        <w:t xml:space="preserve">and from the targeted-learning causal-gap sensitivity</w:t>
      </w:r>
      <w:r>
        <w:t xml:space="preserve"> </w:t>
      </w:r>
      <w:r>
        <w:t xml:space="preserve">analysis of</w:t>
      </w:r>
      <w:r>
        <w:t xml:space="preserve"> </w:t>
      </w:r>
      <w:r>
        <w:t xml:space="preserve">Dı́az and Laan (2013)</w:t>
      </w:r>
      <w:r>
        <w:t xml:space="preserve">. QBA adjusts the</w:t>
      </w:r>
      <w:r>
        <w:t xml:space="preserve"> </w:t>
      </w:r>
      <w:r>
        <w:rPr>
          <w:i/>
          <w:iCs/>
        </w:rPr>
        <w:t xml:space="preserve">final</w:t>
      </w:r>
      <w:r>
        <w:t xml:space="preserve"> </w:t>
      </w:r>
      <w:r>
        <w:t xml:space="preserve">effect</w:t>
      </w:r>
      <w:r>
        <w:t xml:space="preserve"> </w:t>
      </w:r>
      <w:r>
        <w:t xml:space="preserve">estimate for a postulated bias and is an unblinding-stage tool;</w:t>
      </w:r>
      <w:r>
        <w:t xml:space="preserve"> </w:t>
      </w:r>
      <w:r>
        <w:t xml:space="preserve">causal-gap characterises how the estimate changes as a function of</w:t>
      </w:r>
      <w:r>
        <w:t xml:space="preserve"> </w:t>
      </w:r>
      <w:r>
        <w:t xml:space="preserve">an unmeasured-confounder bound and complements the E-value</w:t>
      </w:r>
      <w:r>
        <w:t xml:space="preserve"> </w:t>
      </w:r>
      <w:r>
        <w:t xml:space="preserve">(VanderWeele and Ding 2017)</w:t>
      </w:r>
      <w:r>
        <w:t xml:space="preserve">. The DQ stress test, by contrast, asks</w:t>
      </w:r>
      <w:r>
        <w:t xml:space="preserve"> </w:t>
      </w:r>
      <w:r>
        <w:t xml:space="preserve">whether candidate estimators still pass the pre-outcome decision when</w:t>
      </w:r>
      <w:r>
        <w:t xml:space="preserve"> </w:t>
      </w:r>
      <w:r>
        <w:t xml:space="preserve">the data are degraded under prespecified threats, and reaches</w:t>
      </w:r>
      <w:r>
        <w:t xml:space="preserve"> </w:t>
      </w:r>
      <w:r>
        <w:t xml:space="preserve">covariate missingness and exposure misclassification in particular.</w:t>
      </w:r>
    </w:p>
    <w:p>
      <w:pPr>
        <w:pStyle w:val="BodyText"/>
      </w:pPr>
      <w:r>
        <w:t xml:space="preserve">We therefore position the DQ stress test as the</w:t>
      </w:r>
      <w:r>
        <w:t xml:space="preserve"> </w:t>
      </w:r>
      <w:r>
        <w:rPr>
          <w:i/>
          <w:iCs/>
        </w:rPr>
        <w:t xml:space="preserve">first</w:t>
      </w:r>
      <w:r>
        <w:t xml:space="preserve"> </w:t>
      </w:r>
      <w:r>
        <w:t xml:space="preserve">of three</w:t>
      </w:r>
      <w:r>
        <w:t xml:space="preserve"> </w:t>
      </w:r>
      <w:r>
        <w:t xml:space="preserve">sequential bias analyses: pre-outcome (DQ stress test), at-outcome</w:t>
      </w:r>
      <w:r>
        <w:t xml:space="preserve"> </w:t>
      </w:r>
      <w:r>
        <w:t xml:space="preserve">(negative-control outcomes</w:t>
      </w:r>
      <w:r>
        <w:t xml:space="preserve"> </w:t>
      </w:r>
      <w:r>
        <w:t xml:space="preserve">(Lipsitch, Tchetgen Tchetgen, and Cohen 2010)</w:t>
      </w:r>
      <w:r>
        <w:t xml:space="preserve">), and</w:t>
      </w:r>
      <w:r>
        <w:t xml:space="preserve"> </w:t>
      </w:r>
      <w:r>
        <w:t xml:space="preserve">post-outcome (E-value, QBA, causal-gap). Each addresses a different</w:t>
      </w:r>
      <w:r>
        <w:t xml:space="preserve"> </w:t>
      </w:r>
      <w:r>
        <w:t xml:space="preserve">threat, at a different stage, with a different artifact.</w:t>
      </w:r>
    </w:p>
    <w:bookmarkEnd w:id="62"/>
    <w:bookmarkStart w:id="63" w:name="why-outcome-blind-matters-here"/>
    <w:p>
      <w:pPr>
        <w:pStyle w:val="Heading2"/>
      </w:pPr>
      <w:r>
        <w:t xml:space="preserve">8.4 Why</w:t>
      </w:r>
      <w:r>
        <w:t xml:space="preserve"> </w:t>
      </w:r>
      <w:r>
        <w:t xml:space="preserve">“outcome-blind”</w:t>
      </w:r>
      <w:r>
        <w:t xml:space="preserve"> </w:t>
      </w:r>
      <w:r>
        <w:t xml:space="preserve">matters here</w:t>
      </w:r>
    </w:p>
    <w:p>
      <w:pPr>
        <w:pStyle w:val="FirstParagraph"/>
      </w:pPr>
      <w:r>
        <w:t xml:space="preserve">The plasmode generator and DQ stress test use</w:t>
      </w:r>
      <w:r>
        <w:t xml:space="preserve"> </w:t>
      </w:r>
      <w:r>
        <w:rPr>
          <w:b/>
          <w:bCs/>
        </w:rPr>
        <w:t xml:space="preserve">all the data</w:t>
      </w:r>
      <w:r>
        <w:rPr>
          <w:b/>
          <w:bCs/>
        </w:rPr>
        <w:t xml:space="preserve"> </w:t>
      </w:r>
      <w:r>
        <w:rPr>
          <w:b/>
          <w:bCs/>
        </w:rPr>
        <w:t xml:space="preserve">except the outcome</w:t>
      </w:r>
      <w:r>
        <w:t xml:space="preserve">: real baseline covariates</w:t>
      </w:r>
      <w:r>
        <w:t xml:space="preserve"> </w:t>
      </w:r>
      <m:oMath>
        <m:r>
          <m:t>W</m:t>
        </m:r>
      </m:oMath>
      <w:r>
        <w:t xml:space="preserve">, real treatment</w:t>
      </w:r>
      <w:r>
        <w:t xml:space="preserve"> </w:t>
      </w:r>
      <w:r>
        <w:t xml:space="preserve">assignment</w:t>
      </w:r>
      <w:r>
        <w:t xml:space="preserve"> </w:t>
      </w:r>
      <m:oMath>
        <m:r>
          <m:t>A</m:t>
        </m:r>
      </m:oMath>
      <w:r>
        <w:t xml:space="preserve">, real missingness indicators, real follow-up</w:t>
      </w:r>
      <w:r>
        <w:t xml:space="preserve"> </w:t>
      </w:r>
      <w:r>
        <w:t xml:space="preserve">intervals, but not the observed primary treatment-outcome</w:t>
      </w:r>
      <w:r>
        <w:t xml:space="preserve"> </w:t>
      </w:r>
      <w:r>
        <w:t xml:space="preserve">association. This phrasing, which we adopt from the FIORD</w:t>
      </w:r>
      <w:r>
        <w:t xml:space="preserve"> </w:t>
      </w:r>
      <w:r>
        <w:t xml:space="preserve">outcome-blind simulation literature</w:t>
      </w:r>
      <w:r>
        <w:t xml:space="preserve"> </w:t>
      </w:r>
      <w:r>
        <w:t xml:space="preserve">(Nance et al. 2026)</w:t>
      </w:r>
      <w:r>
        <w:t xml:space="preserve">, states the</w:t>
      </w:r>
      <w:r>
        <w:t xml:space="preserve"> </w:t>
      </w:r>
      <w:r>
        <w:t xml:space="preserve">admissibility condition directly. Every input to the candidate</w:t>
      </w:r>
      <w:r>
        <w:t xml:space="preserve"> </w:t>
      </w:r>
      <w:r>
        <w:t xml:space="preserve">evaluation is drawn from the study data except the comparative</w:t>
      </w:r>
      <w:r>
        <w:t xml:space="preserve"> </w:t>
      </w:r>
      <w:r>
        <w:t xml:space="preserve">quantity the analysis is supposed to estimate. Depending on</w:t>
      </w:r>
      <w:r>
        <w:t xml:space="preserve"> </w:t>
      </w:r>
      <w:r>
        <w:t xml:space="preserve">configured mode, the plasmode generator may use the marginal</w:t>
      </w:r>
      <w:r>
        <w:t xml:space="preserve"> </w:t>
      </w:r>
      <w:r>
        <w:t xml:space="preserve">outcome model</w:t>
      </w:r>
      <w:r>
        <w:t xml:space="preserve"> </w:t>
      </w:r>
      <m:oMath>
        <m:r>
          <m:t>E</m:t>
        </m:r>
        <m:d>
          <m:dPr>
            <m:begChr m:val="["/>
            <m:endChr m:val="]"/>
            <m:sepChr m:val=""/>
            <m:grow/>
          </m:dPr>
          <m:e>
            <m:r>
              <m:t>Y</m:t>
            </m:r>
            <m:r>
              <m:rPr>
                <m:sty m:val="p"/>
              </m:rPr>
              <m:t>∣</m:t>
            </m:r>
            <m:r>
              <m:t>W</m:t>
            </m:r>
          </m:e>
        </m:d>
      </m:oMath>
      <w:r>
        <w:t xml:space="preserve"> </w:t>
      </w:r>
      <w:r>
        <w:t xml:space="preserve">(the</w:t>
      </w:r>
      <w:r>
        <w:t xml:space="preserve"> </w:t>
      </w:r>
      <w:r>
        <w:rPr>
          <w:i/>
          <w:iCs/>
        </w:rPr>
        <w:t xml:space="preserve">hybrid</w:t>
      </w:r>
      <w:r>
        <w:t xml:space="preserve"> </w:t>
      </w:r>
      <w:r>
        <w:t xml:space="preserve">mode that sits in the</w:t>
      </w:r>
      <w:r>
        <w:t xml:space="preserve"> </w:t>
      </w:r>
      <w:r>
        <w:t xml:space="preserve">middle of the FIORD DGP spectrum), or it may take</w:t>
      </w:r>
      <w:r>
        <w:t xml:space="preserve"> </w:t>
      </w:r>
      <m:oMath>
        <m:r>
          <m:t>E</m:t>
        </m:r>
        <m:d>
          <m:dPr>
            <m:begChr m:val="["/>
            <m:endChr m:val="]"/>
            <m:sepChr m:val=""/>
            <m:grow/>
          </m:dPr>
          <m:e>
            <m:r>
              <m:t>Y</m:t>
            </m:r>
            <m:r>
              <m:rPr>
                <m:sty m:val="p"/>
              </m:rPr>
              <m:t>∣</m:t>
            </m:r>
            <m:r>
              <m:t>W</m:t>
            </m:r>
          </m:e>
        </m:d>
      </m:oMath>
      <w:r>
        <w:t xml:space="preserve"> </w:t>
      </w:r>
      <w:r>
        <w:t xml:space="preserve">from external pilot data, with the joint</w:t>
      </w:r>
      <w:r>
        <w:t xml:space="preserve"> </w:t>
      </w:r>
      <m:oMath>
        <m:d>
          <m:dPr>
            <m:begChr m:val="("/>
            <m:endChr m:val=")"/>
            <m:sepChr m:val=""/>
            <m:grow/>
          </m:dPr>
          <m:e>
            <m:r>
              <m:t>A</m:t>
            </m:r>
            <m:r>
              <m:rPr>
                <m:sty m:val="p"/>
              </m:rPr>
              <m:t>,</m:t>
            </m:r>
            <m:r>
              <m:t>Y</m:t>
            </m:r>
          </m:e>
        </m:d>
        <m:r>
          <m:rPr>
            <m:sty m:val="p"/>
          </m:rPr>
          <m:t>∣</m:t>
        </m:r>
        <m:r>
          <m:t>W</m:t>
        </m:r>
      </m:oMath>
      <w:r>
        <w:t xml:space="preserve"> </w:t>
      </w:r>
      <w:r>
        <w:t xml:space="preserve">relationship never inspected</w:t>
      </w:r>
      <w:r>
        <w:t xml:space="preserve"> </w:t>
      </w:r>
      <w:r>
        <w:t xml:space="preserve">(Dang et al. 2023, 7)</w:t>
      </w:r>
      <w:r>
        <w:t xml:space="preserve">. This is the property that makes the test</w:t>
      </w:r>
      <w:r>
        <w:t xml:space="preserve"> </w:t>
      </w:r>
      <w:r>
        <w:t xml:space="preserve">admissible inside the prespecification: the analyst can iterate on</w:t>
      </w:r>
      <w:r>
        <w:t xml:space="preserve"> </w:t>
      </w:r>
      <w:r>
        <w:t xml:space="preserve">the prespecified set of candidate estimators, on the degradation</w:t>
      </w:r>
      <w:r>
        <w:t xml:space="preserve"> </w:t>
      </w:r>
      <w:r>
        <w:t xml:space="preserve">parameters, and on the decision thresholds without learning the</w:t>
      </w:r>
      <w:r>
        <w:t xml:space="preserve"> </w:t>
      </w:r>
      <w:r>
        <w:t xml:space="preserve">observed treatment-outcome association in the actual study data. The analysis-lock fingerprint</w:t>
      </w:r>
      <w:r>
        <w:t xml:space="preserve"> </w:t>
      </w:r>
      <w:r>
        <w:t xml:space="preserve">records the final choices. Once the prespecified workflow has been</w:t>
      </w:r>
      <w:r>
        <w:t xml:space="preserve"> </w:t>
      </w:r>
      <w:r>
        <w:t xml:space="preserve">completed, the outcome is unmasked and the primary analysis is</w:t>
      </w:r>
      <w:r>
        <w:t xml:space="preserve"> </w:t>
      </w:r>
      <w:r>
        <w:t xml:space="preserve">run.</w:t>
      </w:r>
    </w:p>
    <w:bookmarkEnd w:id="63"/>
    <w:bookmarkStart w:id="64" w:name="sec-guarantees"/>
    <w:p>
      <w:pPr>
        <w:pStyle w:val="Heading2"/>
      </w:pPr>
      <w:r>
        <w:t xml:space="preserve">8.5 What passing the screen does and does not establish</w:t>
      </w:r>
    </w:p>
    <w:p>
      <w:pPr>
        <w:pStyle w:val="FirstParagraph"/>
      </w:pPr>
      <w:r>
        <w:t xml:space="preserve">The screen is a heuristic, not a guarantee, and it is worth stating its</w:t>
      </w:r>
      <w:r>
        <w:t xml:space="preserve"> </w:t>
      </w:r>
      <w:r>
        <w:t xml:space="preserve">epistemic status precisely. Passing the DQ stress test establishes only</w:t>
      </w:r>
      <w:r>
        <w:t xml:space="preserve"> </w:t>
      </w:r>
      <w:r>
        <w:t xml:space="preserve">that,</w:t>
      </w:r>
      <w:r>
        <w:t xml:space="preserve"> </w:t>
      </w:r>
      <w:r>
        <w:rPr>
          <w:i/>
          <w:iCs/>
        </w:rPr>
        <w:t xml:space="preserve">under the analyst’s synthetic-outcome model and over the</w:t>
      </w:r>
      <w:r>
        <w:rPr>
          <w:i/>
          <w:iCs/>
        </w:rPr>
        <w:t xml:space="preserve"> </w:t>
      </w:r>
      <w:r>
        <w:rPr>
          <w:i/>
          <w:iCs/>
        </w:rPr>
        <w:t xml:space="preserve">prespecified range of each threat</w:t>
      </w:r>
      <w:r>
        <w:t xml:space="preserve">, the locked candidate maintained bias,</w:t>
      </w:r>
      <w:r>
        <w:t xml:space="preserve"> </w:t>
      </w:r>
      <w:r>
        <w:t xml:space="preserve">coverage, and SE calibration within the prespecified thresholds. It does</w:t>
      </w:r>
      <w:r>
        <w:t xml:space="preserve"> </w:t>
      </w:r>
      <w:r>
        <w:t xml:space="preserve">not establish that the identification assumptions hold, that the data are</w:t>
      </w:r>
      <w:r>
        <w:t xml:space="preserve"> </w:t>
      </w:r>
      <w:r>
        <w:t xml:space="preserve">fit for purpose, or that the realised estimator will behave as the</w:t>
      </w:r>
      <w:r>
        <w:t xml:space="preserve"> </w:t>
      </w:r>
      <w:r>
        <w:t xml:space="preserve">synthetic one did. Three caveats follow directly. First, the screen can</w:t>
      </w:r>
      <w:r>
        <w:t xml:space="preserve"> </w:t>
      </w:r>
      <w:r>
        <w:t xml:space="preserve">only score threats the analyst names: a confounder, a misclassification</w:t>
      </w:r>
      <w:r>
        <w:t xml:space="preserve"> </w:t>
      </w:r>
      <w:r>
        <w:t xml:space="preserve">pattern, or a missingness mechanism that is not anticipated, or is</w:t>
      </w:r>
      <w:r>
        <w:t xml:space="preserve"> </w:t>
      </w:r>
      <w:r>
        <w:t xml:space="preserve">specified at too mild a severity, is not detected, so a STOP is evidence</w:t>
      </w:r>
      <w:r>
        <w:t xml:space="preserve"> </w:t>
      </w:r>
      <w:r>
        <w:t xml:space="preserve">of fragility but a GO is not evidence of robustness. Second, the</w:t>
      </w:r>
      <w:r>
        <w:t xml:space="preserve"> </w:t>
      </w:r>
      <w:r>
        <w:t xml:space="preserve">conclusions are conditional on the synthetic-outcome model; if that model</w:t>
      </w:r>
      <w:r>
        <w:t xml:space="preserve"> </w:t>
      </w:r>
      <w:r>
        <w:t xml:space="preserve">misrepresents the covariate-outcome surface (for example by omitting</w:t>
      </w:r>
      <w:r>
        <w:t xml:space="preserve"> </w:t>
      </w:r>
      <w:r>
        <w:t xml:space="preserve">effect modification), the simulated operating characteristics can be</w:t>
      </w:r>
      <w:r>
        <w:t xml:space="preserve"> </w:t>
      </w:r>
      <w:r>
        <w:t xml:space="preserve">optimistic, which is why we report the screen’s calibration under a</w:t>
      </w:r>
      <w:r>
        <w:t xml:space="preserve"> </w:t>
      </w:r>
      <w:r>
        <w:t xml:space="preserve">misspecified model in</w:t>
      </w:r>
      <w:r>
        <w:t xml:space="preserve"> </w:t>
      </w:r>
      <w:hyperlink w:anchor="sec-gate-oc">
        <w:r>
          <w:rPr>
            <w:rStyle w:val="Hyperlink"/>
          </w:rPr>
          <w:t xml:space="preserve">Section 11</w:t>
        </w:r>
      </w:hyperlink>
      <w:r>
        <w:t xml:space="preserve"> </w:t>
      </w:r>
      <w:r>
        <w:t xml:space="preserve">and recommend fitting the</w:t>
      </w:r>
      <w:r>
        <w:t xml:space="preserve"> </w:t>
      </w:r>
      <w:r>
        <w:t xml:space="preserve">synthetic-outcome model with a SuperLearner library rather than a single</w:t>
      </w:r>
      <w:r>
        <w:t xml:space="preserve"> </w:t>
      </w:r>
      <w:r>
        <w:t xml:space="preserve">GLM. Third, the screen is a</w:t>
      </w:r>
      <w:r>
        <w:t xml:space="preserve"> </w:t>
      </w:r>
      <w:r>
        <w:rPr>
          <w:i/>
          <w:iCs/>
        </w:rPr>
        <w:t xml:space="preserve">pre-outcome</w:t>
      </w:r>
      <w:r>
        <w:t xml:space="preserve"> </w:t>
      </w:r>
      <w:r>
        <w:t xml:space="preserve">device; it complements, and does</w:t>
      </w:r>
      <w:r>
        <w:t xml:space="preserve"> </w:t>
      </w:r>
      <w:r>
        <w:t xml:space="preserve">not replace, the at-outcome negative-control check and the post-outcome</w:t>
      </w:r>
      <w:r>
        <w:t xml:space="preserve"> </w:t>
      </w:r>
      <w:r>
        <w:t xml:space="preserve">sensitivity analyses (E-value, quantitative bias analysis, causal-gap)</w:t>
      </w:r>
      <w:r>
        <w:t xml:space="preserve"> </w:t>
      </w:r>
      <w:r>
        <w:t xml:space="preserve">that interrogate the realised estimate. We therefore read a passing screen</w:t>
      </w:r>
      <w:r>
        <w:t xml:space="preserve"> </w:t>
      </w:r>
      <w:r>
        <w:t xml:space="preserve">as a necessary, prespecified, and reproducible filter, not as a</w:t>
      </w:r>
      <w:r>
        <w:t xml:space="preserve"> </w:t>
      </w:r>
      <w:r>
        <w:t xml:space="preserve">certificate of validity.</w:t>
      </w:r>
    </w:p>
    <w:bookmarkEnd w:id="64"/>
    <w:bookmarkEnd w:id="65"/>
    <w:bookmarkStart w:id="71" w:name="sec-implementation"/>
    <w:p>
      <w:pPr>
        <w:pStyle w:val="Heading1"/>
      </w:pPr>
      <w:r>
        <w:t xml:space="preserve">9. Implementation and</w:t>
      </w:r>
      <w:r>
        <w:t xml:space="preserve"> </w:t>
      </w:r>
      <w:r>
        <w:rPr>
          <w:rStyle w:val="VerbatimChar"/>
        </w:rPr>
        <w:t xml:space="preserve">run_plasmode_dq_stress()</w:t>
      </w:r>
    </w:p>
    <w:bookmarkStart w:id="66" w:name="a-worked-workflow"/>
    <w:p>
      <w:pPr>
        <w:pStyle w:val="Heading2"/>
      </w:pPr>
      <w:r>
        <w:t xml:space="preserve">9.1 A worked workflow</w:t>
      </w:r>
    </w:p>
    <w:p>
      <w:pPr>
        <w:pStyle w:val="FirstParagraph"/>
      </w:pPr>
      <w:r>
        <w:t xml:space="preserve">A typical cleanTMLE session for a binary point-treatment endpoint</w:t>
      </w:r>
      <w:r>
        <w:t xml:space="preserve"> </w:t>
      </w:r>
      <w:r>
        <w:t xml:space="preserve">looks like the following. We omit print output for compactness;</w:t>
      </w:r>
      <w:r>
        <w:t xml:space="preserve"> </w:t>
      </w:r>
      <w:r>
        <w:t xml:space="preserve">each print method is documented in</w:t>
      </w:r>
      <w:r>
        <w:t xml:space="preserve"> </w:t>
      </w:r>
      <w:r>
        <w:rPr>
          <w:rStyle w:val="VerbatimChar"/>
        </w:rPr>
        <w:t xml:space="preserve">?print.cleanroom_lock</w:t>
      </w:r>
      <w:r>
        <w:t xml:space="preserve"> </w:t>
      </w:r>
      <w:r>
        <w:t xml:space="preserve">and the</w:t>
      </w:r>
      <w:r>
        <w:t xml:space="preserve"> </w:t>
      </w:r>
      <w:r>
        <w:t xml:space="preserve">related help pages.</w:t>
      </w:r>
    </w:p>
    <w:p>
      <w:pPr>
        <w:pStyle w:val="BodyText"/>
      </w:pPr>
      <w:r>
        <w:t xml:space="preserve">Before Stage 1b, the package’s</w:t>
      </w:r>
      <w:r>
        <w:t xml:space="preserve"> </w:t>
      </w:r>
      <w:r>
        <w:rPr>
          <w:rStyle w:val="VerbatimChar"/>
        </w:rPr>
        <w:t xml:space="preserve">attrition_table()</w:t>
      </w:r>
      <w:r>
        <w:t xml:space="preserve"> </w:t>
      </w:r>
      <w:r>
        <w:t xml:space="preserve">provides a</w:t>
      </w:r>
      <w:r>
        <w:t xml:space="preserve"> </w:t>
      </w:r>
      <w:r>
        <w:t xml:space="preserve">code-level ledger of inclusion and exclusion criteria, producing</w:t>
      </w:r>
      <w:r>
        <w:t xml:space="preserve"> </w:t>
      </w:r>
      <w:r>
        <w:t xml:space="preserve">a CONSORT-style flow from the raw source table to the analytic</w:t>
      </w:r>
      <w:r>
        <w:t xml:space="preserve"> </w:t>
      </w:r>
      <w:r>
        <w:t xml:space="preserve">cohort. Recording attrition this way anchors the locked cohort</w:t>
      </w:r>
      <w:r>
        <w:t xml:space="preserve"> </w:t>
      </w:r>
      <w:r>
        <w:t xml:space="preserve">definition to its data-driven realisation and gives the Stage 1b</w:t>
      </w:r>
      <w:r>
        <w:t xml:space="preserve"> </w:t>
      </w:r>
      <w:r>
        <w:t xml:space="preserve">cohort-adequacy checkpoint a reproducible source.</w:t>
      </w:r>
    </w:p>
    <w:p>
      <w:pPr>
        <w:pStyle w:val="SourceCode"/>
      </w:pPr>
      <w:r>
        <w:rPr>
          <w:rStyle w:val="FunctionTok"/>
        </w:rPr>
        <w:t xml:space="preserve">library</w:t>
      </w:r>
      <w:r>
        <w:rPr>
          <w:rStyle w:val="NormalTok"/>
        </w:rPr>
        <w:t xml:space="preserve">(cleanTMLE)</w:t>
      </w:r>
      <w:r>
        <w:br/>
      </w:r>
      <w:r>
        <w:br/>
      </w:r>
      <w:r>
        <w:rPr>
          <w:rStyle w:val="CommentTok"/>
        </w:rPr>
        <w:t xml:space="preserve"># Stage 1a: lock the analytic specification, mask the outcome, and</w:t>
      </w:r>
      <w:r>
        <w:br/>
      </w:r>
      <w:r>
        <w:rPr>
          <w:rStyle w:val="CommentTok"/>
        </w:rPr>
        <w:t xml:space="preserve"># declare the estimand ladder. The estimand here is the marginal risk</w:t>
      </w:r>
      <w:r>
        <w:br/>
      </w:r>
      <w:r>
        <w:rPr>
          <w:rStyle w:val="CommentTok"/>
        </w:rPr>
        <w:t xml:space="preserve"># difference for the primary event by 24 months.</w:t>
      </w:r>
      <w:r>
        <w:br/>
      </w:r>
      <w:r>
        <w:rPr>
          <w:rStyle w:val="NormalTok"/>
        </w:rPr>
        <w:t xml:space="preserve">lock </w:t>
      </w:r>
      <w:r>
        <w:rPr>
          <w:rStyle w:val="OtherTok"/>
        </w:rPr>
        <w:t xml:space="preserve">&lt;-</w:t>
      </w:r>
      <w:r>
        <w:rPr>
          <w:rStyle w:val="NormalTok"/>
        </w:rPr>
        <w:t xml:space="preserve"> </w:t>
      </w:r>
      <w:r>
        <w:rPr>
          <w:rStyle w:val="FunctionTok"/>
        </w:rPr>
        <w:t xml:space="preserve">create_analysis_lock</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treatment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"event_24"</w:t>
      </w:r>
      <w:r>
        <w:rPr>
          <w:rStyle w:val="NormalTok"/>
        </w:rPr>
        <w:t xml:space="preserve">,</w:t>
      </w:r>
      <w:r>
        <w:br/>
      </w:r>
      <w:r>
        <w:rPr>
          <w:rStyle w:val="NormalTok"/>
        </w:rPr>
        <w:t xml:space="preserve">  </w:t>
      </w:r>
      <w:r>
        <w:rPr>
          <w:rStyle w:val="AttributeTok"/>
        </w:rPr>
        <w:t xml:space="preserve">covariates  =</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"biomarker"</w:t>
      </w:r>
      <w:r>
        <w:rPr>
          <w:rStyle w:val="NormalTok"/>
        </w:rPr>
        <w:t xml:space="preserve">, </w:t>
      </w:r>
      <w:r>
        <w:rPr>
          <w:rStyle w:val="StringTok"/>
        </w:rPr>
        <w:t xml:space="preserve">"comorbidity"</w:t>
      </w:r>
      <w:r>
        <w:rPr>
          <w:rStyle w:val="NormalTok"/>
        </w:rPr>
        <w:t xml:space="preserve">, </w:t>
      </w:r>
      <w:r>
        <w:rPr>
          <w:rStyle w:val="StringTok"/>
        </w:rPr>
        <w:t xml:space="preserve">"ckd"</w:t>
      </w:r>
      <w:r>
        <w:rPr>
          <w:rStyle w:val="NormalTok"/>
        </w:rPr>
        <w:t xml:space="preserve">),</w:t>
      </w:r>
      <w:r>
        <w:br/>
      </w:r>
      <w:r>
        <w:rPr>
          <w:rStyle w:val="NormalTok"/>
        </w:rPr>
        <w:t xml:space="preserve">  </w:t>
      </w:r>
      <w:r>
        <w:rPr>
          <w:rStyle w:val="AttributeTok"/>
        </w:rPr>
        <w:t xml:space="preserve">sl_library  =</w:t>
      </w:r>
      <w:r>
        <w:rPr>
          <w:rStyle w:val="NormalTok"/>
        </w:rPr>
        <w:t xml:space="preserve"> </w:t>
      </w:r>
      <w:r>
        <w:rPr>
          <w:rStyle w:val="FunctionTok"/>
        </w:rPr>
        <w:t xml:space="preserve">c</w:t>
      </w:r>
      <w:r>
        <w:rPr>
          <w:rStyle w:val="NormalTok"/>
        </w:rPr>
        <w:t xml:space="preserve">(</w:t>
      </w:r>
      <w:r>
        <w:rPr>
          <w:rStyle w:val="StringTok"/>
        </w:rPr>
        <w:t xml:space="preserve">"SL.glm"</w:t>
      </w:r>
      <w:r>
        <w:rPr>
          <w:rStyle w:val="NormalTok"/>
        </w:rPr>
        <w:t xml:space="preserve">, </w:t>
      </w:r>
      <w:r>
        <w:rPr>
          <w:rStyle w:val="StringTok"/>
        </w:rPr>
        <w:t xml:space="preserve">"SL.glmnet"</w:t>
      </w:r>
      <w:r>
        <w:rPr>
          <w:rStyle w:val="NormalTok"/>
        </w:rPr>
        <w:t xml:space="preserve">, </w:t>
      </w:r>
      <w:r>
        <w:rPr>
          <w:rStyle w:val="StringTok"/>
        </w:rPr>
        <w:t xml:space="preserve">"SL.ranger"</w:t>
      </w:r>
      <w:r>
        <w:rPr>
          <w:rStyle w:val="NormalTok"/>
        </w:rPr>
        <w:t xml:space="preserve">),</w:t>
      </w:r>
      <w:r>
        <w:br/>
      </w:r>
      <w:r>
        <w:rPr>
          <w:rStyle w:val="NormalTok"/>
        </w:rPr>
        <w:t xml:space="preserve">  </w:t>
      </w:r>
      <w:r>
        <w:rPr>
          <w:rStyle w:val="AttributeTok"/>
        </w:rPr>
        <w:t xml:space="preserve">negative_controls =</w:t>
      </w:r>
      <w:r>
        <w:rPr>
          <w:rStyle w:val="NormalTok"/>
        </w:rPr>
        <w:t xml:space="preserve"> </w:t>
      </w:r>
      <w:r>
        <w:rPr>
          <w:rStyle w:val="StringTok"/>
        </w:rPr>
        <w:t xml:space="preserve">"nc_outcome"</w:t>
      </w:r>
      <w:r>
        <w:rPr>
          <w:rStyle w:val="NormalTok"/>
        </w:rPr>
        <w:t xml:space="preserve">,</w:t>
      </w:r>
      <w:r>
        <w:br/>
      </w:r>
      <w:r>
        <w:rPr>
          <w:rStyle w:val="NormalTok"/>
        </w:rPr>
        <w:t xml:space="preserve">  </w:t>
      </w:r>
      <w:r>
        <w:rPr>
          <w:rStyle w:val="AttributeTok"/>
        </w:rPr>
        <w:t xml:space="preserve">mask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2026</w:t>
      </w:r>
      <w:r>
        <w:br/>
      </w:r>
      <w:r>
        <w:rPr>
          <w:rStyle w:val="NormalTok"/>
        </w:rPr>
        <w:t xml:space="preserve">)</w:t>
      </w:r>
      <w:r>
        <w:br/>
      </w:r>
      <w:r>
        <w:rPr>
          <w:rStyle w:val="NormalTok"/>
        </w:rPr>
        <w:t xml:space="preserve">lock </w:t>
      </w:r>
      <w:r>
        <w:rPr>
          <w:rStyle w:val="OtherTok"/>
        </w:rPr>
        <w:t xml:space="preserve">&lt;-</w:t>
      </w:r>
      <w:r>
        <w:rPr>
          <w:rStyle w:val="NormalTok"/>
        </w:rPr>
        <w:t xml:space="preserve"> </w:t>
      </w:r>
      <w:r>
        <w:rPr>
          <w:rStyle w:val="FunctionTok"/>
        </w:rPr>
        <w:t xml:space="preserve">declare_estimand_ladder</w:t>
      </w:r>
      <w:r>
        <w:rPr>
          <w:rStyle w:val="NormalTok"/>
        </w:rPr>
        <w:t xml:space="preserve">(lock, </w:t>
      </w:r>
      <w:r>
        <w:rPr>
          <w:rStyle w:val="AttributeTok"/>
        </w:rPr>
        <w:t xml:space="preserve">primary =</w:t>
      </w:r>
      <w:r>
        <w:rPr>
          <w:rStyle w:val="NormalTok"/>
        </w:rPr>
        <w:t xml:space="preserve"> </w:t>
      </w:r>
      <w:r>
        <w:rPr>
          <w:rStyle w:val="StringTok"/>
        </w:rPr>
        <w:t xml:space="preserve">"ATE"</w:t>
      </w:r>
      <w:r>
        <w:rPr>
          <w:rStyle w:val="NormalTok"/>
        </w:rPr>
        <w:t xml:space="preserve">,</w:t>
      </w:r>
      <w:r>
        <w:br/>
      </w:r>
      <w:r>
        <w:rPr>
          <w:rStyle w:val="NormalTok"/>
        </w:rPr>
        <w:t xml:space="preserve">                                </w:t>
      </w:r>
      <w:r>
        <w:rPr>
          <w:rStyle w:val="AttributeTok"/>
        </w:rPr>
        <w:t xml:space="preserve">fallbacks =</w:t>
      </w:r>
      <w:r>
        <w:rPr>
          <w:rStyle w:val="NormalTok"/>
        </w:rPr>
        <w:t xml:space="preserve"> </w:t>
      </w:r>
      <w:r>
        <w:rPr>
          <w:rStyle w:val="FunctionTok"/>
        </w:rPr>
        <w:t xml:space="preserve">c</w:t>
      </w:r>
      <w:r>
        <w:rPr>
          <w:rStyle w:val="NormalTok"/>
        </w:rPr>
        <w:t xml:space="preserve">(</w:t>
      </w:r>
      <w:r>
        <w:rPr>
          <w:rStyle w:val="StringTok"/>
        </w:rPr>
        <w:t xml:space="preserve">"trimmed_ATE"</w:t>
      </w:r>
      <w:r>
        <w:rPr>
          <w:rStyle w:val="NormalTok"/>
        </w:rPr>
        <w:t xml:space="preserve">, </w:t>
      </w:r>
      <w:r>
        <w:rPr>
          <w:rStyle w:val="StringTok"/>
        </w:rPr>
        <w:t xml:space="preserve">"ATT"</w:t>
      </w:r>
      <w:r>
        <w:rPr>
          <w:rStyle w:val="NormalTok"/>
        </w:rPr>
        <w:t xml:space="preserve">, </w:t>
      </w:r>
      <w:r>
        <w:rPr>
          <w:rStyle w:val="StringTok"/>
        </w:rPr>
        <w:t xml:space="preserve">"ATO"</w:t>
      </w:r>
      <w:r>
        <w:rPr>
          <w:rStyle w:val="NormalTok"/>
        </w:rPr>
        <w:t xml:space="preserve">),</w:t>
      </w:r>
      <w:r>
        <w:br/>
      </w:r>
      <w:r>
        <w:rPr>
          <w:rStyle w:val="NormalTok"/>
        </w:rPr>
        <w:t xml:space="preserve">                                </w:t>
      </w:r>
      <w:r>
        <w:rPr>
          <w:rStyle w:val="AttributeTok"/>
        </w:rPr>
        <w:t xml:space="preserve">trigger   =</w:t>
      </w:r>
      <w:r>
        <w:rPr>
          <w:rStyle w:val="NormalTok"/>
        </w:rPr>
        <w:t xml:space="preserve"> </w:t>
      </w:r>
      <w:r>
        <w:rPr>
          <w:rStyle w:val="StringTok"/>
        </w:rPr>
        <w:t xml:space="preserve">"SEVERE"</w:t>
      </w:r>
      <w:r>
        <w:rPr>
          <w:rStyle w:val="NormalTok"/>
        </w:rPr>
        <w:t xml:space="preserve">)</w:t>
      </w:r>
      <w:r>
        <w:br/>
      </w:r>
      <w:r>
        <w:br/>
      </w:r>
      <w:r>
        <w:rPr>
          <w:rStyle w:val="CommentTok"/>
        </w:rPr>
        <w:t xml:space="preserve"># Stage 1b: attrition ledger, then design precision and event support</w:t>
      </w:r>
      <w:r>
        <w:br/>
      </w:r>
      <w:r>
        <w:rPr>
          <w:rStyle w:val="CommentTok"/>
        </w:rPr>
        <w:t xml:space="preserve"># (marginal event counts only).</w:t>
      </w:r>
      <w:r>
        <w:br/>
      </w:r>
      <w:r>
        <w:rPr>
          <w:rStyle w:val="FunctionTok"/>
        </w:rPr>
        <w:t xml:space="preserve">attrition_table</w:t>
      </w:r>
      <w:r>
        <w:rPr>
          <w:rStyle w:val="NormalTok"/>
        </w:rPr>
        <w:t xml:space="preserve">(raw_data, </w:t>
      </w:r>
      <w:r>
        <w:rPr>
          <w:rStyle w:val="AttributeTok"/>
        </w:rPr>
        <w:t xml:space="preserve">criteria =</w:t>
      </w:r>
      <w:r>
        <w:rPr>
          <w:rStyle w:val="NormalTok"/>
        </w:rPr>
        <w:t xml:space="preserve"> eligibility_criteria)</w:t>
      </w:r>
      <w:r>
        <w:br/>
      </w:r>
      <w:r>
        <w:rPr>
          <w:rStyle w:val="NormalTok"/>
        </w:rPr>
        <w:t xml:space="preserve">prec </w:t>
      </w:r>
      <w:r>
        <w:rPr>
          <w:rStyle w:val="OtherTok"/>
        </w:rPr>
        <w:t xml:space="preserve">&lt;-</w:t>
      </w:r>
      <w:r>
        <w:rPr>
          <w:rStyle w:val="NormalTok"/>
        </w:rPr>
        <w:t xml:space="preserve"> </w:t>
      </w:r>
      <w:r>
        <w:rPr>
          <w:rStyle w:val="FunctionTok"/>
        </w:rPr>
        <w:t xml:space="preserve">estimate_design_precision</w:t>
      </w:r>
      <w:r>
        <w:rPr>
          <w:rStyle w:val="NormalTok"/>
        </w:rPr>
        <w:t xml:space="preserve">(lock)</w:t>
      </w:r>
      <w:r>
        <w:br/>
      </w:r>
      <w:r>
        <w:br/>
      </w:r>
      <w:r>
        <w:rPr>
          <w:rStyle w:val="CommentTok"/>
        </w:rPr>
        <w:t xml:space="preserve"># Stage 2a: propensity fit, support verdict, per-estimand feasibility.</w:t>
      </w:r>
      <w:r>
        <w:br/>
      </w:r>
      <w:r>
        <w:rPr>
          <w:rStyle w:val="NormalTok"/>
        </w:rPr>
        <w:t xml:space="preserve">ps  </w:t>
      </w:r>
      <w:r>
        <w:rPr>
          <w:rStyle w:val="OtherTok"/>
        </w:rPr>
        <w:t xml:space="preserve">&lt;-</w:t>
      </w:r>
      <w:r>
        <w:rPr>
          <w:rStyle w:val="NormalTok"/>
        </w:rPr>
        <w:t xml:space="preserve"> </w:t>
      </w:r>
      <w:r>
        <w:rPr>
          <w:rStyle w:val="FunctionTok"/>
        </w:rPr>
        <w:t xml:space="preserve">fit_ps</w:t>
      </w:r>
      <w:r>
        <w:rPr>
          <w:rStyle w:val="NormalTok"/>
        </w:rPr>
        <w:t xml:space="preserve">(lock)</w:t>
      </w:r>
      <w:r>
        <w:br/>
      </w:r>
      <w:r>
        <w:rPr>
          <w:rStyle w:val="NormalTok"/>
        </w:rPr>
        <w:t xml:space="preserve">sup </w:t>
      </w:r>
      <w:r>
        <w:rPr>
          <w:rStyle w:val="OtherTok"/>
        </w:rPr>
        <w:t xml:space="preserve">&lt;-</w:t>
      </w:r>
      <w:r>
        <w:rPr>
          <w:rStyle w:val="NormalTok"/>
        </w:rPr>
        <w:t xml:space="preserve"> </w:t>
      </w:r>
      <w:r>
        <w:rPr>
          <w:rStyle w:val="FunctionTok"/>
        </w:rPr>
        <w:t xml:space="preserve">assess_support</w:t>
      </w:r>
      <w:r>
        <w:rPr>
          <w:rStyle w:val="NormalTok"/>
        </w:rPr>
        <w:t xml:space="preserve">(ps)          </w:t>
      </w:r>
      <w:r>
        <w:rPr>
          <w:rStyle w:val="CommentTok"/>
        </w:rPr>
        <w:t xml:space="preserve"># verdict + balance SMD table</w:t>
      </w:r>
      <w:r>
        <w:br/>
      </w:r>
      <w:r>
        <w:rPr>
          <w:rStyle w:val="NormalTok"/>
        </w:rPr>
        <w:t xml:space="preserve">fea </w:t>
      </w:r>
      <w:r>
        <w:rPr>
          <w:rStyle w:val="OtherTok"/>
        </w:rPr>
        <w:t xml:space="preserve">&lt;-</w:t>
      </w:r>
      <w:r>
        <w:rPr>
          <w:rStyle w:val="NormalTok"/>
        </w:rPr>
        <w:t xml:space="preserve"> </w:t>
      </w:r>
      <w:r>
        <w:rPr>
          <w:rStyle w:val="FunctionTok"/>
        </w:rPr>
        <w:t xml:space="preserve">estimand_feasibility</w:t>
      </w:r>
      <w:r>
        <w:rPr>
          <w:rStyle w:val="NormalTok"/>
        </w:rPr>
        <w:t xml:space="preserve">(ps)</w:t>
      </w:r>
      <w:r>
        <w:br/>
      </w:r>
      <w:r>
        <w:rPr>
          <w:rStyle w:val="FunctionTok"/>
        </w:rPr>
        <w:t xml:space="preserve">plot</w:t>
      </w:r>
      <w:r>
        <w:rPr>
          <w:rStyle w:val="NormalTok"/>
        </w:rPr>
        <w:t xml:space="preserve">(sup)                          </w:t>
      </w:r>
      <w:r>
        <w:rPr>
          <w:rStyle w:val="CommentTok"/>
        </w:rPr>
        <w:t xml:space="preserve"># mirrored propensity histogram</w:t>
      </w:r>
      <w:r>
        <w:br/>
      </w:r>
      <w:r>
        <w:rPr>
          <w:rStyle w:val="FunctionTok"/>
        </w:rPr>
        <w:t xml:space="preserve">love_plot</w:t>
      </w:r>
      <w:r>
        <w:rPr>
          <w:rStyle w:val="NormalTok"/>
        </w:rPr>
        <w:t xml:space="preserve">(sup)</w:t>
      </w:r>
      <w:r>
        <w:br/>
      </w:r>
      <w:r>
        <w:br/>
      </w:r>
      <w:r>
        <w:rPr>
          <w:rStyle w:val="CommentTok"/>
        </w:rPr>
        <w:t xml:space="preserve"># Stage 2b: outcome-blind support map and plasmode candidate selection.</w:t>
      </w:r>
      <w:r>
        <w:br/>
      </w:r>
      <w:r>
        <w:rPr>
          <w:rStyle w:val="CommentTok"/>
        </w:rPr>
        <w:t xml:space="preserve"># Candidate grid: GLM PS only (trunc = 0.01 and 0.05). SL.glmnet is</w:t>
      </w:r>
      <w:r>
        <w:br/>
      </w:r>
      <w:r>
        <w:rPr>
          <w:rStyle w:val="CommentTok"/>
        </w:rPr>
        <w:t xml:space="preserve"># excluded from the PS candidate grid because it produces runaway</w:t>
      </w:r>
      <w:r>
        <w:br/>
      </w:r>
      <w:r>
        <w:rPr>
          <w:rStyle w:val="CommentTok"/>
        </w:rPr>
        <w:t xml:space="preserve"># computation on the near-positivity-violation synthetic designs that</w:t>
      </w:r>
      <w:r>
        <w:br/>
      </w:r>
      <w:r>
        <w:rPr>
          <w:rStyle w:val="CommentTok"/>
        </w:rPr>
        <w:t xml:space="preserve"># the DQ stress test generates; GLM and regularised PS are</w:t>
      </w:r>
      <w:r>
        <w:br/>
      </w:r>
      <w:r>
        <w:rPr>
          <w:rStyle w:val="CommentTok"/>
        </w:rPr>
        <w:t xml:space="preserve"># near-equivalent on this DGP (@sec-simulation).</w:t>
      </w:r>
      <w:r>
        <w:br/>
      </w:r>
      <w:r>
        <w:rPr>
          <w:rStyle w:val="NormalTok"/>
        </w:rPr>
        <w:t xml:space="preserve">sim </w:t>
      </w:r>
      <w:r>
        <w:rPr>
          <w:rStyle w:val="OtherTok"/>
        </w:rPr>
        <w:t xml:space="preserve">&lt;-</w:t>
      </w:r>
      <w:r>
        <w:rPr>
          <w:rStyle w:val="NormalTok"/>
        </w:rPr>
        <w:t xml:space="preserve"> </w:t>
      </w:r>
      <w:r>
        <w:rPr>
          <w:rStyle w:val="FunctionTok"/>
        </w:rPr>
        <w:t xml:space="preserve">simulate_support</w:t>
      </w:r>
      <w:r>
        <w:rPr>
          <w:rStyle w:val="NormalTok"/>
        </w:rPr>
        <w:t xml:space="preserve">(lock, ps, </w:t>
      </w:r>
      <w:r>
        <w:rPr>
          <w:rStyle w:val="AttributeTok"/>
        </w:rPr>
        <w:t xml:space="preserve">reps =</w:t>
      </w:r>
      <w:r>
        <w:rPr>
          <w:rStyle w:val="NormalTok"/>
        </w:rPr>
        <w:t xml:space="preserve"> </w:t>
      </w:r>
      <w:r>
        <w:rPr>
          <w:rStyle w:val="DecValTok"/>
        </w:rPr>
        <w:t xml:space="preserve">200</w:t>
      </w:r>
      <w:r>
        <w:rPr>
          <w:rStyle w:val="NormalTok"/>
        </w:rPr>
        <w:t xml:space="preserve">)</w:t>
      </w:r>
      <w:r>
        <w:br/>
      </w:r>
      <w:r>
        <w:rPr>
          <w:rStyle w:val="NormalTok"/>
        </w:rPr>
        <w:t xml:space="preserve">candidates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tmle_candidate</w:t>
      </w:r>
      <w:r>
        <w:rPr>
          <w:rStyle w:val="NormalTok"/>
        </w:rPr>
        <w:t xml:space="preserve">(</w:t>
      </w:r>
      <w:r>
        <w:rPr>
          <w:rStyle w:val="StringTok"/>
        </w:rPr>
        <w:t xml:space="preserve">"glm_t01"</w:t>
      </w:r>
      <w:r>
        <w:rPr>
          <w:rStyle w:val="NormalTok"/>
        </w:rPr>
        <w:t xml:space="preserve">, </w:t>
      </w:r>
      <w:r>
        <w:rPr>
          <w:rStyle w:val="StringTok"/>
        </w:rPr>
        <w:t xml:space="preserve">"GLM PS, trunc=0.01"</w:t>
      </w:r>
      <w:r>
        <w:rPr>
          <w:rStyle w:val="NormalTok"/>
        </w:rPr>
        <w:t xml:space="preserve">,</w:t>
      </w:r>
      <w:r>
        <w:br/>
      </w:r>
      <w:r>
        <w:rPr>
          <w:rStyle w:val="NormalTok"/>
        </w:rPr>
        <w:t xml:space="preserve">                 </w:t>
      </w:r>
      <w:r>
        <w:rPr>
          <w:rStyle w:val="AttributeTok"/>
        </w:rPr>
        <w:t xml:space="preserve">g_library =</w:t>
      </w:r>
      <w:r>
        <w:rPr>
          <w:rStyle w:val="NormalTok"/>
        </w:rPr>
        <w:t xml:space="preserve"> </w:t>
      </w:r>
      <w:r>
        <w:rPr>
          <w:rStyle w:val="StringTok"/>
        </w:rPr>
        <w:t xml:space="preserve">"SL.glm"</w:t>
      </w:r>
      <w:r>
        <w:rPr>
          <w:rStyle w:val="NormalTok"/>
        </w:rPr>
        <w:t xml:space="preserve">, </w:t>
      </w:r>
      <w:r>
        <w:rPr>
          <w:rStyle w:val="AttributeTok"/>
        </w:rPr>
        <w:t xml:space="preserve">truncation =</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FunctionTok"/>
        </w:rPr>
        <w:t xml:space="preserve">tmle_candidate</w:t>
      </w:r>
      <w:r>
        <w:rPr>
          <w:rStyle w:val="NormalTok"/>
        </w:rPr>
        <w:t xml:space="preserve">(</w:t>
      </w:r>
      <w:r>
        <w:rPr>
          <w:rStyle w:val="StringTok"/>
        </w:rPr>
        <w:t xml:space="preserve">"glm_t05"</w:t>
      </w:r>
      <w:r>
        <w:rPr>
          <w:rStyle w:val="NormalTok"/>
        </w:rPr>
        <w:t xml:space="preserve">, </w:t>
      </w:r>
      <w:r>
        <w:rPr>
          <w:rStyle w:val="StringTok"/>
        </w:rPr>
        <w:t xml:space="preserve">"GLM PS, trunc=0.05"</w:t>
      </w:r>
      <w:r>
        <w:rPr>
          <w:rStyle w:val="NormalTok"/>
        </w:rPr>
        <w:t xml:space="preserve">,</w:t>
      </w:r>
      <w:r>
        <w:br/>
      </w:r>
      <w:r>
        <w:rPr>
          <w:rStyle w:val="NormalTok"/>
        </w:rPr>
        <w:t xml:space="preserve">                 </w:t>
      </w:r>
      <w:r>
        <w:rPr>
          <w:rStyle w:val="AttributeTok"/>
        </w:rPr>
        <w:t xml:space="preserve">g_library =</w:t>
      </w:r>
      <w:r>
        <w:rPr>
          <w:rStyle w:val="NormalTok"/>
        </w:rPr>
        <w:t xml:space="preserve"> </w:t>
      </w:r>
      <w:r>
        <w:rPr>
          <w:rStyle w:val="StringTok"/>
        </w:rPr>
        <w:t xml:space="preserve">"SL.glm"</w:t>
      </w:r>
      <w:r>
        <w:rPr>
          <w:rStyle w:val="NormalTok"/>
        </w:rPr>
        <w:t xml:space="preserve">, </w:t>
      </w:r>
      <w:r>
        <w:rPr>
          <w:rStyle w:val="AttributeTok"/>
        </w:rPr>
        <w:t xml:space="preserve">truncation =</w:t>
      </w:r>
      <w:r>
        <w:rPr>
          <w:rStyle w:val="NormalTok"/>
        </w:rPr>
        <w:t xml:space="preserve"> </w:t>
      </w:r>
      <w:r>
        <w:rPr>
          <w:rStyle w:val="FloatTok"/>
        </w:rPr>
        <w:t xml:space="preserve">0.05</w:t>
      </w:r>
      <w:r>
        <w:rPr>
          <w:rStyle w:val="NormalTok"/>
        </w:rPr>
        <w:t xml:space="preserve">)</w:t>
      </w:r>
      <w:r>
        <w:br/>
      </w:r>
      <w:r>
        <w:rPr>
          <w:rStyle w:val="NormalTok"/>
        </w:rPr>
        <w:t xml:space="preserve">)</w:t>
      </w:r>
      <w:r>
        <w:br/>
      </w:r>
      <w:r>
        <w:rPr>
          <w:rStyle w:val="NormalTok"/>
        </w:rPr>
        <w:t xml:space="preserve">plas </w:t>
      </w:r>
      <w:r>
        <w:rPr>
          <w:rStyle w:val="OtherTok"/>
        </w:rPr>
        <w:t xml:space="preserve">&lt;-</w:t>
      </w:r>
      <w:r>
        <w:rPr>
          <w:rStyle w:val="NormalTok"/>
        </w:rPr>
        <w:t xml:space="preserve"> </w:t>
      </w:r>
      <w:r>
        <w:rPr>
          <w:rStyle w:val="FunctionTok"/>
        </w:rPr>
        <w:t xml:space="preserve">run_plasmode_feasibility</w:t>
      </w:r>
      <w:r>
        <w:rPr>
          <w:rStyle w:val="NormalTok"/>
        </w:rPr>
        <w:t xml:space="preserve">(lock,</w:t>
      </w:r>
      <w:r>
        <w:br/>
      </w:r>
      <w:r>
        <w:rPr>
          <w:rStyle w:val="NormalTok"/>
        </w:rPr>
        <w:t xml:space="preserve">                                 </w:t>
      </w:r>
      <w:r>
        <w:rPr>
          <w:rStyle w:val="AttributeTok"/>
        </w:rPr>
        <w:t xml:space="preserve">tmle_candidates =</w:t>
      </w:r>
      <w:r>
        <w:rPr>
          <w:rStyle w:val="NormalTok"/>
        </w:rPr>
        <w:t xml:space="preserve"> candidates,</w:t>
      </w:r>
      <w:r>
        <w:br/>
      </w:r>
      <w:r>
        <w:rPr>
          <w:rStyle w:val="NormalTok"/>
        </w:rPr>
        <w:t xml:space="preserve">                                 </w:t>
      </w:r>
      <w:r>
        <w:rPr>
          <w:rStyle w:val="AttributeTok"/>
        </w:rPr>
        <w:t xml:space="preserve">effect_sizes    =</w:t>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reps            =</w:t>
      </w:r>
      <w:r>
        <w:rPr>
          <w:rStyle w:val="NormalTok"/>
        </w:rPr>
        <w:t xml:space="preserve"> </w:t>
      </w:r>
      <w:r>
        <w:rPr>
          <w:rStyle w:val="DecValTok"/>
        </w:rPr>
        <w:t xml:space="preserve">200</w:t>
      </w:r>
      <w:r>
        <w:rPr>
          <w:rStyle w:val="NormalTok"/>
        </w:rPr>
        <w:t xml:space="preserve">)</w:t>
      </w:r>
      <w:r>
        <w:br/>
      </w:r>
      <w:r>
        <w:br/>
      </w:r>
      <w:r>
        <w:rPr>
          <w:rStyle w:val="CommentTok"/>
        </w:rPr>
        <w:t xml:space="preserve"># Stage 2c: DQ stress test over prespecified threat scenarios.</w:t>
      </w:r>
      <w:r>
        <w:br/>
      </w:r>
      <w:r>
        <w:rPr>
          <w:rStyle w:val="NormalTok"/>
        </w:rPr>
        <w:t xml:space="preserve">dq_results </w:t>
      </w:r>
      <w:r>
        <w:rPr>
          <w:rStyle w:val="OtherTok"/>
        </w:rPr>
        <w:t xml:space="preserve">&lt;-</w:t>
      </w:r>
      <w:r>
        <w:rPr>
          <w:rStyle w:val="NormalTok"/>
        </w:rPr>
        <w:t xml:space="preserve"> </w:t>
      </w:r>
      <w:r>
        <w:rPr>
          <w:rStyle w:val="FunctionTok"/>
        </w:rPr>
        <w:t xml:space="preserve">run_plasmode_dq_stress</w:t>
      </w:r>
      <w:r>
        <w:rPr>
          <w:rStyle w:val="NormalTok"/>
        </w:rPr>
        <w:t xml:space="preserve">(lock,</w:t>
      </w:r>
      <w:r>
        <w:br/>
      </w:r>
      <w:r>
        <w:rPr>
          <w:rStyle w:val="NormalTok"/>
        </w:rPr>
        <w:t xml:space="preserve">  </w:t>
      </w:r>
      <w:r>
        <w:rPr>
          <w:rStyle w:val="AttributeTok"/>
        </w:rPr>
        <w:t xml:space="preserve">tmle_candidates =</w:t>
      </w:r>
      <w:r>
        <w:rPr>
          <w:rStyle w:val="NormalTok"/>
        </w:rPr>
        <w:t xml:space="preserve"> candidates,</w:t>
      </w:r>
      <w:r>
        <w:br/>
      </w:r>
      <w:r>
        <w:rPr>
          <w:rStyle w:val="NormalTok"/>
        </w:rPr>
        <w:t xml:space="preserve">  </w:t>
      </w:r>
      <w:r>
        <w:rPr>
          <w:rStyle w:val="AttributeTok"/>
        </w:rPr>
        <w:t xml:space="preserve">reps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data_quality_scenarios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covariate_missingness =</w:t>
      </w:r>
      <w:r>
        <w:rPr>
          <w:rStyle w:val="NormalTok"/>
        </w:rPr>
        <w:t xml:space="preserve"> </w:t>
      </w:r>
      <w:r>
        <w:rPr>
          <w:rStyle w:val="FunctionTok"/>
        </w:rPr>
        <w:t xml:space="preserve">list</w:t>
      </w:r>
      <w:r>
        <w:rPr>
          <w:rStyle w:val="NormalTok"/>
        </w:rPr>
        <w:t xml:space="preserve">(</w:t>
      </w:r>
      <w:r>
        <w:rPr>
          <w:rStyle w:val="AttributeTok"/>
        </w:rPr>
        <w:t xml:space="preserve">fractions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AttributeTok"/>
        </w:rPr>
        <w:t xml:space="preserve">treatment_misclass    =</w:t>
      </w:r>
      <w:r>
        <w:rPr>
          <w:rStyle w:val="NormalTok"/>
        </w:rPr>
        <w:t xml:space="preserve"> </w:t>
      </w:r>
      <w:r>
        <w:rPr>
          <w:rStyle w:val="FunctionTok"/>
        </w:rPr>
        <w:t xml:space="preserve">list</w:t>
      </w:r>
      <w:r>
        <w:rPr>
          <w:rStyle w:val="NormalTok"/>
        </w:rPr>
        <w:t xml:space="preserve">(</w:t>
      </w:r>
      <w:r>
        <w:rPr>
          <w:rStyle w:val="AttributeTok"/>
        </w:rPr>
        <w:t xml:space="preserve">sensitivity =</w:t>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AttributeTok"/>
        </w:rPr>
        <w:t xml:space="preserve">specificity =</w:t>
      </w:r>
      <w:r>
        <w:rPr>
          <w:rStyle w:val="NormalTok"/>
        </w:rPr>
        <w:t xml:space="preserve"> </w:t>
      </w:r>
      <w:r>
        <w:rPr>
          <w:rStyle w:val="FunctionTok"/>
        </w:rPr>
        <w:t xml:space="preserve">c</w:t>
      </w:r>
      <w:r>
        <w:rPr>
          <w:rStyle w:val="NormalTok"/>
        </w:rPr>
        <w:t xml:space="preserve">(</w:t>
      </w:r>
      <w:r>
        <w:rPr>
          <w:rStyle w:val="FloatTok"/>
        </w:rPr>
        <w:t xml:space="preserve">0.99</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outcome_misclass      =</w:t>
      </w:r>
      <w:r>
        <w:rPr>
          <w:rStyle w:val="NormalTok"/>
        </w:rPr>
        <w:t xml:space="preserve"> </w:t>
      </w:r>
      <w:r>
        <w:rPr>
          <w:rStyle w:val="FunctionTok"/>
        </w:rPr>
        <w:t xml:space="preserve">list</w:t>
      </w:r>
      <w:r>
        <w:rPr>
          <w:rStyle w:val="NormalTok"/>
        </w:rPr>
        <w:t xml:space="preserve">(</w:t>
      </w:r>
      <w:r>
        <w:rPr>
          <w:rStyle w:val="AttributeTok"/>
        </w:rPr>
        <w:t xml:space="preserve">sensitivity =</w:t>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AttributeTok"/>
        </w:rPr>
        <w:t xml:space="preserve">specificity =</w:t>
      </w:r>
      <w:r>
        <w:rPr>
          <w:rStyle w:val="NormalTok"/>
        </w:rPr>
        <w:t xml:space="preserve"> </w:t>
      </w:r>
      <w:r>
        <w:rPr>
          <w:rStyle w:val="FunctionTok"/>
        </w:rPr>
        <w:t xml:space="preserve">c</w:t>
      </w:r>
      <w:r>
        <w:rPr>
          <w:rStyle w:val="NormalTok"/>
        </w:rPr>
        <w:t xml:space="preserve">(</w:t>
      </w:r>
      <w:r>
        <w:rPr>
          <w:rStyle w:val="FloatTok"/>
        </w:rPr>
        <w:t xml:space="preserve">0.99</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unmeasured_confounding =</w:t>
      </w:r>
      <w:r>
        <w:rPr>
          <w:rStyle w:val="NormalTok"/>
        </w:rPr>
        <w:t xml:space="preserve"> </w:t>
      </w:r>
      <w:r>
        <w:rPr>
          <w:rStyle w:val="FunctionTok"/>
        </w:rPr>
        <w:t xml:space="preserve">list</w:t>
      </w:r>
      <w:r>
        <w:rPr>
          <w:rStyle w:val="NormalTok"/>
        </w:rPr>
        <w:t xml:space="preserve">(</w:t>
      </w:r>
      <w:r>
        <w:rPr>
          <w:rStyle w:val="AttributeTok"/>
        </w:rPr>
        <w:t xml:space="preserve">U_prevalence  =</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AttributeTok"/>
        </w:rPr>
        <w:t xml:space="preserve">U_treatment_OR =</w:t>
      </w:r>
      <w:r>
        <w:rPr>
          <w:rStyle w:val="NormalTok"/>
        </w:rPr>
        <w:t xml:space="preserve"> </w:t>
      </w:r>
      <w:r>
        <w:rPr>
          <w:rStyle w:val="FunctionTok"/>
        </w:rPr>
        <w:t xml:space="preserve">c</w:t>
      </w:r>
      <w:r>
        <w:rPr>
          <w:rStyle w:val="NormalTok"/>
        </w:rPr>
        <w:t xml:space="preserve">(</w:t>
      </w:r>
      <w:r>
        <w:rPr>
          <w:rStyle w:val="FloatTok"/>
        </w:rPr>
        <w:t xml:space="preserve">1.5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AttributeTok"/>
        </w:rPr>
        <w:t xml:space="preserve">U_outcome_OR   =</w:t>
      </w:r>
      <w:r>
        <w:rPr>
          <w:rStyle w:val="NormalTok"/>
        </w:rPr>
        <w:t xml:space="preserve"> </w:t>
      </w:r>
      <w:r>
        <w:rPr>
          <w:rStyle w:val="FunctionTok"/>
        </w:rPr>
        <w:t xml:space="preserve">c</w:t>
      </w:r>
      <w:r>
        <w:rPr>
          <w:rStyle w:val="NormalTok"/>
        </w:rPr>
        <w:t xml:space="preserve">(</w:t>
      </w:r>
      <w:r>
        <w:rPr>
          <w:rStyle w:val="FloatTok"/>
        </w:rPr>
        <w:t xml:space="preserve">1.5</w:t>
      </w:r>
      <w:r>
        <w:rPr>
          <w:rStyle w:val="NormalTok"/>
        </w:rPr>
        <w:t xml:space="preserve">, </w:t>
      </w:r>
      <w:r>
        <w:rPr>
          <w:rStyle w:val="FloatTok"/>
        </w:rPr>
        <w:t xml:space="preserve">2.0</w:t>
      </w:r>
      <w:r>
        <w:rPr>
          <w:rStyle w:val="NormalTok"/>
        </w:rPr>
        <w:t xml:space="preserve">))</w:t>
      </w:r>
      <w:r>
        <w:br/>
      </w:r>
      <w:r>
        <w:rPr>
          <w:rStyle w:val="NormalTok"/>
        </w:rPr>
        <w:t xml:space="preserve">  )</w:t>
      </w:r>
      <w:r>
        <w:br/>
      </w:r>
      <w:r>
        <w:rPr>
          <w:rStyle w:val="NormalTok"/>
        </w:rPr>
        <w:t xml:space="preserve">)</w:t>
      </w:r>
      <w:r>
        <w:br/>
      </w:r>
      <w:r>
        <w:rPr>
          <w:rStyle w:val="NormalTok"/>
        </w:rPr>
        <w:t xml:space="preserve">selected </w:t>
      </w:r>
      <w:r>
        <w:rPr>
          <w:rStyle w:val="OtherTok"/>
        </w:rPr>
        <w:t xml:space="preserve">&lt;-</w:t>
      </w:r>
      <w:r>
        <w:rPr>
          <w:rStyle w:val="NormalTok"/>
        </w:rPr>
        <w:t xml:space="preserve"> </w:t>
      </w:r>
      <w:r>
        <w:rPr>
          <w:rStyle w:val="FunctionTok"/>
        </w:rPr>
        <w:t xml:space="preserve">select_tmle_candidate</w:t>
      </w:r>
      <w:r>
        <w:rPr>
          <w:rStyle w:val="NormalTok"/>
        </w:rPr>
        <w:t xml:space="preserve">(plas, </w:t>
      </w:r>
      <w:r>
        <w:rPr>
          <w:rStyle w:val="AttributeTok"/>
        </w:rPr>
        <w:t xml:space="preserve">rule =</w:t>
      </w:r>
      <w:r>
        <w:rPr>
          <w:rStyle w:val="NormalTok"/>
        </w:rPr>
        <w:t xml:space="preserve"> </w:t>
      </w:r>
      <w:r>
        <w:rPr>
          <w:rStyle w:val="StringTok"/>
        </w:rPr>
        <w:t xml:space="preserve">"min_rmse"</w:t>
      </w:r>
      <w:r>
        <w:rPr>
          <w:rStyle w:val="NormalTok"/>
        </w:rPr>
        <w:t xml:space="preserve">)</w:t>
      </w:r>
      <w:r>
        <w:br/>
      </w:r>
      <w:r>
        <w:rPr>
          <w:rStyle w:val="NormalTok"/>
        </w:rPr>
        <w:t xml:space="preserve">lock     </w:t>
      </w:r>
      <w:r>
        <w:rPr>
          <w:rStyle w:val="OtherTok"/>
        </w:rPr>
        <w:t xml:space="preserve">&lt;-</w:t>
      </w:r>
      <w:r>
        <w:rPr>
          <w:rStyle w:val="NormalTok"/>
        </w:rPr>
        <w:t xml:space="preserve"> </w:t>
      </w:r>
      <w:r>
        <w:rPr>
          <w:rStyle w:val="FunctionTok"/>
        </w:rPr>
        <w:t xml:space="preserve">declare_estimand_ladder</w:t>
      </w:r>
      <w:r>
        <w:rPr>
          <w:rStyle w:val="NormalTok"/>
        </w:rPr>
        <w:t xml:space="preserve">(lock, </w:t>
      </w:r>
      <w:r>
        <w:rPr>
          <w:rStyle w:val="AttributeTok"/>
        </w:rPr>
        <w:t xml:space="preserve">primary =</w:t>
      </w:r>
      <w:r>
        <w:rPr>
          <w:rStyle w:val="NormalTok"/>
        </w:rPr>
        <w:t xml:space="preserve"> </w:t>
      </w:r>
      <w:r>
        <w:rPr>
          <w:rStyle w:val="StringTok"/>
        </w:rPr>
        <w:t xml:space="preserve">"ATE"</w:t>
      </w:r>
      <w:r>
        <w:rPr>
          <w:rStyle w:val="NormalTok"/>
        </w:rPr>
        <w:t xml:space="preserve">,</w:t>
      </w:r>
      <w:r>
        <w:br/>
      </w:r>
      <w:r>
        <w:rPr>
          <w:rStyle w:val="NormalTok"/>
        </w:rPr>
        <w:t xml:space="preserve">                                    </w:t>
      </w:r>
      <w:r>
        <w:rPr>
          <w:rStyle w:val="AttributeTok"/>
        </w:rPr>
        <w:t xml:space="preserve">fallbacks =</w:t>
      </w:r>
      <w:r>
        <w:rPr>
          <w:rStyle w:val="NormalTok"/>
        </w:rPr>
        <w:t xml:space="preserve"> </w:t>
      </w:r>
      <w:r>
        <w:rPr>
          <w:rStyle w:val="FunctionTok"/>
        </w:rPr>
        <w:t xml:space="preserve">c</w:t>
      </w:r>
      <w:r>
        <w:rPr>
          <w:rStyle w:val="NormalTok"/>
        </w:rPr>
        <w:t xml:space="preserve">(</w:t>
      </w:r>
      <w:r>
        <w:rPr>
          <w:rStyle w:val="StringTok"/>
        </w:rPr>
        <w:t xml:space="preserve">"trimmed_ATE"</w:t>
      </w:r>
      <w:r>
        <w:rPr>
          <w:rStyle w:val="NormalTok"/>
        </w:rPr>
        <w:t xml:space="preserve">, </w:t>
      </w:r>
      <w:r>
        <w:rPr>
          <w:rStyle w:val="StringTok"/>
        </w:rPr>
        <w:t xml:space="preserve">"ATT"</w:t>
      </w:r>
      <w:r>
        <w:rPr>
          <w:rStyle w:val="NormalTok"/>
        </w:rPr>
        <w:t xml:space="preserve">,</w:t>
      </w:r>
      <w:r>
        <w:br/>
      </w:r>
      <w:r>
        <w:rPr>
          <w:rStyle w:val="NormalTok"/>
        </w:rPr>
        <w:t xml:space="preserve">                                                  </w:t>
      </w:r>
      <w:r>
        <w:rPr>
          <w:rStyle w:val="StringTok"/>
        </w:rPr>
        <w:t xml:space="preserve">"ATO"</w:t>
      </w:r>
      <w:r>
        <w:rPr>
          <w:rStyle w:val="NormalTok"/>
        </w:rPr>
        <w:t xml:space="preserve">),</w:t>
      </w:r>
      <w:r>
        <w:br/>
      </w:r>
      <w:r>
        <w:rPr>
          <w:rStyle w:val="NormalTok"/>
        </w:rPr>
        <w:t xml:space="preserve">                                    </w:t>
      </w:r>
      <w:r>
        <w:rPr>
          <w:rStyle w:val="AttributeTok"/>
        </w:rPr>
        <w:t xml:space="preserve">candidate =</w:t>
      </w:r>
      <w:r>
        <w:rPr>
          <w:rStyle w:val="NormalTok"/>
        </w:rPr>
        <w:t xml:space="preserve"> selected)</w:t>
      </w:r>
      <w:r>
        <w:br/>
      </w:r>
      <w:r>
        <w:br/>
      </w:r>
      <w:r>
        <w:rPr>
          <w:rStyle w:val="CommentTok"/>
        </w:rPr>
        <w:t xml:space="preserve"># Stage 3: negative controls across cohort restrictions, and the</w:t>
      </w:r>
      <w:r>
        <w:br/>
      </w:r>
      <w:r>
        <w:rPr>
          <w:rStyle w:val="CommentTok"/>
        </w:rPr>
        <w:t xml:space="preserve"># care-process collider check.</w:t>
      </w:r>
      <w:r>
        <w:br/>
      </w:r>
      <w:r>
        <w:rPr>
          <w:rStyle w:val="NormalTok"/>
        </w:rPr>
        <w:t xml:space="preserve">nc  </w:t>
      </w:r>
      <w:r>
        <w:rPr>
          <w:rStyle w:val="OtherTok"/>
        </w:rPr>
        <w:t xml:space="preserve">&lt;-</w:t>
      </w:r>
      <w:r>
        <w:rPr>
          <w:rStyle w:val="NormalTok"/>
        </w:rPr>
        <w:t xml:space="preserve"> </w:t>
      </w:r>
      <w:r>
        <w:rPr>
          <w:rStyle w:val="FunctionTok"/>
        </w:rPr>
        <w:t xml:space="preserve">run_negative_control_ladder</w:t>
      </w:r>
      <w:r>
        <w:rPr>
          <w:rStyle w:val="NormalTok"/>
        </w:rPr>
        <w:t xml:space="preserve">(lock, </w:t>
      </w:r>
      <w:r>
        <w:rPr>
          <w:rStyle w:val="AttributeTok"/>
        </w:rPr>
        <w:t xml:space="preserve">restrictions =</w:t>
      </w:r>
      <w:r>
        <w:rPr>
          <w:rStyle w:val="NormalTok"/>
        </w:rPr>
        <w:t xml:space="preserve"> cohort_rungs)</w:t>
      </w:r>
      <w:r>
        <w:br/>
      </w:r>
      <w:r>
        <w:rPr>
          <w:rStyle w:val="NormalTok"/>
        </w:rPr>
        <w:t xml:space="preserve">proc </w:t>
      </w:r>
      <w:r>
        <w:rPr>
          <w:rStyle w:val="OtherTok"/>
        </w:rPr>
        <w:t xml:space="preserve">&lt;-</w:t>
      </w:r>
      <w:r>
        <w:rPr>
          <w:rStyle w:val="NormalTok"/>
        </w:rPr>
        <w:t xml:space="preserve"> </w:t>
      </w:r>
      <w:r>
        <w:rPr>
          <w:rStyle w:val="FunctionTok"/>
        </w:rPr>
        <w:t xml:space="preserve">check_process_indicators</w:t>
      </w:r>
      <w:r>
        <w:rPr>
          <w:rStyle w:val="NormalTok"/>
        </w:rPr>
        <w:t xml:space="preserve">(lock, </w:t>
      </w:r>
      <w:r>
        <w:rPr>
          <w:rStyle w:val="AttributeTok"/>
        </w:rPr>
        <w:t xml:space="preserve">indicators =</w:t>
      </w:r>
      <w:r>
        <w:rPr>
          <w:rStyle w:val="NormalTok"/>
        </w:rPr>
        <w:t xml:space="preserve"> process_vars)</w:t>
      </w:r>
      <w:r>
        <w:br/>
      </w:r>
      <w:r>
        <w:br/>
      </w:r>
      <w:r>
        <w:rPr>
          <w:rStyle w:val="CommentTok"/>
        </w:rPr>
        <w:t xml:space="preserve"># Pre-outcome decision: the dossier the review team reads.</w:t>
      </w:r>
      <w:r>
        <w:br/>
      </w:r>
      <w:r>
        <w:rPr>
          <w:rStyle w:val="FunctionTok"/>
        </w:rPr>
        <w:t xml:space="preserve">design_report</w:t>
      </w:r>
      <w:r>
        <w:rPr>
          <w:rStyle w:val="NormalTok"/>
        </w:rPr>
        <w:t xml:space="preserve">(lock, sup, fea, </w:t>
      </w:r>
      <w:r>
        <w:rPr>
          <w:rStyle w:val="AttributeTok"/>
        </w:rPr>
        <w:t xml:space="preserve">simulation =</w:t>
      </w:r>
      <w:r>
        <w:rPr>
          <w:rStyle w:val="NormalTok"/>
        </w:rPr>
        <w:t xml:space="preserve"> sim, </w:t>
      </w:r>
      <w:r>
        <w:rPr>
          <w:rStyle w:val="AttributeTok"/>
        </w:rPr>
        <w:t xml:space="preserve">nc_ladder =</w:t>
      </w:r>
      <w:r>
        <w:rPr>
          <w:rStyle w:val="NormalTok"/>
        </w:rPr>
        <w:t xml:space="preserve"> nc)</w:t>
      </w:r>
      <w:r>
        <w:br/>
      </w:r>
      <w:r>
        <w:br/>
      </w:r>
      <w:r>
        <w:rPr>
          <w:rStyle w:val="CommentTok"/>
        </w:rPr>
        <w:t xml:space="preserve"># Stage 4: estimation. Outcomes are joined only here; the ladder runs</w:t>
      </w:r>
      <w:r>
        <w:br/>
      </w:r>
      <w:r>
        <w:rPr>
          <w:rStyle w:val="CommentTok"/>
        </w:rPr>
        <w:t xml:space="preserve"># the declared primary when feasible plus every feasible fallback.</w:t>
      </w:r>
      <w:r>
        <w:br/>
      </w:r>
      <w:r>
        <w:rPr>
          <w:rStyle w:val="NormalTok"/>
        </w:rPr>
        <w:t xml:space="preserve">fit </w:t>
      </w:r>
      <w:r>
        <w:rPr>
          <w:rStyle w:val="OtherTok"/>
        </w:rPr>
        <w:t xml:space="preserve">&lt;-</w:t>
      </w:r>
      <w:r>
        <w:rPr>
          <w:rStyle w:val="NormalTok"/>
        </w:rPr>
        <w:t xml:space="preserve"> </w:t>
      </w:r>
      <w:r>
        <w:rPr>
          <w:rStyle w:val="FunctionTok"/>
        </w:rPr>
        <w:t xml:space="preserve">run_estimand_ladder</w:t>
      </w:r>
      <w:r>
        <w:rPr>
          <w:rStyle w:val="NormalTok"/>
        </w:rPr>
        <w:t xml:space="preserve">(lock, ps)</w:t>
      </w:r>
      <w:r>
        <w:br/>
      </w:r>
      <w:r>
        <w:rPr>
          <w:rStyle w:val="NormalTok"/>
        </w:rPr>
        <w:t xml:space="preserve">fit</w:t>
      </w:r>
      <w:r>
        <w:br/>
      </w:r>
      <w:r>
        <w:br/>
      </w:r>
      <w:r>
        <w:rPr>
          <w:rStyle w:val="CommentTok"/>
        </w:rPr>
        <w:t xml:space="preserve"># Or, for a single declared estimand with the modular steps exposed:</w:t>
      </w:r>
      <w:r>
        <w:br/>
      </w:r>
      <w:r>
        <w:rPr>
          <w:rStyle w:val="NormalTok"/>
        </w:rPr>
        <w:t xml:space="preserve">one </w:t>
      </w:r>
      <w:r>
        <w:rPr>
          <w:rStyle w:val="OtherTok"/>
        </w:rPr>
        <w:t xml:space="preserve">&lt;-</w:t>
      </w:r>
      <w:r>
        <w:rPr>
          <w:rStyle w:val="NormalTok"/>
        </w:rPr>
        <w:t xml:space="preserve"> </w:t>
      </w:r>
      <w:r>
        <w:rPr>
          <w:rStyle w:val="FunctionTok"/>
        </w:rPr>
        <w:t xml:space="preserve">estimate_effect</w:t>
      </w:r>
      <w:r>
        <w:rPr>
          <w:rStyle w:val="NormalTok"/>
        </w:rPr>
        <w:t xml:space="preserve">(lock, ps, </w:t>
      </w:r>
      <w:r>
        <w:rPr>
          <w:rStyle w:val="AttributeTok"/>
        </w:rPr>
        <w:t xml:space="preserve">estimand =</w:t>
      </w:r>
      <w:r>
        <w:rPr>
          <w:rStyle w:val="NormalTok"/>
        </w:rPr>
        <w:t xml:space="preserve"> </w:t>
      </w:r>
      <w:r>
        <w:rPr>
          <w:rStyle w:val="StringTok"/>
        </w:rPr>
        <w:t xml:space="preserve">"ATE"</w:t>
      </w:r>
      <w:r>
        <w:rPr>
          <w:rStyle w:val="NormalTok"/>
        </w:rPr>
        <w:t xml:space="preserve">, </w:t>
      </w:r>
      <w:r>
        <w:rPr>
          <w:rStyle w:val="AttributeTok"/>
        </w:rPr>
        <w:t xml:space="preserve">estimator =</w:t>
      </w:r>
      <w:r>
        <w:rPr>
          <w:rStyle w:val="NormalTok"/>
        </w:rPr>
        <w:t xml:space="preserve"> </w:t>
      </w:r>
      <w:r>
        <w:rPr>
          <w:rStyle w:val="StringTok"/>
        </w:rPr>
        <w:t xml:space="preserve">"tmle"</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"ipcw"</w:t>
      </w:r>
      <w:r>
        <w:rPr>
          <w:rStyle w:val="NormalTok"/>
        </w:rPr>
        <w:t xml:space="preserve">, </w:t>
      </w:r>
      <w:r>
        <w:rPr>
          <w:rStyle w:val="AttributeTok"/>
        </w:rPr>
        <w:t xml:space="preserve">return_steps =</w:t>
      </w:r>
      <w:r>
        <w:rPr>
          <w:rStyle w:val="NormalTok"/>
        </w:rPr>
        <w:t xml:space="preserve"> </w:t>
      </w:r>
      <w:r>
        <w:rPr>
          <w:rStyle w:val="ConstantTok"/>
        </w:rPr>
        <w:t xml:space="preserve">TRUE</w:t>
      </w:r>
      <w:r>
        <w:rPr>
          <w:rStyle w:val="NormalTok"/>
        </w:rPr>
        <w:t xml:space="preserve">)</w:t>
      </w:r>
      <w:r>
        <w:br/>
      </w:r>
      <w:r>
        <w:br/>
      </w:r>
      <w:r>
        <w:rPr>
          <w:rStyle w:val="FunctionTok"/>
        </w:rPr>
        <w:t xml:space="preserve">save_lock</w:t>
      </w:r>
      <w:r>
        <w:rPr>
          <w:rStyle w:val="NormalTok"/>
        </w:rPr>
        <w:t xml:space="preserve">(lock, </w:t>
      </w:r>
      <w:r>
        <w:rPr>
          <w:rStyle w:val="StringTok"/>
        </w:rPr>
        <w:t xml:space="preserve">"lock.rds"</w:t>
      </w:r>
      <w:r>
        <w:rPr>
          <w:rStyle w:val="NormalTok"/>
        </w:rPr>
        <w:t xml:space="preserve">)</w:t>
      </w:r>
      <w:r>
        <w:br/>
      </w:r>
      <w:r>
        <w:br/>
      </w:r>
      <w:r>
        <w:rPr>
          <w:rStyle w:val="CommentTok"/>
        </w:rPr>
        <w:t xml:space="preserve"># Reporting: baseline table and the labelled comparison forest.</w:t>
      </w:r>
      <w:r>
        <w:br/>
      </w:r>
      <w:r>
        <w:rPr>
          <w:rStyle w:val="FunctionTok"/>
        </w:rPr>
        <w:t xml:space="preserve">make_table1</w:t>
      </w:r>
      <w:r>
        <w:rPr>
          <w:rStyle w:val="NormalTok"/>
        </w:rPr>
        <w:t xml:space="preserve">(lock, </w:t>
      </w:r>
      <w:r>
        <w:rPr>
          <w:rStyle w:val="AttributeTok"/>
        </w:rPr>
        <w:t xml:space="preserve">smd =</w:t>
      </w:r>
      <w:r>
        <w:rPr>
          <w:rStyle w:val="NormalTok"/>
        </w:rPr>
        <w:t xml:space="preserve"> </w:t>
      </w:r>
      <w:r>
        <w:rPr>
          <w:rStyle w:val="ConstantTok"/>
        </w:rPr>
        <w:t xml:space="preserve">TRUE</w:t>
      </w:r>
      <w:r>
        <w:rPr>
          <w:rStyle w:val="NormalTok"/>
        </w:rPr>
        <w:t xml:space="preserve">)</w:t>
      </w:r>
      <w:r>
        <w:br/>
      </w:r>
      <w:r>
        <w:rPr>
          <w:rStyle w:val="FunctionTok"/>
        </w:rPr>
        <w:t xml:space="preserve">forest_plot</w:t>
      </w:r>
      <w:r>
        <w:rPr>
          <w:rStyle w:val="NormalTok"/>
        </w:rPr>
        <w:t xml:space="preserve">(fit)</w:t>
      </w:r>
    </w:p>
    <w:p>
      <w:pPr>
        <w:pStyle w:val="FirstParagraph"/>
      </w:pPr>
      <w:r>
        <w:t xml:space="preserve">Two pieces above are fundamentally new relative to conventional</w:t>
      </w:r>
      <w:r>
        <w:t xml:space="preserve"> </w:t>
      </w:r>
      <w:r>
        <w:t xml:space="preserve">targeted-learning plumbing: the support and feasibility stage of</w:t>
      </w:r>
      <w:r>
        <w:t xml:space="preserve"> </w:t>
      </w:r>
      <w:hyperlink w:anchor="sec-support">
        <w:r>
          <w:rPr>
            <w:rStyle w:val="Hyperlink"/>
          </w:rPr>
          <w:t xml:space="preserve">Section 6</w:t>
        </w:r>
      </w:hyperlink>
      <w:r>
        <w:t xml:space="preserve">, and the DQ stress test.</w:t>
      </w:r>
      <w:r>
        <w:t xml:space="preserve"> </w:t>
      </w:r>
      <w:r>
        <w:rPr>
          <w:rStyle w:val="VerbatimChar"/>
        </w:rPr>
        <w:t xml:space="preserve">run_plasmode_dq_stress()</w:t>
      </w:r>
      <w:r>
        <w:t xml:space="preserve"> </w:t>
      </w:r>
      <w:r>
        <w:t xml:space="preserve">returns a metrics object of the same</w:t>
      </w:r>
      <w:r>
        <w:t xml:space="preserve"> </w:t>
      </w:r>
      <w:r>
        <w:t xml:space="preserve">class as the standard plasmode and feeds the same decision, so adding</w:t>
      </w:r>
      <w:r>
        <w:t xml:space="preserve"> </w:t>
      </w:r>
      <w:r>
        <w:t xml:space="preserve">the data-quality argument to the workflow does not require new</w:t>
      </w:r>
      <w:r>
        <w:t xml:space="preserve"> </w:t>
      </w:r>
      <w:r>
        <w:t xml:space="preserve">infrastructure on the analyst’s side.</w:t>
      </w:r>
    </w:p>
    <w:bookmarkEnd w:id="66"/>
    <w:bookmarkStart w:id="67" w:name="inside-run_plasmode_dq_stress"/>
    <w:p>
      <w:pPr>
        <w:pStyle w:val="Heading2"/>
      </w:pPr>
      <w:r>
        <w:t xml:space="preserve">9.2 Inside</w:t>
      </w:r>
      <w:r>
        <w:t xml:space="preserve"> </w:t>
      </w:r>
      <w:r>
        <w:rPr>
          <w:rStyle w:val="VerbatimChar"/>
        </w:rPr>
        <w:t xml:space="preserve">run_plasmode_dq_stress()</w:t>
      </w:r>
    </w:p>
    <w:p>
      <w:pPr>
        <w:pStyle w:val="FirstParagraph"/>
      </w:pPr>
      <w:r>
        <w:t xml:space="preserve">The function loops over a scenario grid, fits every candidate</w:t>
      </w:r>
      <w:r>
        <w:t xml:space="preserve"> </w:t>
      </w:r>
      <w:r>
        <w:t xml:space="preserve">under each scenario × severity, and aggregates bias, RMSE, and</w:t>
      </w:r>
      <w:r>
        <w:t xml:space="preserve"> </w:t>
      </w:r>
      <w:r>
        <w:t xml:space="preserve">coverage. Pseudocode:</w:t>
      </w:r>
    </w:p>
    <w:p>
      <w:pPr>
        <w:pStyle w:val="SourceCode"/>
      </w:pPr>
      <w:r>
        <w:rPr>
          <w:rStyle w:val="VerbatimChar"/>
        </w:rPr>
        <w:t xml:space="preserve">for each (scenario, severity) in scenario grid:</w:t>
      </w:r>
      <w:r>
        <w:br/>
      </w:r>
      <w:r>
        <w:rPr>
          <w:rStyle w:val="VerbatimChar"/>
        </w:rPr>
        <w:t xml:space="preserve">  for each replicate r:</w:t>
      </w:r>
      <w:r>
        <w:br/>
      </w:r>
      <w:r>
        <w:rPr>
          <w:rStyle w:val="VerbatimChar"/>
        </w:rPr>
        <w:t xml:space="preserve">    set seed deterministically from (lock$seed, r, scenario index)</w:t>
      </w:r>
      <w:r>
        <w:br/>
      </w:r>
      <w:r>
        <w:rPr>
          <w:rStyle w:val="VerbatimChar"/>
        </w:rPr>
        <w:t xml:space="preserve">    generate synthetic outcome from the lock's covariate-only Q0 model</w:t>
      </w:r>
      <w:r>
        <w:br/>
      </w:r>
      <w:r>
        <w:rPr>
          <w:rStyle w:val="VerbatimChar"/>
        </w:rPr>
        <w:t xml:space="preserve">    if scenario == unmeasured_confounding:</w:t>
      </w:r>
      <w:r>
        <w:br/>
      </w:r>
      <w:r>
        <w:rPr>
          <w:rStyle w:val="VerbatimChar"/>
        </w:rPr>
        <w:t xml:space="preserve">      sample latent U; modify treatment via a real PS model;</w:t>
      </w:r>
      <w:r>
        <w:br/>
      </w:r>
      <w:r>
        <w:rPr>
          <w:rStyle w:val="VerbatimChar"/>
        </w:rPr>
        <w:t xml:space="preserve">      modify outcome probabilities via OR_Y * U</w:t>
      </w:r>
      <w:r>
        <w:br/>
      </w:r>
      <w:r>
        <w:rPr>
          <w:rStyle w:val="VerbatimChar"/>
        </w:rPr>
        <w:t xml:space="preserve">    if scenario == treatment_misclass:</w:t>
      </w:r>
      <w:r>
        <w:br/>
      </w:r>
      <w:r>
        <w:rPr>
          <w:rStyle w:val="VerbatimChar"/>
        </w:rPr>
        <w:t xml:space="preserve">      apply (sens, spec) to A</w:t>
      </w:r>
      <w:r>
        <w:br/>
      </w:r>
      <w:r>
        <w:rPr>
          <w:rStyle w:val="VerbatimChar"/>
        </w:rPr>
        <w:t xml:space="preserve">    if scenario == outcome_misclass:</w:t>
      </w:r>
      <w:r>
        <w:br/>
      </w:r>
      <w:r>
        <w:rPr>
          <w:rStyle w:val="VerbatimChar"/>
        </w:rPr>
        <w:t xml:space="preserve">      apply (sens, spec) to Y, optionally by treatment arm</w:t>
      </w:r>
      <w:r>
        <w:br/>
      </w:r>
      <w:r>
        <w:rPr>
          <w:rStyle w:val="VerbatimChar"/>
        </w:rPr>
        <w:t xml:space="preserve">    if scenario == covariate_missingness:</w:t>
      </w:r>
      <w:r>
        <w:br/>
      </w:r>
      <w:r>
        <w:rPr>
          <w:rStyle w:val="VerbatimChar"/>
        </w:rPr>
        <w:t xml:space="preserve">      mask fraction of W under MCAR/MAR/MNAR, impute with column median</w:t>
      </w:r>
      <w:r>
        <w:br/>
      </w:r>
      <w:r>
        <w:rPr>
          <w:rStyle w:val="VerbatimChar"/>
        </w:rPr>
        <w:t xml:space="preserve">    for each candidate:</w:t>
      </w:r>
      <w:r>
        <w:br/>
      </w:r>
      <w:r>
        <w:rPr>
          <w:rStyle w:val="VerbatimChar"/>
        </w:rPr>
        <w:t xml:space="preserve">      fit g, Q, targeting; record est, SE, CI</w:t>
      </w:r>
      <w:r>
        <w:br/>
      </w:r>
      <w:r>
        <w:rPr>
          <w:rStyle w:val="VerbatimChar"/>
        </w:rPr>
        <w:t xml:space="preserve">  aggregate over replicates: bias, RMSE, coverage, SE/SD</w:t>
      </w:r>
      <w:r>
        <w:br/>
      </w:r>
      <w:r>
        <w:rPr>
          <w:rStyle w:val="VerbatimChar"/>
        </w:rPr>
        <w:t xml:space="preserve">return data frame indexed by (scenario, level, candidate)</w:t>
      </w:r>
    </w:p>
    <w:p>
      <w:pPr>
        <w:pStyle w:val="FirstParagraph"/>
      </w:pPr>
      <w:r>
        <w:t xml:space="preserve">The implementation is in</w:t>
      </w:r>
      <w:r>
        <w:t xml:space="preserve"> </w:t>
      </w:r>
      <w:r>
        <w:rPr>
          <w:rStyle w:val="VerbatimChar"/>
        </w:rPr>
        <w:t xml:space="preserve">R/plasmode_dq.R</w:t>
      </w:r>
      <w:r>
        <w:t xml:space="preserve">. Three details matter</w:t>
      </w:r>
      <w:r>
        <w:t xml:space="preserve"> </w:t>
      </w:r>
      <w:r>
        <w:t xml:space="preserve">for reproducibility. First, the seed is set deterministically from</w:t>
      </w:r>
      <w:r>
        <w:t xml:space="preserve"> </w:t>
      </w:r>
      <w:r>
        <w:rPr>
          <w:rStyle w:val="VerbatimChar"/>
        </w:rPr>
        <w:t xml:space="preserve">lock$seed + rep_i + sg_i * 10000L</w:t>
      </w:r>
      <w:r>
        <w:t xml:space="preserve"> </w:t>
      </w:r>
      <w:r>
        <w:t xml:space="preserve">so that re-running the same</w:t>
      </w:r>
      <w:r>
        <w:t xml:space="preserve"> </w:t>
      </w:r>
      <w:r>
        <w:t xml:space="preserve">lock with the same scenario list produces bit-identical metrics.</w:t>
      </w:r>
      <w:r>
        <w:t xml:space="preserve"> </w:t>
      </w:r>
      <w:r>
        <w:t xml:space="preserve">Second, the unmeasured-confounding scenario fits a real treatment-</w:t>
      </w:r>
      <w:r>
        <w:t xml:space="preserve"> </w:t>
      </w:r>
      <w:r>
        <w:t xml:space="preserve">mechanism (propensity) model on the lock data once and uses it as</w:t>
      </w:r>
      <w:r>
        <w:t xml:space="preserve"> </w:t>
      </w:r>
      <w:r>
        <w:t xml:space="preserve">the baseline propensity that</w:t>
      </w:r>
      <w:r>
        <w:t xml:space="preserve"> </w:t>
      </w:r>
      <m:oMath>
        <m:r>
          <m:t>U</m:t>
        </m:r>
      </m:oMath>
      <w:r>
        <w:t xml:space="preserve"> </w:t>
      </w:r>
      <w:r>
        <w:t xml:space="preserve">shifts; earlier prototype versions</w:t>
      </w:r>
      <w:r>
        <w:t xml:space="preserve"> </w:t>
      </w:r>
      <w:r>
        <w:t xml:space="preserve">incorrectly used the outcome model’s prediction here, which we</w:t>
      </w:r>
      <w:r>
        <w:t xml:space="preserve"> </w:t>
      </w:r>
      <w:r>
        <w:t xml:space="preserve">fix in the version released with this paper. Third, treatment</w:t>
      </w:r>
      <w:r>
        <w:t xml:space="preserve"> </w:t>
      </w:r>
      <w:r>
        <w:t xml:space="preserve">misclassification accepts asymmetric (sens, spec) pairs rather than</w:t>
      </w:r>
      <w:r>
        <w:t xml:space="preserve"> </w:t>
      </w:r>
      <w:r>
        <w:t xml:space="preserve">symmetric flips, matching the form in which validation studies</w:t>
      </w:r>
      <w:r>
        <w:t xml:space="preserve"> </w:t>
      </w:r>
      <w:r>
        <w:t xml:space="preserve">typically report exposure-algorithm performance, and outcome</w:t>
      </w:r>
      <w:r>
        <w:t xml:space="preserve"> </w:t>
      </w:r>
      <w:r>
        <w:t xml:space="preserve">misclassification accepts optional per-treatment-arm sensitivity</w:t>
      </w:r>
      <w:r>
        <w:t xml:space="preserve"> </w:t>
      </w:r>
      <w:r>
        <w:t xml:space="preserve">and specificity, allowing the user to probe differential</w:t>
      </w:r>
      <w:r>
        <w:t xml:space="preserve"> </w:t>
      </w:r>
      <w:r>
        <w:t xml:space="preserve">misclassification, which is the most worrying case in observational</w:t>
      </w:r>
      <w:r>
        <w:t xml:space="preserve"> </w:t>
      </w:r>
      <w:r>
        <w:t xml:space="preserve">outcome ascertainment.</w:t>
      </w:r>
    </w:p>
    <w:bookmarkEnd w:id="67"/>
    <w:bookmarkStart w:id="68" w:name="cumulative-risk-workflow-considerations"/>
    <w:p>
      <w:pPr>
        <w:pStyle w:val="Heading2"/>
      </w:pPr>
      <w:r>
        <w:t xml:space="preserve">9.3 Cumulative-risk workflow considerations</w:t>
      </w:r>
    </w:p>
    <w:p>
      <w:pPr>
        <w:pStyle w:val="FirstParagraph"/>
      </w:pPr>
      <w:r>
        <w:t xml:space="preserve">cleanTMLE provides software support for several analytic considerations</w:t>
      </w:r>
      <w:r>
        <w:t xml:space="preserve"> </w:t>
      </w:r>
      <w:r>
        <w:t xml:space="preserve">that arise in cumulative-risk pharmacoepidemiology workflows.</w:t>
      </w:r>
    </w:p>
    <w:p>
      <w:pPr>
        <w:pStyle w:val="BodyText"/>
      </w:pPr>
      <w:r>
        <w:rPr>
          <w:i/>
          <w:iCs/>
        </w:rPr>
        <w:t xml:space="preserve">Model specification grammar.</w:t>
      </w:r>
      <w:r>
        <w:t xml:space="preserve"> </w:t>
      </w:r>
      <w:r>
        <w:t xml:space="preserve">The</w:t>
      </w:r>
      <w:r>
        <w:t xml:space="preserve"> </w:t>
      </w:r>
      <w:r>
        <w:rPr>
          <w:rStyle w:val="VerbatimChar"/>
        </w:rPr>
        <w:t xml:space="preserve">identify_*()</w:t>
      </w:r>
      <w:r>
        <w:t xml:space="preserve"> </w:t>
      </w:r>
      <w:r>
        <w:t xml:space="preserve">family</w:t>
      </w:r>
      <w:r>
        <w:t xml:space="preserve"> </w:t>
      </w:r>
      <w:r>
        <w:t xml:space="preserve">(</w:t>
      </w:r>
      <w:r>
        <w:rPr>
          <w:rStyle w:val="VerbatimChar"/>
        </w:rPr>
        <w:t xml:space="preserve">identify_treatment()</w:t>
      </w:r>
      <w:r>
        <w:t xml:space="preserve">,</w:t>
      </w:r>
      <w:r>
        <w:t xml:space="preserve"> </w:t>
      </w:r>
      <w:r>
        <w:rPr>
          <w:rStyle w:val="VerbatimChar"/>
        </w:rPr>
        <w:t xml:space="preserve">identify_outcome()</w:t>
      </w:r>
      <w:r>
        <w:t xml:space="preserve">,</w:t>
      </w:r>
      <w:r>
        <w:t xml:space="preserve"> </w:t>
      </w:r>
      <w:r>
        <w:rPr>
          <w:rStyle w:val="VerbatimChar"/>
        </w:rPr>
        <w:t xml:space="preserve">identify_censoring()</w:t>
      </w:r>
      <w:r>
        <w:t xml:space="preserve">,</w:t>
      </w:r>
      <w:r>
        <w:t xml:space="preserve"> </w:t>
      </w:r>
      <w:r>
        <w:rPr>
          <w:rStyle w:val="VerbatimChar"/>
        </w:rPr>
        <w:t xml:space="preserve">identify_competing_risk()</w:t>
      </w:r>
      <w:r>
        <w:t xml:space="preserve">,</w:t>
      </w:r>
      <w:r>
        <w:t xml:space="preserve"> </w:t>
      </w:r>
      <w:r>
        <w:rPr>
          <w:rStyle w:val="VerbatimChar"/>
        </w:rPr>
        <w:t xml:space="preserve">identify_subject()</w:t>
      </w:r>
      <w:r>
        <w:t xml:space="preserve">,</w:t>
      </w:r>
      <w:r>
        <w:t xml:space="preserve"> </w:t>
      </w:r>
      <w:r>
        <w:rPr>
          <w:rStyle w:val="VerbatimChar"/>
        </w:rPr>
        <w:t xml:space="preserve">identify_interval()</w:t>
      </w:r>
      <w:r>
        <w:t xml:space="preserve">,</w:t>
      </w:r>
      <w:r>
        <w:t xml:space="preserve"> </w:t>
      </w:r>
      <w:r>
        <w:rPr>
          <w:rStyle w:val="VerbatimChar"/>
        </w:rPr>
        <w:t xml:space="preserve">identify_missing()</w:t>
      </w:r>
      <w:r>
        <w:t xml:space="preserve">) and the</w:t>
      </w:r>
      <w:r>
        <w:t xml:space="preserve"> </w:t>
      </w:r>
      <w:r>
        <w:rPr>
          <w:rStyle w:val="VerbatimChar"/>
        </w:rPr>
        <w:t xml:space="preserve">specify_models()</w:t>
      </w:r>
      <w:r>
        <w:t xml:space="preserve"> </w:t>
      </w:r>
      <w:r>
        <w:t xml:space="preserve">constructor allow</w:t>
      </w:r>
      <w:r>
        <w:t xml:space="preserve"> </w:t>
      </w:r>
      <w:r>
        <w:t xml:space="preserve">analysts to declare eligibility, treatment, outcome, censoring,</w:t>
      </w:r>
      <w:r>
        <w:t xml:space="preserve"> </w:t>
      </w:r>
      <w:r>
        <w:t xml:space="preserve">competing-risk, follow-up-interval, and intercurrent-event components</w:t>
      </w:r>
      <w:r>
        <w:t xml:space="preserve"> </w:t>
      </w:r>
      <w:r>
        <w:t xml:space="preserve">as code objects rather than prose. This lets the analysis lock</w:t>
      </w:r>
      <w:r>
        <w:t xml:space="preserve"> </w:t>
      </w:r>
      <w:r>
        <w:t xml:space="preserve">fingerprint the cohort definition together with the estimator.</w:t>
      </w:r>
    </w:p>
    <w:p>
      <w:pPr>
        <w:pStyle w:val="BodyText"/>
      </w:pPr>
      <w:r>
        <w:rPr>
          <w:i/>
          <w:iCs/>
        </w:rPr>
        <w:t xml:space="preserve">Cumulative-risk reporting.</w:t>
      </w:r>
      <w:r>
        <w:t xml:space="preserve"> </w:t>
      </w:r>
      <w:r>
        <w:t xml:space="preserve">The workflow reports a compact table of</w:t>
      </w:r>
      <w:r>
        <w:t xml:space="preserve"> </w:t>
      </w:r>
      <w:r>
        <w:t xml:space="preserve">cumulative risks at clinically meaningful follow-up times, paired</w:t>
      </w:r>
      <w:r>
        <w:t xml:space="preserve"> </w:t>
      </w:r>
      <w:r>
        <w:t xml:space="preserve">with risk-difference and risk-ratio summaries, and emphasises</w:t>
      </w:r>
      <w:r>
        <w:t xml:space="preserve"> </w:t>
      </w:r>
      <w:r>
        <w:t xml:space="preserve">absolute risks at prespecified times rather than ratio-only</w:t>
      </w:r>
      <w:r>
        <w:t xml:space="preserve"> </w:t>
      </w:r>
      <w:r>
        <w:t xml:space="preserve">summaries.</w:t>
      </w:r>
    </w:p>
    <w:p>
      <w:pPr>
        <w:pStyle w:val="BodyText"/>
      </w:pPr>
      <w:r>
        <w:rPr>
          <w:i/>
          <w:iCs/>
        </w:rPr>
        <w:t xml:space="preserve">Censoring and missingness weights as a first-class analytic object.</w:t>
      </w:r>
      <w:r>
        <w:t xml:space="preserve"> </w:t>
      </w:r>
      <w:r>
        <w:rPr>
          <w:rStyle w:val="VerbatimChar"/>
        </w:rPr>
        <w:t xml:space="preserve">run_ipcw_tmle()</w:t>
      </w:r>
      <w:r>
        <w:t xml:space="preserve"> </w:t>
      </w:r>
      <w:r>
        <w:t xml:space="preserve">carries inverse-probability-of-censoring weights</w:t>
      </w:r>
      <w:r>
        <w:t xml:space="preserve"> </w:t>
      </w:r>
      <w:r>
        <w:t xml:space="preserve">through the targeting step, and</w:t>
      </w:r>
      <w:r>
        <w:t xml:space="preserve"> </w:t>
      </w:r>
      <w:r>
        <w:rPr>
          <w:rStyle w:val="VerbatimChar"/>
        </w:rPr>
        <w:t xml:space="preserve">clean_weight_diagnostics()</w:t>
      </w:r>
      <w:r>
        <w:t xml:space="preserve"> </w:t>
      </w:r>
      <w:r>
        <w:t xml:space="preserve">exposes</w:t>
      </w:r>
      <w:r>
        <w:t xml:space="preserve"> </w:t>
      </w:r>
      <w:r>
        <w:t xml:space="preserve">effective sample size (ESS), weight percentiles, the maximum weight, and</w:t>
      </w:r>
      <w:r>
        <w:t xml:space="preserve"> </w:t>
      </w:r>
      <w:r>
        <w:t xml:space="preserve">prespecified instability thresholds so that weight behaviour is</w:t>
      </w:r>
      <w:r>
        <w:t xml:space="preserve"> </w:t>
      </w:r>
      <w:r>
        <w:t xml:space="preserve">auditable alongside the point estimate rather than buried inside a</w:t>
      </w:r>
      <w:r>
        <w:t xml:space="preserve"> </w:t>
      </w:r>
      <w:r>
        <w:t xml:space="preserve">nuisance fit.</w:t>
      </w:r>
    </w:p>
    <w:p>
      <w:pPr>
        <w:pStyle w:val="BodyText"/>
      </w:pPr>
      <w:r>
        <w:rPr>
          <w:i/>
          <w:iCs/>
        </w:rPr>
        <w:t xml:space="preserve">Event-process classification.</w:t>
      </w:r>
      <w:r>
        <w:t xml:space="preserve"> </w:t>
      </w:r>
      <w:r>
        <w:t xml:space="preserve">The workflow distinguishes event of</w:t>
      </w:r>
      <w:r>
        <w:t xml:space="preserve"> </w:t>
      </w:r>
      <w:r>
        <w:t xml:space="preserve">interest, competing event, censoring, treatment discontinuation or</w:t>
      </w:r>
      <w:r>
        <w:t xml:space="preserve"> </w:t>
      </w:r>
      <w:r>
        <w:t xml:space="preserve">switching, transfer-driven exclusions, and administrative end of</w:t>
      </w:r>
      <w:r>
        <w:t xml:space="preserve"> </w:t>
      </w:r>
      <w:r>
        <w:t xml:space="preserve">follow-up, and checks component-vs-composite coherence so that</w:t>
      </w:r>
      <w:r>
        <w:t xml:space="preserve"> </w:t>
      </w:r>
      <w:r>
        <w:t xml:space="preserve">follow-up accounting is explicit rather than implicit. It records</w:t>
      </w:r>
      <w:r>
        <w:t xml:space="preserve"> </w:t>
      </w:r>
      <w:r>
        <w:t xml:space="preserve">and checks event-process structure; v0.1 does not yet estimate</w:t>
      </w:r>
      <w:r>
        <w:t xml:space="preserve"> </w:t>
      </w:r>
      <w:r>
        <w:t xml:space="preserve">native competing-risk cumulative-incidence estimands.</w:t>
      </w:r>
    </w:p>
    <w:p>
      <w:pPr>
        <w:pStyle w:val="BodyText"/>
      </w:pPr>
      <w:r>
        <w:rPr>
          <w:i/>
          <w:iCs/>
        </w:rPr>
        <w:t xml:space="preserve">Hazard-ratio de-emphasis.</w:t>
      </w:r>
      <w:r>
        <w:t xml:space="preserve"> </w:t>
      </w:r>
      <w:r>
        <w:t xml:space="preserve">Cumulative risks, risk differences,</w:t>
      </w:r>
      <w:r>
        <w:t xml:space="preserve"> </w:t>
      </w:r>
      <w:r>
        <w:t xml:space="preserve">and risk ratios at clinically meaningful time points are more</w:t>
      </w:r>
      <w:r>
        <w:t xml:space="preserve"> </w:t>
      </w:r>
      <w:r>
        <w:t xml:space="preserve">directly aligned with counterfactual estimands in many RWE</w:t>
      </w:r>
      <w:r>
        <w:t xml:space="preserve"> </w:t>
      </w:r>
      <w:r>
        <w:t xml:space="preserve">settings. Hazard ratios are treated as secondary unless the</w:t>
      </w:r>
      <w:r>
        <w:t xml:space="preserve"> </w:t>
      </w:r>
      <w:r>
        <w:t xml:space="preserve">estimand is explicitly defined on the hazard scale and a</w:t>
      </w:r>
      <w:r>
        <w:t xml:space="preserve"> </w:t>
      </w:r>
      <w:r>
        <w:t xml:space="preserve">proportional-hazards interpretation is scientifically justified.</w:t>
      </w:r>
    </w:p>
    <w:bookmarkEnd w:id="68"/>
    <w:bookmarkStart w:id="69" w:name="X0dca275365b1ea9fc0b3ffe97cd757b2bc51779"/>
    <w:p>
      <w:pPr>
        <w:pStyle w:val="Heading2"/>
      </w:pPr>
      <w:r>
        <w:t xml:space="preserve">9.4 Pre-outcome diagnostics for treatment, censoring, and missingness</w:t>
      </w:r>
    </w:p>
    <w:p>
      <w:pPr>
        <w:pStyle w:val="FirstParagraph"/>
      </w:pPr>
      <w:r>
        <w:t xml:space="preserve">Before outcome-unblinded estimation, investigators should report</w:t>
      </w:r>
      <w:r>
        <w:t xml:space="preserve"> </w:t>
      </w:r>
      <w:r>
        <w:t xml:space="preserve">diagnostics for the treatment, censoring, and missingness</w:t>
      </w:r>
      <w:r>
        <w:t xml:space="preserve"> </w:t>
      </w:r>
      <w:r>
        <w:t xml:space="preserve">mechanisms that support identification and estimator stability.</w:t>
      </w:r>
      <w:r>
        <w:t xml:space="preserve"> </w:t>
      </w:r>
      <w:r>
        <w:t xml:space="preserve">These include propensity-score overlap, distributions of treatment</w:t>
      </w:r>
      <w:r>
        <w:t xml:space="preserve"> </w:t>
      </w:r>
      <w:r>
        <w:t xml:space="preserve">and censoring weights, effective sample size, covariate balance</w:t>
      </w:r>
      <w:r>
        <w:t xml:space="preserve"> </w:t>
      </w:r>
      <w:r>
        <w:t xml:space="preserve">before and after weighting, and prespecified thresholds for</w:t>
      </w:r>
      <w:r>
        <w:t xml:space="preserve"> </w:t>
      </w:r>
      <w:r>
        <w:t xml:space="preserve">unacceptable positivity or weight instability. IPTW weights are</w:t>
      </w:r>
      <w:r>
        <w:t xml:space="preserve"> </w:t>
      </w:r>
      <w:r>
        <w:t xml:space="preserve">stabilised by default in cleanTMLE; effective sample size is</w:t>
      </w:r>
      <w:r>
        <w:t xml:space="preserve"> </w:t>
      </w:r>
      <w:r>
        <w:t xml:space="preserve">reported using the Kish formula on the stabilised weights so that</w:t>
      </w:r>
      <w:r>
        <w:t xml:space="preserve"> </w:t>
      </w:r>
      <w:r>
        <w:t xml:space="preserve">ESS is comparable across truncation candidates and across the</w:t>
      </w:r>
      <w:r>
        <w:t xml:space="preserve"> </w:t>
      </w:r>
      <w:r>
        <w:t xml:space="preserve">treatment- and censoring-weight passes.</w:t>
      </w:r>
      <w:r>
        <w:t xml:space="preserve"> </w:t>
      </w:r>
      <w:r>
        <w:rPr>
          <w:rStyle w:val="VerbatimChar"/>
        </w:rPr>
        <w:t xml:space="preserve">clean_weight_diagnostics()</w:t>
      </w:r>
      <w:r>
        <w:t xml:space="preserve"> </w:t>
      </w:r>
      <w:r>
        <w:t xml:space="preserve">lists the top-percentile units alongside the summary distribution,</w:t>
      </w:r>
      <w:r>
        <w:t xml:space="preserve"> </w:t>
      </w:r>
      <w:r>
        <w:t xml:space="preserve">and</w:t>
      </w:r>
      <w:r>
        <w:t xml:space="preserve"> </w:t>
      </w:r>
      <w:r>
        <w:rPr>
          <w:rStyle w:val="VerbatimChar"/>
        </w:rPr>
        <w:t xml:space="preserve">assess_support()</w:t>
      </w:r>
      <w:r>
        <w:t xml:space="preserve"> </w:t>
      </w:r>
      <w:r>
        <w:t xml:space="preserve">carries the overlap grading of</w:t>
      </w:r>
      <w:r>
        <w:t xml:space="preserve"> </w:t>
      </w:r>
      <w:hyperlink w:anchor="sec-support">
        <w:r>
          <w:rPr>
            <w:rStyle w:val="Hyperlink"/>
          </w:rPr>
          <w:t xml:space="preserve">Section 6</w:t>
        </w:r>
      </w:hyperlink>
      <w:r>
        <w:t xml:space="preserve">.</w:t>
      </w:r>
    </w:p>
    <w:p>
      <w:pPr>
        <w:pStyle w:val="BodyText"/>
      </w:pPr>
      <w:r>
        <w:t xml:space="preserve">For covariate balance, the recommended display is a Love plot of</w:t>
      </w:r>
      <w:r>
        <w:t xml:space="preserve"> </w:t>
      </w:r>
      <w:r>
        <w:t xml:space="preserve">absolute standardised mean differences in the unweighted cohort and</w:t>
      </w:r>
      <w:r>
        <w:t xml:space="preserve"> </w:t>
      </w:r>
      <w:r>
        <w:t xml:space="preserve">after weighting or matching (</w:t>
      </w:r>
      <w:r>
        <w:rPr>
          <w:rStyle w:val="VerbatimChar"/>
        </w:rPr>
        <w:t xml:space="preserve">love_plot()</w:t>
      </w:r>
      <w:r>
        <w:t xml:space="preserve"> </w:t>
      </w:r>
      <w:r>
        <w:t xml:space="preserve">consumes the balance table</w:t>
      </w:r>
      <w:r>
        <w:t xml:space="preserve"> </w:t>
      </w:r>
      <w:r>
        <w:t xml:space="preserve">that</w:t>
      </w:r>
      <w:r>
        <w:t xml:space="preserve"> </w:t>
      </w:r>
      <w:r>
        <w:rPr>
          <w:rStyle w:val="VerbatimChar"/>
        </w:rPr>
        <w:t xml:space="preserve">assess_support()</w:t>
      </w:r>
      <w:r>
        <w:t xml:space="preserve"> </w:t>
      </w:r>
      <w:r>
        <w:t xml:space="preserve">computes, or a matched comparison). Plotting</w:t>
      </w:r>
      <w:r>
        <w:t xml:space="preserve"> </w:t>
      </w:r>
      <w:r>
        <w:t xml:space="preserve">the strategies on a single axis makes it visible which covariates</w:t>
      </w:r>
      <w:r>
        <w:t xml:space="preserve"> </w:t>
      </w:r>
      <w:r>
        <w:t xml:space="preserve">remain imbalanced under which weighting strategy and supports the</w:t>
      </w:r>
      <w:r>
        <w:t xml:space="preserve"> </w:t>
      </w:r>
      <w:r>
        <w:t xml:space="preserve">estimator-vs-estimand distinction recorded in the ladder</w:t>
      </w:r>
      <w:r>
        <w:t xml:space="preserve"> </w:t>
      </w:r>
      <w:r>
        <w:t xml:space="preserve">declaration. When competing</w:t>
      </w:r>
      <w:r>
        <w:t xml:space="preserve"> </w:t>
      </w:r>
      <w:r>
        <w:t xml:space="preserve">events are present, cumulative incidence for the event of</w:t>
      </w:r>
      <w:r>
        <w:t xml:space="preserve"> </w:t>
      </w:r>
      <w:r>
        <w:t xml:space="preserve">interest, the competing event, and the composite event should be</w:t>
      </w:r>
      <w:r>
        <w:t xml:space="preserve"> </w:t>
      </w:r>
      <w:r>
        <w:t xml:space="preserve">reported together, with internal checks that component risks are</w:t>
      </w:r>
      <w:r>
        <w:t xml:space="preserve"> </w:t>
      </w:r>
      <w:r>
        <w:t xml:space="preserve">coherent with the composite risk. The package supports these</w:t>
      </w:r>
      <w:r>
        <w:t xml:space="preserve"> </w:t>
      </w:r>
      <w:r>
        <w:t xml:space="preserve">checks via</w:t>
      </w:r>
      <w:r>
        <w:t xml:space="preserve"> </w:t>
      </w:r>
      <w:r>
        <w:rPr>
          <w:rStyle w:val="VerbatimChar"/>
        </w:rPr>
        <w:t xml:space="preserve">clean_weight_diagnostics()</w:t>
      </w:r>
      <w:r>
        <w:t xml:space="preserve"> </w:t>
      </w:r>
      <w:r>
        <w:t xml:space="preserve">for treatment and</w:t>
      </w:r>
      <w:r>
        <w:t xml:space="preserve"> </w:t>
      </w:r>
      <w:r>
        <w:t xml:space="preserve">censoring weights; component-vs-composite coherence of cumulative</w:t>
      </w:r>
      <w:r>
        <w:t xml:space="preserve"> </w:t>
      </w:r>
      <w:r>
        <w:t xml:space="preserve">incidences is checked explicitly. Applied to a worked</w:t>
      </w:r>
      <w:r>
        <w:t xml:space="preserve"> </w:t>
      </w:r>
      <w:r>
        <w:t xml:space="preserve">event-process table with the event-of-interest, competing, and</w:t>
      </w:r>
      <w:r>
        <w:t xml:space="preserve"> </w:t>
      </w:r>
      <w:r>
        <w:t xml:space="preserve">composite risks at three follow-up times, the coherence check</w:t>
      </w:r>
      <w:r>
        <w:t xml:space="preserve"> </w:t>
      </w:r>
      <w:r>
        <w:t xml:space="preserve">flags each row that violates additivity:</w:t>
      </w:r>
    </w:p>
    <w:p>
      <w:pPr>
        <w:pStyle w:val="SourceCode"/>
      </w:pPr>
      <w:r>
        <w:rPr>
          <w:rStyle w:val="VerbatimChar"/>
        </w:rPr>
        <w:t xml:space="preserve">R&gt;    time_point event_of_interest_risk competing_event_risk composite_risk</w:t>
      </w:r>
      <w:r>
        <w:br/>
      </w:r>
      <w:r>
        <w:rPr>
          <w:rStyle w:val="VerbatimChar"/>
        </w:rPr>
        <w:t xml:space="preserve">R&gt;  1         30                  0.012                0.006          0.018</w:t>
      </w:r>
      <w:r>
        <w:br/>
      </w:r>
      <w:r>
        <w:rPr>
          <w:rStyle w:val="VerbatimChar"/>
        </w:rPr>
        <w:t xml:space="preserve">R&gt;  2         90                  0.024                0.015          0.039</w:t>
      </w:r>
      <w:r>
        <w:br/>
      </w:r>
      <w:r>
        <w:rPr>
          <w:rStyle w:val="VerbatimChar"/>
        </w:rPr>
        <w:t xml:space="preserve">R&gt;  3        180                  0.051                0.038          0.089</w:t>
      </w:r>
      <w:r>
        <w:br/>
      </w:r>
      <w:r>
        <w:rPr>
          <w:rStyle w:val="VerbatimChar"/>
        </w:rPr>
        <w:t xml:space="preserve">R&gt;    component_sum coherent</w:t>
      </w:r>
      <w:r>
        <w:br/>
      </w:r>
      <w:r>
        <w:rPr>
          <w:rStyle w:val="VerbatimChar"/>
        </w:rPr>
        <w:t xml:space="preserve">R&gt;  1         0.018     TRUE</w:t>
      </w:r>
      <w:r>
        <w:br/>
      </w:r>
      <w:r>
        <w:rPr>
          <w:rStyle w:val="VerbatimChar"/>
        </w:rPr>
        <w:t xml:space="preserve">R&gt;  2         0.039     TRUE</w:t>
      </w:r>
      <w:r>
        <w:br/>
      </w:r>
      <w:r>
        <w:rPr>
          <w:rStyle w:val="VerbatimChar"/>
        </w:rPr>
        <w:t xml:space="preserve">R&gt;  3         0.089     TRUE</w:t>
      </w:r>
    </w:p>
    <w:bookmarkEnd w:id="69"/>
    <w:bookmarkStart w:id="70" w:name="Xf50b5df1c7478f84a38ff2d616f12345ba7582f"/>
    <w:p>
      <w:pPr>
        <w:pStyle w:val="Heading2"/>
      </w:pPr>
      <w:r>
        <w:t xml:space="preserve">9.5 Reporting cumulative risks rather than hazard ratios</w:t>
      </w:r>
    </w:p>
    <w:p>
      <w:pPr>
        <w:pStyle w:val="FirstParagraph"/>
      </w:pPr>
      <w:r>
        <w:t xml:space="preserve">Cumulative risks, risk differences, and risk ratios at clinically</w:t>
      </w:r>
      <w:r>
        <w:t xml:space="preserve"> </w:t>
      </w:r>
      <w:r>
        <w:t xml:space="preserve">meaningful time points are more directly aligned with counterfactual</w:t>
      </w:r>
      <w:r>
        <w:t xml:space="preserve"> </w:t>
      </w:r>
      <w:r>
        <w:t xml:space="preserve">estimands in many RWE settings: each corresponds to a contrast of</w:t>
      </w:r>
      <w:r>
        <w:t xml:space="preserve"> </w:t>
      </w:r>
      <w:r>
        <w:t xml:space="preserve">counterfactual risks at a clinically interpretable horizon, with</w:t>
      </w:r>
      <w:r>
        <w:t xml:space="preserve"> </w:t>
      </w:r>
      <w:r>
        <w:t xml:space="preserve">no implicit averaging across a follow-up window during which the</w:t>
      </w:r>
      <w:r>
        <w:t xml:space="preserve"> </w:t>
      </w:r>
      <w:r>
        <w:t xml:space="preserve">hazard ratio may not be constant. Hazard ratios should be treated</w:t>
      </w:r>
      <w:r>
        <w:t xml:space="preserve"> </w:t>
      </w:r>
      <w:r>
        <w:t xml:space="preserve">as secondary unless the estimand is explicitly defined on the</w:t>
      </w:r>
      <w:r>
        <w:t xml:space="preserve"> </w:t>
      </w:r>
      <w:r>
        <w:t xml:space="preserve">hazard scale and a proportional-hazards interpretation is</w:t>
      </w:r>
      <w:r>
        <w:t xml:space="preserve"> </w:t>
      </w:r>
      <w:r>
        <w:t xml:space="preserve">scientifically justified for the question at hand. cleanTMLE</w:t>
      </w:r>
      <w:r>
        <w:t xml:space="preserve"> </w:t>
      </w:r>
      <w:r>
        <w:t xml:space="preserve">reflects this ordering: it reports a single structured table of</w:t>
      </w:r>
      <w:r>
        <w:t xml:space="preserve"> </w:t>
      </w:r>
      <w:r>
        <w:t xml:space="preserve">cumulative risks, contrasts, and event counts at the prespecified</w:t>
      </w:r>
      <w:r>
        <w:t xml:space="preserve"> </w:t>
      </w:r>
      <w:r>
        <w:t xml:space="preserve">follow-up time, and hazard-ratio helpers are provided only as</w:t>
      </w:r>
      <w:r>
        <w:t xml:space="preserve"> </w:t>
      </w:r>
      <w:r>
        <w:t xml:space="preserve">secondary analyses with an explicit hazard-scale estimand</w:t>
      </w:r>
      <w:r>
        <w:t xml:space="preserve"> </w:t>
      </w:r>
      <w:r>
        <w:t xml:space="preserve">declaration.</w:t>
      </w:r>
    </w:p>
    <w:bookmarkEnd w:id="70"/>
    <w:bookmarkEnd w:id="71"/>
    <w:bookmarkStart w:id="115" w:name="sec-simulation"/>
    <w:p>
      <w:pPr>
        <w:pStyle w:val="Heading1"/>
      </w:pPr>
      <w:r>
        <w:t xml:space="preserve">10. Simulation Study</w:t>
      </w:r>
    </w:p>
    <w:bookmarkStart w:id="72" w:name="design"/>
    <w:p>
      <w:pPr>
        <w:pStyle w:val="Heading2"/>
      </w:pPr>
      <w:r>
        <w:t xml:space="preserve">10.1 Design</w:t>
      </w:r>
    </w:p>
    <w:p>
      <w:pPr>
        <w:pStyle w:val="FirstParagraph"/>
      </w:pPr>
      <w:r>
        <w:t xml:space="preserve">We run a Monte Carlo simulation with</w:t>
      </w:r>
      <w:r>
        <w:t xml:space="preserve"> </w:t>
      </w:r>
      <m:oMath>
        <m:r>
          <m:t>N</m:t>
        </m:r>
        <m:r>
          <m:rPr>
            <m:sty m:val="p"/>
          </m:rPr>
          <m:t>=</m:t>
        </m:r>
        <m:r>
          <m:t>2000</m:t>
        </m:r>
      </m:oMath>
      <w:r>
        <w:t xml:space="preserve"> </w:t>
      </w:r>
      <w:r>
        <w:t xml:space="preserve">observations per</w:t>
      </w:r>
      <w:r>
        <w:t xml:space="preserve"> </w:t>
      </w:r>
      <w:r>
        <w:t xml:space="preserve">replicate. Six estimators are compared:</w:t>
      </w:r>
    </w:p>
    <w:p>
      <w:pPr>
        <w:pStyle w:val="Compact"/>
        <w:numPr>
          <w:ilvl w:val="0"/>
          <w:numId w:val="1004"/>
        </w:numPr>
      </w:pPr>
      <w:r>
        <w:rPr>
          <w:b/>
          <w:bCs/>
        </w:rPr>
        <w:t xml:space="preserve">Crude:</w:t>
      </w:r>
      <w:r>
        <w:t xml:space="preserve"> </w:t>
      </w:r>
      <w:r>
        <w:t xml:space="preserve">unadjusted risk difference.</w:t>
      </w:r>
    </w:p>
    <w:p>
      <w:pPr>
        <w:pStyle w:val="Compact"/>
        <w:numPr>
          <w:ilvl w:val="0"/>
          <w:numId w:val="1004"/>
        </w:numPr>
      </w:pPr>
      <w:r>
        <w:rPr>
          <w:b/>
          <w:bCs/>
        </w:rPr>
        <w:t xml:space="preserve">IPTW:</w:t>
      </w:r>
      <w:r>
        <w:t xml:space="preserve"> </w:t>
      </w:r>
      <w:r>
        <w:t xml:space="preserve">stabilised inverse-probability-of-treatment weighting.</w:t>
      </w:r>
    </w:p>
    <w:p>
      <w:pPr>
        <w:pStyle w:val="Compact"/>
        <w:numPr>
          <w:ilvl w:val="0"/>
          <w:numId w:val="1004"/>
        </w:numPr>
      </w:pPr>
      <w:r>
        <w:rPr>
          <w:b/>
          <w:bCs/>
        </w:rPr>
        <w:t xml:space="preserve">PS Match:</w:t>
      </w:r>
      <w:r>
        <w:t xml:space="preserve"> </w:t>
      </w:r>
      <w:r>
        <w:t xml:space="preserve">1:1 nearest-neighbour propensity-score matching.</w:t>
      </w:r>
    </w:p>
    <w:p>
      <w:pPr>
        <w:pStyle w:val="Compact"/>
        <w:numPr>
          <w:ilvl w:val="0"/>
          <w:numId w:val="1004"/>
        </w:numPr>
      </w:pPr>
      <w:r>
        <w:rPr>
          <w:b/>
          <w:bCs/>
        </w:rPr>
        <w:t xml:space="preserve">TMLE:</w:t>
      </w:r>
      <w:r>
        <w:t xml:space="preserve"> </w:t>
      </w:r>
      <w:r>
        <w:t xml:space="preserve">TMLE with the plasmode-selected specification, no</w:t>
      </w:r>
      <w:r>
        <w:t xml:space="preserve"> </w:t>
      </w:r>
      <w:r>
        <w:t xml:space="preserve">cross-fitting.</w:t>
      </w:r>
    </w:p>
    <w:p>
      <w:pPr>
        <w:pStyle w:val="Compact"/>
        <w:numPr>
          <w:ilvl w:val="0"/>
          <w:numId w:val="1004"/>
        </w:numPr>
      </w:pPr>
      <w:r>
        <w:rPr>
          <w:b/>
          <w:bCs/>
        </w:rPr>
        <w:t xml:space="preserve">TMLE_CF (CV-TMLE):</w:t>
      </w:r>
      <w:r>
        <w:t xml:space="preserve"> </w:t>
      </w:r>
      <w:r>
        <w:t xml:space="preserve">cross-validated TMLE with two folds. We</w:t>
      </w:r>
      <w:r>
        <w:t xml:space="preserve"> </w:t>
      </w:r>
      <w:r>
        <w:t xml:space="preserve">use the names</w:t>
      </w:r>
      <w:r>
        <w:t xml:space="preserve"> </w:t>
      </w:r>
      <w:r>
        <w:t xml:space="preserve">“cross-validated TMLE”</w:t>
      </w:r>
      <w:r>
        <w:t xml:space="preserve"> </w:t>
      </w:r>
      <w:r>
        <w:t xml:space="preserve">and</w:t>
      </w:r>
      <w:r>
        <w:t xml:space="preserve"> </w:t>
      </w:r>
      <w:r>
        <w:t xml:space="preserve">“cross-fitted TMLE”</w:t>
      </w:r>
      <w:r>
        <w:t xml:space="preserve"> </w:t>
      </w:r>
      <w:r>
        <w:t xml:space="preserve">interchangeably; both describe the sample-split estimator of</w:t>
      </w:r>
      <w:r>
        <w:t xml:space="preserve"> </w:t>
      </w:r>
      <w:r>
        <w:t xml:space="preserve">Zheng and Laan (2011)</w:t>
      </w:r>
      <w:r>
        <w:t xml:space="preserve"> </w:t>
      </w:r>
      <w:r>
        <w:t xml:space="preserve">and</w:t>
      </w:r>
      <w:r>
        <w:t xml:space="preserve"> </w:t>
      </w:r>
      <w:r>
        <w:t xml:space="preserve">Chernozhukov et al. (2018)</w:t>
      </w:r>
      <w:r>
        <w:t xml:space="preserve"> </w:t>
      </w:r>
      <w:r>
        <w:t xml:space="preserve">in which the</w:t>
      </w:r>
      <w:r>
        <w:t xml:space="preserve"> </w:t>
      </w:r>
      <w:r>
        <w:t xml:space="preserve">nuisance fits are made on data held out from the targeting step.</w:t>
      </w:r>
    </w:p>
    <w:p>
      <w:pPr>
        <w:pStyle w:val="Compact"/>
        <w:numPr>
          <w:ilvl w:val="0"/>
          <w:numId w:val="1004"/>
        </w:numPr>
      </w:pPr>
      <w:r>
        <w:rPr>
          <w:b/>
          <w:bCs/>
        </w:rPr>
        <w:t xml:space="preserve">Match_TMLE:</w:t>
      </w:r>
      <w:r>
        <w:t xml:space="preserve"> </w:t>
      </w:r>
      <w:r>
        <w:t xml:space="preserve">TMLE on the propensity-matched subset.</w:t>
      </w:r>
    </w:p>
    <w:p>
      <w:pPr>
        <w:pStyle w:val="FirstParagraph"/>
      </w:pPr>
      <w:r>
        <w:t xml:space="preserve">Four scenarios are run:</w:t>
      </w:r>
    </w:p>
    <w:p>
      <w:pPr>
        <w:pStyle w:val="Compact"/>
        <w:numPr>
          <w:ilvl w:val="0"/>
          <w:numId w:val="1005"/>
        </w:numPr>
      </w:pPr>
      <w:r>
        <w:rPr>
          <w:b/>
          <w:bCs/>
        </w:rPr>
        <w:t xml:space="preserve">A. Good overlap.</w:t>
      </w:r>
      <w:r>
        <w:t xml:space="preserve"> </w:t>
      </w:r>
      <w:r>
        <w:rPr>
          <w:rStyle w:val="VerbatimChar"/>
        </w:rPr>
        <w:t xml:space="preserve">overlap_strength = 0.5</w:t>
      </w:r>
      <w:r>
        <w:t xml:space="preserve">, no unmeasured</w:t>
      </w:r>
      <w:r>
        <w:t xml:space="preserve"> </w:t>
      </w:r>
      <w:r>
        <w:t xml:space="preserve">confounding. Propensity scores stay inside</w:t>
      </w:r>
      <w:r>
        <w:t xml:space="preserve"> </w:t>
      </w:r>
      <m:oMath>
        <m:d>
          <m:dPr>
            <m:begChr m:val="["/>
            <m:endChr m:val="]"/>
            <m:sepChr m:val=""/>
            <m:grow/>
          </m:dPr>
          <m:e>
            <m:r>
              <m:t>0.2</m:t>
            </m:r>
            <m:r>
              <m:rPr>
                <m:sty m:val="p"/>
              </m:rPr>
              <m:t>,</m:t>
            </m:r>
            <m:r>
              <m:t>0.8</m:t>
            </m:r>
          </m:e>
        </m:d>
      </m:oMath>
      <w:r>
        <w:t xml:space="preserve">.</w:t>
      </w:r>
    </w:p>
    <w:p>
      <w:pPr>
        <w:pStyle w:val="Compact"/>
        <w:numPr>
          <w:ilvl w:val="0"/>
          <w:numId w:val="1005"/>
        </w:numPr>
      </w:pPr>
      <w:r>
        <w:rPr>
          <w:b/>
          <w:bCs/>
        </w:rPr>
        <w:t xml:space="preserve">B. Marginal overlap.</w:t>
      </w:r>
      <w:r>
        <w:t xml:space="preserve"> </w:t>
      </w:r>
      <w:r>
        <w:rPr>
          <w:rStyle w:val="VerbatimChar"/>
        </w:rPr>
        <w:t xml:space="preserve">overlap_strength = 1.5</w:t>
      </w:r>
      <w:r>
        <w:t xml:space="preserve">, no unmeasured</w:t>
      </w:r>
      <w:r>
        <w:t xml:space="preserve"> </w:t>
      </w:r>
      <w:r>
        <w:t xml:space="preserve">confounding. Propensity scores reach</w:t>
      </w:r>
      <w:r>
        <w:t xml:space="preserve"> </w:t>
      </w:r>
      <m:oMath>
        <m:d>
          <m:dPr>
            <m:begChr m:val="["/>
            <m:endChr m:val="]"/>
            <m:sepChr m:val=""/>
            <m:grow/>
          </m:dPr>
          <m:e>
            <m:r>
              <m:t>0.04</m:t>
            </m:r>
            <m:r>
              <m:rPr>
                <m:sty m:val="p"/>
              </m:rPr>
              <m:t>,</m:t>
            </m:r>
            <m:r>
              <m:t>0.99</m:t>
            </m:r>
          </m:e>
        </m:d>
      </m:oMath>
      <w:r>
        <w:t xml:space="preserve">.</w:t>
      </w:r>
    </w:p>
    <w:p>
      <w:pPr>
        <w:pStyle w:val="Compact"/>
        <w:numPr>
          <w:ilvl w:val="0"/>
          <w:numId w:val="1005"/>
        </w:numPr>
      </w:pPr>
      <w:r>
        <w:rPr>
          <w:b/>
          <w:bCs/>
        </w:rPr>
        <w:t xml:space="preserve">C. Unmeasured confounding.</w:t>
      </w:r>
      <w:r>
        <w:t xml:space="preserve"> </w:t>
      </w:r>
      <w:r>
        <w:rPr>
          <w:rStyle w:val="VerbatimChar"/>
        </w:rPr>
        <w:t xml:space="preserve">overlap_strength = 0.5</w:t>
      </w:r>
      <w:r>
        <w:t xml:space="preserve">, plus a</w:t>
      </w:r>
      <w:r>
        <w:t xml:space="preserve"> </w:t>
      </w:r>
      <w:r>
        <w:t xml:space="preserve">binary</w:t>
      </w:r>
      <w:r>
        <w:t xml:space="preserve"> </w:t>
      </w:r>
      <m:oMath>
        <m:r>
          <m:t>U</m:t>
        </m:r>
      </m:oMath>
      <w:r>
        <w:t xml:space="preserve"> </w:t>
      </w:r>
      <w:r>
        <w:t xml:space="preserve">with prevalence 0.20 and odds ratios 2.0 for both</w:t>
      </w:r>
      <w:r>
        <w:t xml:space="preserve"> </w:t>
      </w:r>
      <m:oMath>
        <m:r>
          <m:t>A</m:t>
        </m:r>
      </m:oMath>
      <w:r>
        <w:t xml:space="preserve"> </w:t>
      </w:r>
      <w:r>
        <w:t xml:space="preserve">and</w:t>
      </w:r>
      <w:r>
        <w:t xml:space="preserve"> </w:t>
      </w:r>
      <m:oMath>
        <m:r>
          <m:t>Y</m:t>
        </m:r>
      </m:oMath>
      <w:r>
        <w:t xml:space="preserve">. The analyst’s covariate set excludes</w:t>
      </w:r>
      <w:r>
        <w:t xml:space="preserve"> </w:t>
      </w:r>
      <m:oMath>
        <m:r>
          <m:t>U</m:t>
        </m:r>
      </m:oMath>
      <w:r>
        <w:t xml:space="preserve">.</w:t>
      </w:r>
    </w:p>
    <w:p>
      <w:pPr>
        <w:pStyle w:val="Compact"/>
        <w:numPr>
          <w:ilvl w:val="0"/>
          <w:numId w:val="1005"/>
        </w:numPr>
      </w:pPr>
      <w:r>
        <w:rPr>
          <w:b/>
          <w:bCs/>
        </w:rPr>
        <w:t xml:space="preserve">D. Misspecified surface.</w:t>
      </w:r>
      <w:r>
        <w:t xml:space="preserve"> </w:t>
      </w:r>
      <w:r>
        <w:rPr>
          <w:rStyle w:val="VerbatimChar"/>
        </w:rPr>
        <w:t xml:space="preserve">overlap_strength = 0.5</w:t>
      </w:r>
      <w:r>
        <w:t xml:space="preserve">, no unmeasured</w:t>
      </w:r>
      <w:r>
        <w:t xml:space="preserve"> </w:t>
      </w:r>
      <w:r>
        <w:t xml:space="preserve">confounding, but both the propensity and outcome models are nonlinear</w:t>
      </w:r>
      <w:r>
        <w:t xml:space="preserve"> </w:t>
      </w:r>
      <w:r>
        <w:t xml:space="preserve">(a quadratic in age and a sex-by-biomarker interaction) and the</w:t>
      </w:r>
      <w:r>
        <w:t xml:space="preserve"> </w:t>
      </w:r>
      <w:r>
        <w:t xml:space="preserve">treatment effect is modified by sex. A main-effects GLM is therefore</w:t>
      </w:r>
      <w:r>
        <w:t xml:space="preserve"> </w:t>
      </w:r>
      <w:r>
        <w:t xml:space="preserve">misspecified for both nuisances, so double robustness cannot rescue it.</w:t>
      </w:r>
      <w:r>
        <w:t xml:space="preserve"> </w:t>
      </w:r>
      <w:r>
        <w:t xml:space="preserve">The estimators that rely on a main-effects GLM (crude, IPTW, PS match,</w:t>
      </w:r>
      <w:r>
        <w:t xml:space="preserve"> </w:t>
      </w:r>
      <w:r>
        <w:t xml:space="preserve">and the plasmode-selected TMLE) are contrasted with a cross-fitted TMLE</w:t>
      </w:r>
      <w:r>
        <w:t xml:space="preserve"> </w:t>
      </w:r>
      <w:r>
        <w:t xml:space="preserve">whose nuisance library is flexible (generalised additive model plus</w:t>
      </w:r>
      <w:r>
        <w:t xml:space="preserve"> </w:t>
      </w:r>
      <w:r>
        <w:t xml:space="preserve">pairwise interactions). This is the scenario the linear-logistic designs</w:t>
      </w:r>
      <w:r>
        <w:t xml:space="preserve"> </w:t>
      </w:r>
      <w:r>
        <w:t xml:space="preserve">of A to C cannot exhibit, and it is where the value of flexible nuisance</w:t>
      </w:r>
      <w:r>
        <w:t xml:space="preserve"> </w:t>
      </w:r>
      <w:r>
        <w:t xml:space="preserve">estimation is testable rather than assumed.</w:t>
      </w:r>
    </w:p>
    <w:p>
      <w:pPr>
        <w:pStyle w:val="FirstParagraph"/>
      </w:pPr>
      <w:r>
        <w:t xml:space="preserve">For each scenario the DQ stress test is run over five threat families. The</w:t>
      </w:r>
      <w:r>
        <w:t xml:space="preserve"> </w:t>
      </w:r>
      <w:r>
        <w:t xml:space="preserve">sweep covers covariate missingness under three mechanisms (completely at</w:t>
      </w:r>
      <w:r>
        <w:t xml:space="preserve"> </w:t>
      </w:r>
      <w:r>
        <w:t xml:space="preserve">random at fractions 0.05, 0.10, 0.20; missing at random, treatment-dependent,</w:t>
      </w:r>
      <w:r>
        <w:t xml:space="preserve"> </w:t>
      </w:r>
      <w:r>
        <w:t xml:space="preserve">at 0.10 and 0.20; and missing not at random, value-dependent, at 0.10 and</w:t>
      </w:r>
      <w:r>
        <w:t xml:space="preserve"> </w:t>
      </w:r>
      <w:r>
        <w:t xml:space="preserve">0.20, each followed by median imputation); two paired treatment-ascertainment</w:t>
      </w:r>
      <w:r>
        <w:t xml:space="preserve"> </w:t>
      </w:r>
      <w:r>
        <w:t xml:space="preserve">(sens, spec) cells, (0.95, 0.99) and (0.90, 0.95); the same two paired cells</w:t>
      </w:r>
      <w:r>
        <w:t xml:space="preserve"> </w:t>
      </w:r>
      <w:r>
        <w:t xml:space="preserve">for outcome ascertainment; five unmeasured-confounder strengths</w:t>
      </w:r>
      <w:r>
        <w:t xml:space="preserve"> </w:t>
      </w:r>
      <w:r>
        <w:t xml:space="preserve">(</w:t>
      </w:r>
      <m:oMath>
        <m:d>
          <m:dPr>
            <m:begChr m:val="("/>
            <m:endChr m:val=")"/>
            <m:sepChr m:val=""/>
            <m:grow/>
          </m:dPr>
          <m:e>
            <m:sSub>
              <m:e>
                <m:r>
                  <m:rPr>
                    <m:nor/>
                    <m:sty m:val="p"/>
                  </m:rPr>
                  <m:t>OR</m:t>
                </m:r>
              </m:e>
              <m:sub>
                <m:r>
                  <m:t>A</m:t>
                </m:r>
              </m:sub>
            </m:sSub>
            <m:r>
              <m:rPr>
                <m:sty m:val="p"/>
              </m:rPr>
              <m:t>,</m:t>
            </m:r>
            <m:sSub>
              <m:e>
                <m:r>
                  <m:rPr>
                    <m:nor/>
                    <m:sty m:val="p"/>
                  </m:rPr>
                  <m:t>OR</m:t>
                </m:r>
              </m:e>
              <m:sub>
                <m:r>
                  <m:t>Y</m:t>
                </m:r>
              </m:sub>
            </m:sSub>
          </m:e>
        </m:d>
        <m:r>
          <m:rPr>
            <m:sty m:val="p"/>
          </m:rPr>
          <m:t>∈</m:t>
        </m:r>
        <m:r>
          <m:rPr>
            <m:sty m:val="p"/>
          </m:rPr>
          <m:t>{</m:t>
        </m:r>
        <m:d>
          <m:dPr>
            <m:begChr m:val="("/>
            <m:endChr m:val=")"/>
            <m:sepChr m:val=""/>
            <m:grow/>
          </m:dPr>
          <m:e>
            <m:r>
              <m:t>2</m:t>
            </m:r>
            <m:r>
              <m:rPr>
                <m:sty m:val="p"/>
              </m:rPr>
              <m:t>,</m:t>
            </m:r>
            <m:r>
              <m:t>2</m:t>
            </m:r>
          </m:e>
        </m:d>
        <m:r>
          <m:rPr>
            <m:sty m:val="p"/>
          </m:rPr>
          <m:t>,</m:t>
        </m:r>
        <m:r>
          <m:t> </m:t>
        </m:r>
        <m:d>
          <m:dPr>
            <m:begChr m:val="("/>
            <m:endChr m:val=")"/>
            <m:sepChr m:val=""/>
            <m:grow/>
          </m:dPr>
          <m:e>
            <m:r>
              <m:t>3</m:t>
            </m:r>
            <m:r>
              <m:rPr>
                <m:sty m:val="p"/>
              </m:rPr>
              <m:t>,</m:t>
            </m:r>
            <m:r>
              <m:t>3</m:t>
            </m:r>
          </m:e>
        </m:d>
        <m:r>
          <m:rPr>
            <m:sty m:val="p"/>
          </m:rPr>
          <m:t>,</m:t>
        </m:r>
        <m:r>
          <m:t> </m:t>
        </m:r>
        <m:d>
          <m:dPr>
            <m:begChr m:val="("/>
            <m:endChr m:val=")"/>
            <m:sepChr m:val=""/>
            <m:grow/>
          </m:dPr>
          <m:e>
            <m:r>
              <m:t>4</m:t>
            </m:r>
            <m:r>
              <m:rPr>
                <m:sty m:val="p"/>
              </m:rPr>
              <m:t>,</m:t>
            </m:r>
            <m:r>
              <m:t>4</m:t>
            </m:r>
          </m:e>
        </m:d>
        <m:r>
          <m:rPr>
            <m:sty m:val="p"/>
          </m:rPr>
          <m:t>,</m:t>
        </m:r>
        <m:r>
          <m:t> </m:t>
        </m:r>
        <m:d>
          <m:dPr>
            <m:begChr m:val="("/>
            <m:endChr m:val=")"/>
            <m:sepChr m:val=""/>
            <m:grow/>
          </m:dPr>
          <m:e>
            <m:r>
              <m:t>6</m:t>
            </m:r>
            <m:r>
              <m:rPr>
                <m:sty m:val="p"/>
              </m:rPr>
              <m:t>,</m:t>
            </m:r>
            <m:r>
              <m:t>6</m:t>
            </m:r>
          </m:e>
        </m:d>
        <m:r>
          <m:rPr>
            <m:sty m:val="p"/>
          </m:rPr>
          <m:t>,</m:t>
        </m:r>
        <m:r>
          <m:t> </m:t>
        </m:r>
        <m:d>
          <m:dPr>
            <m:begChr m:val="("/>
            <m:endChr m:val=")"/>
            <m:sepChr m:val=""/>
            <m:grow/>
          </m:dPr>
          <m:e>
            <m:r>
              <m:t>8</m:t>
            </m:r>
            <m:r>
              <m:rPr>
                <m:sty m:val="p"/>
              </m:rPr>
              <m:t>,</m:t>
            </m:r>
            <m:r>
              <m:t>8</m:t>
            </m:r>
          </m:e>
        </m:d>
        <m:r>
          <m:rPr>
            <m:sty m:val="p"/>
          </m:rPr>
          <m:t>}</m:t>
        </m:r>
      </m:oMath>
      <w:r>
        <w:t xml:space="preserve"> </w:t>
      </w:r>
      <w:r>
        <w:t xml:space="preserve">with</w:t>
      </w:r>
      <w:r>
        <w:t xml:space="preserve"> </w:t>
      </w:r>
      <m:oMath>
        <m:r>
          <m:t>U</m:t>
        </m:r>
      </m:oMath>
      <w:r>
        <w:t xml:space="preserve"> </w:t>
      </w:r>
      <w:r>
        <w:t xml:space="preserve">prevalence fixed at 0.20); and three near-positivity slopes</w:t>
      </w:r>
      <w:r>
        <w:t xml:space="preserve"> </w:t>
      </w:r>
      <w:r>
        <w:t xml:space="preserve">(</w:t>
      </w:r>
      <m:oMath>
        <m:r>
          <m:rPr>
            <m:sty m:val="p"/>
          </m:rPr>
          <m:t>×</m:t>
        </m:r>
        <m:r>
          <m:t>2</m:t>
        </m:r>
      </m:oMath>
      <w:r>
        <w:t xml:space="preserve">,</w:t>
      </w:r>
      <w:r>
        <w:t xml:space="preserve"> </w:t>
      </w:r>
      <m:oMath>
        <m:r>
          <m:rPr>
            <m:sty m:val="p"/>
          </m:rPr>
          <m:t>×</m:t>
        </m:r>
        <m:r>
          <m:t>3</m:t>
        </m:r>
      </m:oMath>
      <w:r>
        <w:t xml:space="preserve">,</w:t>
      </w:r>
      <w:r>
        <w:t xml:space="preserve"> </w:t>
      </w:r>
      <m:oMath>
        <m:r>
          <m:rPr>
            <m:sty m:val="p"/>
          </m:rPr>
          <m:t>×</m:t>
        </m:r>
        <m:r>
          <m:t>4</m:t>
        </m:r>
      </m:oMath>
      <w:r>
        <w:t xml:space="preserve">) that amplify the</w:t>
      </w:r>
      <w:r>
        <w:t xml:space="preserve"> </w:t>
      </w:r>
      <w:r>
        <w:t xml:space="preserve">covariate-to-treatment association about its mean so a subgroup</w:t>
      </w:r>
      <w:r>
        <w:t xml:space="preserve"> </w:t>
      </w:r>
      <w:r>
        <w:t xml:space="preserve">approaches deterministic treatment and the estimated propensity score</w:t>
      </w:r>
      <w:r>
        <w:t xml:space="preserve"> </w:t>
      </w:r>
      <w:r>
        <w:t xml:space="preserve">reaches the boundary. This yields 19 severity cells per Monte Carlo</w:t>
      </w:r>
      <w:r>
        <w:t xml:space="preserve"> </w:t>
      </w:r>
      <w:r>
        <w:t xml:space="preserve">scenario. Missing at random and missing not at random make the missingness</w:t>
      </w:r>
      <w:r>
        <w:t xml:space="preserve"> </w:t>
      </w:r>
      <w:r>
        <w:t xml:space="preserve">threat a genuine test of robustness rather than the near-trivial MCAR case,</w:t>
      </w:r>
      <w:r>
        <w:t xml:space="preserve"> </w:t>
      </w:r>
      <w:r>
        <w:t xml:space="preserve">in which median imputation is unbiased by construction. The PS candidate grid comprises three GLM-based</w:t>
      </w:r>
      <w:r>
        <w:t xml:space="preserve"> </w:t>
      </w:r>
      <w:r>
        <w:t xml:space="preserve">specifications varying only the truncation threshold</w:t>
      </w:r>
      <w:r>
        <w:t xml:space="preserve"> </w:t>
      </w:r>
      <w:r>
        <w:t xml:space="preserve">(</w:t>
      </w:r>
      <m:oMath>
        <m:r>
          <m:t>t</m:t>
        </m:r>
        <m:r>
          <m:rPr>
            <m:sty m:val="p"/>
          </m:rPr>
          <m:t>∈</m:t>
        </m:r>
        <m:r>
          <m:rPr>
            <m:sty m:val="p"/>
          </m:rPr>
          <m:t>{</m:t>
        </m:r>
        <m:r>
          <m:t>0.001</m:t>
        </m:r>
        <m:r>
          <m:rPr>
            <m:sty m:val="p"/>
          </m:rPr>
          <m:t>,</m:t>
        </m:r>
        <m:r>
          <m:t>0.025</m:t>
        </m:r>
        <m:r>
          <m:rPr>
            <m:sty m:val="p"/>
          </m:rPr>
          <m:t>,</m:t>
        </m:r>
        <m:r>
          <m:t>0.20</m:t>
        </m:r>
        <m:r>
          <m:rPr>
            <m:sty m:val="p"/>
          </m:rPr>
          <m:t>}</m:t>
        </m:r>
      </m:oMath>
      <w:r>
        <w:t xml:space="preserve">, labelled aggressive, middle, and</w:t>
      </w:r>
      <w:r>
        <w:t xml:space="preserve"> </w:t>
      </w:r>
      <w:r>
        <w:t xml:space="preserve">robust); regularised-learner PS candidates are excluded from the</w:t>
      </w:r>
      <w:r>
        <w:t xml:space="preserve"> </w:t>
      </w:r>
      <w:r>
        <w:t xml:space="preserve">stress-test grid so it isolates the effect of truncation, and because</w:t>
      </w:r>
      <w:r>
        <w:t xml:space="preserve"> </w:t>
      </w:r>
      <w:r>
        <w:t xml:space="preserve">unbounded SL.glmnet produced runaway computation on the</w:t>
      </w:r>
      <w:r>
        <w:t xml:space="preserve"> </w:t>
      </w:r>
      <w:r>
        <w:t xml:space="preserve">near-positivity designs generated for Scenario B. The package now</w:t>
      </w:r>
      <w:r>
        <w:t xml:space="preserve"> </w:t>
      </w:r>
      <w:r>
        <w:t xml:space="preserve">ships the run-away-safe SL.glmnet.bounded learner used elsewhere in</w:t>
      </w:r>
      <w:r>
        <w:t xml:space="preserve"> </w:t>
      </w:r>
      <w:r>
        <w:t xml:space="preserve">the workflow (see</w:t>
      </w:r>
      <w:r>
        <w:t xml:space="preserve"> </w:t>
      </w:r>
      <w:hyperlink w:anchor="sec-limitations">
        <w:r>
          <w:rPr>
            <w:rStyle w:val="Hyperlink"/>
          </w:rPr>
          <w:t xml:space="preserve">Section 13.4</w:t>
        </w:r>
      </w:hyperlink>
      <w:r>
        <w:t xml:space="preserve">).</w:t>
      </w:r>
    </w:p>
    <w:p>
      <w:pPr>
        <w:pStyle w:val="BodyText"/>
      </w:pPr>
      <w:r>
        <w:t xml:space="preserve">We report 200 Monte Carlo replicates per scenario and give the Monte</w:t>
      </w:r>
      <w:r>
        <w:t xml:space="preserve"> </w:t>
      </w:r>
      <w:r>
        <w:t xml:space="preserve">Carlo standard error of each coverage estimate alongside it; coverage</w:t>
      </w:r>
      <w:r>
        <w:t xml:space="preserve"> </w:t>
      </w:r>
      <w:r>
        <w:t xml:space="preserve">differences within roughly</w:t>
      </w:r>
      <w:r>
        <w:t xml:space="preserve"> </w:t>
      </w:r>
      <m:oMath>
        <m:r>
          <m:rPr>
            <m:sty m:val="p"/>
          </m:rPr>
          <m:t>±</m:t>
        </m:r>
        <m:r>
          <m:t>0.03</m:t>
        </m:r>
      </m:oMath>
      <w:r>
        <w:t xml:space="preserve"> </w:t>
      </w:r>
      <w:r>
        <w:t xml:space="preserve">of nominal should be read as</w:t>
      </w:r>
      <w:r>
        <w:t xml:space="preserve"> </w:t>
      </w:r>
      <w:r>
        <w:t xml:space="preserve">compatible with the nominal level at this replicate count. Two control scenarios complement the three</w:t>
      </w:r>
      <w:r>
        <w:t xml:space="preserve"> </w:t>
      </w:r>
      <w:r>
        <w:t xml:space="preserve">above and are exercised in the gate operating-characteristics</w:t>
      </w:r>
      <w:r>
        <w:t xml:space="preserve"> </w:t>
      </w:r>
      <w:r>
        <w:t xml:space="preserve">meta-simulation of</w:t>
      </w:r>
      <w:r>
        <w:t xml:space="preserve"> </w:t>
      </w:r>
      <w:hyperlink w:anchor="sec-gate-oc">
        <w:r>
          <w:rPr>
            <w:rStyle w:val="Hyperlink"/>
          </w:rPr>
          <w:t xml:space="preserve">Section 11</w:t>
        </w:r>
      </w:hyperlink>
      <w:r>
        <w:t xml:space="preserve">: a</w:t>
      </w:r>
      <w:r>
        <w:t xml:space="preserve"> </w:t>
      </w:r>
      <w:r>
        <w:rPr>
          <w:i/>
          <w:iCs/>
        </w:rPr>
        <w:t xml:space="preserve">null</w:t>
      </w:r>
      <w:r>
        <w:t xml:space="preserve"> </w:t>
      </w:r>
      <w:r>
        <w:t xml:space="preserve">data-generating process with no</w:t>
      </w:r>
      <w:r>
        <w:t xml:space="preserve"> </w:t>
      </w:r>
      <w:r>
        <w:t xml:space="preserve">unmeasured confounding (the</w:t>
      </w:r>
      <w:r>
        <w:t xml:space="preserve"> </w:t>
      </w:r>
      <m:oMath>
        <m:r>
          <m:t>s</m:t>
        </m:r>
        <m:r>
          <m:rPr>
            <m:sty m:val="p"/>
          </m:rPr>
          <m:t>=</m:t>
        </m:r>
        <m:r>
          <m:t>1</m:t>
        </m:r>
      </m:oMath>
      <w:r>
        <w:t xml:space="preserve"> </w:t>
      </w:r>
      <w:r>
        <w:t xml:space="preserve">cell), under which the oracle verdict</w:t>
      </w:r>
      <w:r>
        <w:t xml:space="preserve"> </w:t>
      </w:r>
      <w:r>
        <w:t xml:space="preserve">is GO so the screen’s STOP rate estimates its false-STOP rate; and a</w:t>
      </w:r>
      <w:r>
        <w:t xml:space="preserve"> </w:t>
      </w:r>
      <w:r>
        <w:rPr>
          <w:i/>
          <w:iCs/>
        </w:rPr>
        <w:t xml:space="preserve">positive control</w:t>
      </w:r>
      <w:r>
        <w:t xml:space="preserve"> </w:t>
      </w:r>
      <w:r>
        <w:t xml:space="preserve">in which strong but fully measured confounding is</w:t>
      </w:r>
      <w:r>
        <w:t xml:space="preserve"> </w:t>
      </w:r>
      <w:r>
        <w:t xml:space="preserve">removed by adjustment, under which the adjusted estimators should recover</w:t>
      </w:r>
      <w:r>
        <w:t xml:space="preserve"> </w:t>
      </w:r>
      <w:r>
        <w:t xml:space="preserve">the truth while the crude comparison does not.</w:t>
      </w:r>
    </w:p>
    <w:bookmarkEnd w:id="72"/>
    <w:bookmarkStart w:id="97" w:name="monte-carlo-results"/>
    <w:p>
      <w:pPr>
        <w:pStyle w:val="Heading2"/>
      </w:pPr>
      <w:r>
        <w:t xml:space="preserve">10.2 Monte Carlo results</w:t>
      </w:r>
    </w:p>
    <w:bookmarkStart w:id="73" w:name="scenario-a-good-overlap-true-rd--0.02979"/>
    <w:p>
      <w:pPr>
        <w:pStyle w:val="Heading3"/>
      </w:pPr>
      <w:r>
        <w:t xml:space="preserve">10.2.1 Scenario A: Good Overlap (true RD = -0.02979)</w:t>
      </w:r>
    </w:p>
    <w:p>
      <w:pPr>
        <w:pStyle w:val="TableCaption"/>
      </w:pPr>
      <w:r>
        <w:t xml:space="preserve">Scenario A: Good Overlap. The g_value column is the additive bias that would push the 95% CI across zero</w:t>
      </w:r>
      <w:r>
        <w:t xml:space="preserve"> </w:t>
      </w:r>
      <w:r>
        <w:t xml:space="preserve">(Gruber, Phillips, Lee, Ho, et al. 2024, 5)</w:t>
      </w:r>
      <w:r>
        <w:t xml:space="preserve">; smaller values mean the conclusion is more easily flipped by a postulated bias.</w:t>
      </w:r>
    </w:p>
    <w:tbl>
      <w:tblPr>
        <w:tblStyle w:val="Table"/>
        <w:tblW w:type="pct" w:w="5000"/>
        <w:tblLayout w:type="fixed"/>
        <w:tblLook w:firstRow="1" w:lastRow="0" w:firstColumn="0" w:lastColumn="0" w:noHBand="0" w:noVBand="0" w:val="0020"/>
        <w:tblCaption w:val="Scenario A: Good Overlap. The g_value column is the additive bias that would push the 95% CI across zero (Gruber, Phillips, Lee, Ho, et al. 2024, 5); smaller values mean the conclusion is more easily flipped by a postulated bias."/>
      </w:tblPr>
      <w:tblGrid>
        <w:gridCol w:w="645"/>
        <w:gridCol w:w="293"/>
        <w:gridCol w:w="528"/>
        <w:gridCol w:w="528"/>
        <w:gridCol w:w="645"/>
        <w:gridCol w:w="528"/>
        <w:gridCol w:w="469"/>
        <w:gridCol w:w="469"/>
        <w:gridCol w:w="704"/>
        <w:gridCol w:w="352"/>
        <w:gridCol w:w="645"/>
        <w:gridCol w:w="528"/>
        <w:gridCol w:w="586"/>
        <w:gridCol w:w="528"/>
        <w:gridCol w:w="469"/>
      </w:tblGrid>
      <w:tr>
        <w:trPr>
          <w:tblHeader w:val="on"/>
        </w:trPr>
        <w:tc>
          <w:tcPr/>
          <w:p>
            <w:pPr>
              <w:pStyle w:val="Compact"/>
              <w:jc w:val="left"/>
            </w:pPr>
            <w:r>
              <w:t xml:space="preserve">method</w:t>
            </w:r>
          </w:p>
        </w:tc>
        <w:tc>
          <w:tcPr/>
          <w:p>
            <w:pPr>
              <w:pStyle w:val="Compact"/>
              <w:jc w:val="right"/>
            </w:pPr>
            <w:r>
              <w:t xml:space="preserve">n_ok</w:t>
            </w:r>
          </w:p>
        </w:tc>
        <w:tc>
          <w:tcPr/>
          <w:p>
            <w:pPr>
              <w:pStyle w:val="Compact"/>
              <w:jc w:val="right"/>
            </w:pPr>
            <w:r>
              <w:t xml:space="preserve">mean_est</w:t>
            </w:r>
          </w:p>
        </w:tc>
        <w:tc>
          <w:tcPr/>
          <w:p>
            <w:pPr>
              <w:pStyle w:val="Compact"/>
              <w:jc w:val="right"/>
            </w:pPr>
            <w:r>
              <w:t xml:space="preserve">bias</w:t>
            </w:r>
          </w:p>
        </w:tc>
        <w:tc>
          <w:tcPr/>
          <w:p>
            <w:pPr>
              <w:pStyle w:val="Compact"/>
              <w:jc w:val="right"/>
            </w:pPr>
            <w:r>
              <w:t xml:space="preserve">mc_se_bias</w:t>
            </w:r>
          </w:p>
        </w:tc>
        <w:tc>
          <w:tcPr/>
          <w:p>
            <w:pPr>
              <w:pStyle w:val="Compact"/>
              <w:jc w:val="right"/>
            </w:pPr>
            <w:r>
              <w:t xml:space="preserve">abs_bias</w:t>
            </w:r>
          </w:p>
        </w:tc>
        <w:tc>
          <w:tcPr/>
          <w:p>
            <w:pPr>
              <w:pStyle w:val="Compact"/>
              <w:jc w:val="right"/>
            </w:pPr>
            <w:r>
              <w:t xml:space="preserve">emp_sd</w:t>
            </w:r>
          </w:p>
        </w:tc>
        <w:tc>
          <w:tcPr/>
          <w:p>
            <w:pPr>
              <w:pStyle w:val="Compact"/>
              <w:jc w:val="right"/>
            </w:pPr>
            <w:r>
              <w:t xml:space="preserve">mean_se</w:t>
            </w:r>
          </w:p>
        </w:tc>
        <w:tc>
          <w:tcPr/>
          <w:p>
            <w:pPr>
              <w:pStyle w:val="Compact"/>
              <w:jc w:val="right"/>
            </w:pPr>
            <w:r>
              <w:t xml:space="preserve">se_sd_ratio</w:t>
            </w:r>
          </w:p>
        </w:tc>
        <w:tc>
          <w:tcPr/>
          <w:p>
            <w:pPr>
              <w:pStyle w:val="Compact"/>
              <w:jc w:val="right"/>
            </w:pPr>
            <w:r>
              <w:t xml:space="preserve">rmse</w:t>
            </w:r>
          </w:p>
        </w:tc>
        <w:tc>
          <w:tcPr/>
          <w:p>
            <w:pPr>
              <w:pStyle w:val="Compact"/>
              <w:jc w:val="right"/>
            </w:pPr>
            <w:r>
              <w:t xml:space="preserve">mc_se_rmse</w:t>
            </w:r>
          </w:p>
        </w:tc>
        <w:tc>
          <w:tcPr/>
          <w:p>
            <w:pPr>
              <w:pStyle w:val="Compact"/>
              <w:jc w:val="right"/>
            </w:pPr>
            <w:r>
              <w:t xml:space="preserve">coverage</w:t>
            </w:r>
          </w:p>
        </w:tc>
        <w:tc>
          <w:tcPr/>
          <w:p>
            <w:pPr>
              <w:pStyle w:val="Compact"/>
              <w:jc w:val="right"/>
            </w:pPr>
            <w:r>
              <w:t xml:space="preserve">mc_se_cov</w:t>
            </w:r>
          </w:p>
        </w:tc>
        <w:tc>
          <w:tcPr/>
          <w:p>
            <w:pPr>
              <w:pStyle w:val="Compact"/>
              <w:jc w:val="right"/>
            </w:pPr>
            <w:r>
              <w:t xml:space="preserve">ci_width</w:t>
            </w:r>
          </w:p>
        </w:tc>
        <w:tc>
          <w:tcPr/>
          <w:p>
            <w:pPr>
              <w:pStyle w:val="Compact"/>
              <w:jc w:val="right"/>
            </w:pPr>
            <w:r>
              <w:t xml:space="preserve">g_value</w:t>
            </w:r>
          </w:p>
        </w:tc>
      </w:tr>
      <w:tr>
        <w:tc>
          <w:tcPr/>
          <w:p>
            <w:pPr>
              <w:pStyle w:val="Compact"/>
              <w:jc w:val="left"/>
            </w:pPr>
            <w:r>
              <w:t xml:space="preserve">Crude</w:t>
            </w:r>
          </w:p>
        </w:tc>
        <w:tc>
          <w:tcPr/>
          <w:p>
            <w:pPr>
              <w:pStyle w:val="Compact"/>
              <w:jc w:val="right"/>
            </w:pPr>
            <w:r>
              <w:t xml:space="preserve">200</w:t>
            </w:r>
          </w:p>
        </w:tc>
        <w:tc>
          <w:tcPr/>
          <w:p>
            <w:pPr>
              <w:pStyle w:val="Compact"/>
              <w:jc w:val="right"/>
            </w:pPr>
            <w:r>
              <w:t xml:space="preserve">-0.01763</w:t>
            </w:r>
          </w:p>
        </w:tc>
        <w:tc>
          <w:tcPr/>
          <w:p>
            <w:pPr>
              <w:pStyle w:val="Compact"/>
              <w:jc w:val="right"/>
            </w:pPr>
            <w:r>
              <w:t xml:space="preserve">0.01216</w:t>
            </w:r>
          </w:p>
        </w:tc>
        <w:tc>
          <w:tcPr/>
          <w:p>
            <w:pPr>
              <w:pStyle w:val="Compact"/>
              <w:jc w:val="right"/>
            </w:pPr>
            <w:r>
              <w:t xml:space="preserve">0.00098</w:t>
            </w:r>
          </w:p>
        </w:tc>
        <w:tc>
          <w:tcPr/>
          <w:p>
            <w:pPr>
              <w:pStyle w:val="Compact"/>
              <w:jc w:val="right"/>
            </w:pPr>
            <w:r>
              <w:t xml:space="preserve">0.01216</w:t>
            </w:r>
          </w:p>
        </w:tc>
        <w:tc>
          <w:tcPr/>
          <w:p>
            <w:pPr>
              <w:pStyle w:val="Compact"/>
              <w:jc w:val="right"/>
            </w:pPr>
            <w:r>
              <w:t xml:space="preserve">0.01382</w:t>
            </w:r>
          </w:p>
        </w:tc>
        <w:tc>
          <w:tcPr/>
          <w:p>
            <w:pPr>
              <w:pStyle w:val="Compact"/>
              <w:jc w:val="right"/>
            </w:pPr>
            <w:r>
              <w:t xml:space="preserve">0.013</w:t>
            </w:r>
          </w:p>
        </w:tc>
        <w:tc>
          <w:tcPr/>
          <w:p>
            <w:pPr>
              <w:pStyle w:val="Compact"/>
              <w:jc w:val="right"/>
            </w:pPr>
            <w:r>
              <w:t xml:space="preserve">0.975</w:t>
            </w:r>
          </w:p>
        </w:tc>
        <w:tc>
          <w:tcPr/>
          <w:p>
            <w:pPr>
              <w:pStyle w:val="Compact"/>
              <w:jc w:val="right"/>
            </w:pPr>
            <w:r>
              <w:t xml:space="preserve">0.018</w:t>
            </w:r>
          </w:p>
        </w:tc>
        <w:tc>
          <w:tcPr/>
          <w:p>
            <w:pPr>
              <w:pStyle w:val="Compact"/>
              <w:jc w:val="right"/>
            </w:pPr>
            <w:r>
              <w:t xml:space="preserve">0.00088</w:t>
            </w:r>
          </w:p>
        </w:tc>
        <w:tc>
          <w:tcPr/>
          <w:p>
            <w:pPr>
              <w:pStyle w:val="Compact"/>
              <w:jc w:val="right"/>
            </w:pPr>
            <w:r>
              <w:t xml:space="preserve">0.850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0.00879</w:t>
            </w:r>
          </w:p>
        </w:tc>
      </w:tr>
      <w:tr>
        <w:tc>
          <w:tcPr/>
          <w:p>
            <w:pPr>
              <w:pStyle w:val="Compact"/>
              <w:jc w:val="left"/>
            </w:pPr>
            <w:r>
              <w:t xml:space="preserve">IPTW</w:t>
            </w:r>
          </w:p>
        </w:tc>
        <w:tc>
          <w:tcPr/>
          <w:p>
            <w:pPr>
              <w:pStyle w:val="Compact"/>
              <w:jc w:val="right"/>
            </w:pPr>
            <w:r>
              <w:t xml:space="preserve">200</w:t>
            </w:r>
          </w:p>
        </w:tc>
        <w:tc>
          <w:tcPr/>
          <w:p>
            <w:pPr>
              <w:pStyle w:val="Compact"/>
              <w:jc w:val="right"/>
            </w:pPr>
            <w:r>
              <w:t xml:space="preserve">-0.03041</w:t>
            </w:r>
          </w:p>
        </w:tc>
        <w:tc>
          <w:tcPr/>
          <w:p>
            <w:pPr>
              <w:pStyle w:val="Compact"/>
              <w:jc w:val="right"/>
            </w:pPr>
            <w:r>
              <w:t xml:space="preserve">-0.00061</w:t>
            </w:r>
          </w:p>
        </w:tc>
        <w:tc>
          <w:tcPr/>
          <w:p>
            <w:pPr>
              <w:pStyle w:val="Compact"/>
              <w:jc w:val="right"/>
            </w:pPr>
            <w:r>
              <w:t xml:space="preserve">0.00097</w:t>
            </w:r>
          </w:p>
        </w:tc>
        <w:tc>
          <w:tcPr/>
          <w:p>
            <w:pPr>
              <w:pStyle w:val="Compact"/>
              <w:jc w:val="right"/>
            </w:pPr>
            <w:r>
              <w:t xml:space="preserve">0.00061</w:t>
            </w:r>
          </w:p>
        </w:tc>
        <w:tc>
          <w:tcPr/>
          <w:p>
            <w:pPr>
              <w:pStyle w:val="Compact"/>
              <w:jc w:val="right"/>
            </w:pPr>
            <w:r>
              <w:t xml:space="preserve">0.01373</w:t>
            </w:r>
          </w:p>
        </w:tc>
        <w:tc>
          <w:tcPr/>
          <w:p>
            <w:pPr>
              <w:pStyle w:val="Compact"/>
              <w:jc w:val="right"/>
            </w:pPr>
            <w:r>
              <w:t xml:space="preserve">0.014</w:t>
            </w:r>
          </w:p>
        </w:tc>
        <w:tc>
          <w:tcPr/>
          <w:p>
            <w:pPr>
              <w:pStyle w:val="Compact"/>
              <w:jc w:val="right"/>
            </w:pPr>
            <w:r>
              <w:t xml:space="preserve">1.003</w:t>
            </w:r>
          </w:p>
        </w:tc>
        <w:tc>
          <w:tcPr/>
          <w:p>
            <w:pPr>
              <w:pStyle w:val="Compact"/>
              <w:jc w:val="right"/>
            </w:pPr>
            <w:r>
              <w:t xml:space="preserve">0.014</w:t>
            </w:r>
          </w:p>
        </w:tc>
        <w:tc>
          <w:tcPr/>
          <w:p>
            <w:pPr>
              <w:pStyle w:val="Compact"/>
              <w:jc w:val="right"/>
            </w:pPr>
            <w:r>
              <w:t xml:space="preserve">0.00066</w:t>
            </w:r>
          </w:p>
        </w:tc>
        <w:tc>
          <w:tcPr/>
          <w:p>
            <w:pPr>
              <w:pStyle w:val="Compact"/>
              <w:jc w:val="right"/>
            </w:pPr>
            <w:r>
              <w:t xml:space="preserve">0.950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0.00342</w:t>
            </w:r>
          </w:p>
        </w:tc>
      </w:tr>
      <w:tr>
        <w:tc>
          <w:tcPr/>
          <w:p>
            <w:pPr>
              <w:pStyle w:val="Compact"/>
              <w:jc w:val="left"/>
            </w:pPr>
            <w:r>
              <w:t xml:space="preserve">PS Match</w:t>
            </w:r>
          </w:p>
        </w:tc>
        <w:tc>
          <w:tcPr/>
          <w:p>
            <w:pPr>
              <w:pStyle w:val="Compact"/>
              <w:jc w:val="right"/>
            </w:pPr>
            <w:r>
              <w:t xml:space="preserve">200</w:t>
            </w:r>
          </w:p>
        </w:tc>
        <w:tc>
          <w:tcPr/>
          <w:p>
            <w:pPr>
              <w:pStyle w:val="Compact"/>
              <w:jc w:val="right"/>
            </w:pPr>
            <w:r>
              <w:t xml:space="preserve">-0.03123</w:t>
            </w:r>
          </w:p>
        </w:tc>
        <w:tc>
          <w:tcPr/>
          <w:p>
            <w:pPr>
              <w:pStyle w:val="Compact"/>
              <w:jc w:val="right"/>
            </w:pPr>
            <w:r>
              <w:t xml:space="preserve">-0.00144</w:t>
            </w:r>
          </w:p>
        </w:tc>
        <w:tc>
          <w:tcPr/>
          <w:p>
            <w:pPr>
              <w:pStyle w:val="Compact"/>
              <w:jc w:val="right"/>
            </w:pPr>
            <w:r>
              <w:t xml:space="preserve">0.00107</w:t>
            </w:r>
          </w:p>
        </w:tc>
        <w:tc>
          <w:tcPr/>
          <w:p>
            <w:pPr>
              <w:pStyle w:val="Compact"/>
              <w:jc w:val="right"/>
            </w:pPr>
            <w:r>
              <w:t xml:space="preserve">0.00144</w:t>
            </w:r>
          </w:p>
        </w:tc>
        <w:tc>
          <w:tcPr/>
          <w:p>
            <w:pPr>
              <w:pStyle w:val="Compact"/>
              <w:jc w:val="right"/>
            </w:pPr>
            <w:r>
              <w:t xml:space="preserve">0.01508</w:t>
            </w:r>
          </w:p>
        </w:tc>
        <w:tc>
          <w:tcPr/>
          <w:p>
            <w:pPr>
              <w:pStyle w:val="Compact"/>
              <w:jc w:val="right"/>
            </w:pPr>
            <w:r>
              <w:t xml:space="preserve">0.015</w:t>
            </w:r>
          </w:p>
        </w:tc>
        <w:tc>
          <w:tcPr/>
          <w:p>
            <w:pPr>
              <w:pStyle w:val="Compact"/>
              <w:jc w:val="right"/>
            </w:pPr>
            <w:r>
              <w:t xml:space="preserve">0.986</w:t>
            </w:r>
          </w:p>
        </w:tc>
        <w:tc>
          <w:tcPr/>
          <w:p>
            <w:pPr>
              <w:pStyle w:val="Compact"/>
              <w:jc w:val="right"/>
            </w:pPr>
            <w:r>
              <w:t xml:space="preserve">0.015</w:t>
            </w:r>
          </w:p>
        </w:tc>
        <w:tc>
          <w:tcPr/>
          <w:p>
            <w:pPr>
              <w:pStyle w:val="Compact"/>
              <w:jc w:val="right"/>
            </w:pPr>
            <w:r>
              <w:t xml:space="preserve">0.00071</w:t>
            </w:r>
          </w:p>
        </w:tc>
        <w:tc>
          <w:tcPr/>
          <w:p>
            <w:pPr>
              <w:pStyle w:val="Compact"/>
              <w:jc w:val="right"/>
            </w:pPr>
            <w:r>
              <w:t xml:space="preserve">0.955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0.00210</w:t>
            </w:r>
          </w:p>
        </w:tc>
      </w:tr>
      <w:tr>
        <w:tc>
          <w:tcPr/>
          <w:p>
            <w:pPr>
              <w:pStyle w:val="Compact"/>
              <w:jc w:val="left"/>
            </w:pPr>
            <w:r>
              <w:t xml:space="preserve">TMLE</w:t>
            </w:r>
          </w:p>
        </w:tc>
        <w:tc>
          <w:tcPr/>
          <w:p>
            <w:pPr>
              <w:pStyle w:val="Compact"/>
              <w:jc w:val="right"/>
            </w:pPr>
            <w:r>
              <w:t xml:space="preserve">200</w:t>
            </w:r>
          </w:p>
        </w:tc>
        <w:tc>
          <w:tcPr/>
          <w:p>
            <w:pPr>
              <w:pStyle w:val="Compact"/>
              <w:jc w:val="right"/>
            </w:pPr>
            <w:r>
              <w:t xml:space="preserve">-0.03041</w:t>
            </w:r>
          </w:p>
        </w:tc>
        <w:tc>
          <w:tcPr/>
          <w:p>
            <w:pPr>
              <w:pStyle w:val="Compact"/>
              <w:jc w:val="right"/>
            </w:pPr>
            <w:r>
              <w:t xml:space="preserve">-0.00061</w:t>
            </w:r>
          </w:p>
        </w:tc>
        <w:tc>
          <w:tcPr/>
          <w:p>
            <w:pPr>
              <w:pStyle w:val="Compact"/>
              <w:jc w:val="right"/>
            </w:pPr>
            <w:r>
              <w:t xml:space="preserve">0.00097</w:t>
            </w:r>
          </w:p>
        </w:tc>
        <w:tc>
          <w:tcPr/>
          <w:p>
            <w:pPr>
              <w:pStyle w:val="Compact"/>
              <w:jc w:val="right"/>
            </w:pPr>
            <w:r>
              <w:t xml:space="preserve">0.00061</w:t>
            </w:r>
          </w:p>
        </w:tc>
        <w:tc>
          <w:tcPr/>
          <w:p>
            <w:pPr>
              <w:pStyle w:val="Compact"/>
              <w:jc w:val="right"/>
            </w:pPr>
            <w:r>
              <w:t xml:space="preserve">0.01373</w:t>
            </w:r>
          </w:p>
        </w:tc>
        <w:tc>
          <w:tcPr/>
          <w:p>
            <w:pPr>
              <w:pStyle w:val="Compact"/>
              <w:jc w:val="right"/>
            </w:pPr>
            <w:r>
              <w:t xml:space="preserve">0.014</w:t>
            </w:r>
          </w:p>
        </w:tc>
        <w:tc>
          <w:tcPr/>
          <w:p>
            <w:pPr>
              <w:pStyle w:val="Compact"/>
              <w:jc w:val="right"/>
            </w:pPr>
            <w:r>
              <w:t xml:space="preserve">0.994</w:t>
            </w:r>
          </w:p>
        </w:tc>
        <w:tc>
          <w:tcPr/>
          <w:p>
            <w:pPr>
              <w:pStyle w:val="Compact"/>
              <w:jc w:val="right"/>
            </w:pPr>
            <w:r>
              <w:t xml:space="preserve">0.014</w:t>
            </w:r>
          </w:p>
        </w:tc>
        <w:tc>
          <w:tcPr/>
          <w:p>
            <w:pPr>
              <w:pStyle w:val="Compact"/>
              <w:jc w:val="right"/>
            </w:pPr>
            <w:r>
              <w:t xml:space="preserve">0.00066</w:t>
            </w:r>
          </w:p>
        </w:tc>
        <w:tc>
          <w:tcPr/>
          <w:p>
            <w:pPr>
              <w:pStyle w:val="Compact"/>
              <w:jc w:val="right"/>
            </w:pPr>
            <w:r>
              <w:t xml:space="preserve">0.955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0.00368</w:t>
            </w:r>
          </w:p>
        </w:tc>
      </w:tr>
      <w:tr>
        <w:tc>
          <w:tcPr/>
          <w:p>
            <w:pPr>
              <w:pStyle w:val="Compact"/>
              <w:jc w:val="left"/>
            </w:pPr>
            <w:r>
              <w:t xml:space="preserve">TMLE_CF</w:t>
            </w:r>
          </w:p>
        </w:tc>
        <w:tc>
          <w:tcPr/>
          <w:p>
            <w:pPr>
              <w:pStyle w:val="Compact"/>
              <w:jc w:val="right"/>
            </w:pPr>
            <w:r>
              <w:t xml:space="preserve">200</w:t>
            </w:r>
          </w:p>
        </w:tc>
        <w:tc>
          <w:tcPr/>
          <w:p>
            <w:pPr>
              <w:pStyle w:val="Compact"/>
              <w:jc w:val="right"/>
            </w:pPr>
            <w:r>
              <w:t xml:space="preserve">-0.02978</w:t>
            </w:r>
          </w:p>
        </w:tc>
        <w:tc>
          <w:tcPr/>
          <w:p>
            <w:pPr>
              <w:pStyle w:val="Compact"/>
              <w:jc w:val="right"/>
            </w:pPr>
            <w:r>
              <w:t xml:space="preserve">0.00001</w:t>
            </w:r>
          </w:p>
        </w:tc>
        <w:tc>
          <w:tcPr/>
          <w:p>
            <w:pPr>
              <w:pStyle w:val="Compact"/>
              <w:jc w:val="right"/>
            </w:pPr>
            <w:r>
              <w:t xml:space="preserve">0.00101</w:t>
            </w:r>
          </w:p>
        </w:tc>
        <w:tc>
          <w:tcPr/>
          <w:p>
            <w:pPr>
              <w:pStyle w:val="Compact"/>
              <w:jc w:val="right"/>
            </w:pPr>
            <w:r>
              <w:t xml:space="preserve">0.00001</w:t>
            </w:r>
          </w:p>
        </w:tc>
        <w:tc>
          <w:tcPr/>
          <w:p>
            <w:pPr>
              <w:pStyle w:val="Compact"/>
              <w:jc w:val="right"/>
            </w:pPr>
            <w:r>
              <w:t xml:space="preserve">0.01424</w:t>
            </w:r>
          </w:p>
        </w:tc>
        <w:tc>
          <w:tcPr/>
          <w:p>
            <w:pPr>
              <w:pStyle w:val="Compact"/>
              <w:jc w:val="right"/>
            </w:pPr>
            <w:r>
              <w:t xml:space="preserve">0.014</w:t>
            </w:r>
          </w:p>
        </w:tc>
        <w:tc>
          <w:tcPr/>
          <w:p>
            <w:pPr>
              <w:pStyle w:val="Compact"/>
              <w:jc w:val="right"/>
            </w:pPr>
            <w:r>
              <w:t xml:space="preserve">0.961</w:t>
            </w:r>
          </w:p>
        </w:tc>
        <w:tc>
          <w:tcPr/>
          <w:p>
            <w:pPr>
              <w:pStyle w:val="Compact"/>
              <w:jc w:val="right"/>
            </w:pPr>
            <w:r>
              <w:t xml:space="preserve">0.014</w:t>
            </w:r>
          </w:p>
        </w:tc>
        <w:tc>
          <w:tcPr/>
          <w:p>
            <w:pPr>
              <w:pStyle w:val="Compact"/>
              <w:jc w:val="right"/>
            </w:pPr>
            <w:r>
              <w:t xml:space="preserve">0.00071</w:t>
            </w:r>
          </w:p>
        </w:tc>
        <w:tc>
          <w:tcPr/>
          <w:p>
            <w:pPr>
              <w:pStyle w:val="Compact"/>
              <w:jc w:val="right"/>
            </w:pPr>
            <w:r>
              <w:t xml:space="preserve">0.940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0.00295</w:t>
            </w:r>
          </w:p>
        </w:tc>
      </w:tr>
      <w:tr>
        <w:tc>
          <w:tcPr/>
          <w:p>
            <w:pPr>
              <w:pStyle w:val="Compact"/>
              <w:jc w:val="left"/>
            </w:pPr>
            <w:r>
              <w:t xml:space="preserve">Match_TMLE</w:t>
            </w:r>
          </w:p>
        </w:tc>
        <w:tc>
          <w:tcPr/>
          <w:p>
            <w:pPr>
              <w:pStyle w:val="Compact"/>
              <w:jc w:val="right"/>
            </w:pPr>
            <w:r>
              <w:t xml:space="preserve">200</w:t>
            </w:r>
          </w:p>
        </w:tc>
        <w:tc>
          <w:tcPr/>
          <w:p>
            <w:pPr>
              <w:pStyle w:val="Compact"/>
              <w:jc w:val="right"/>
            </w:pPr>
            <w:r>
              <w:t xml:space="preserve">-0.03365</w:t>
            </w:r>
          </w:p>
        </w:tc>
        <w:tc>
          <w:tcPr/>
          <w:p>
            <w:pPr>
              <w:pStyle w:val="Compact"/>
              <w:jc w:val="right"/>
            </w:pPr>
            <w:r>
              <w:t xml:space="preserve">-0.00385</w:t>
            </w:r>
          </w:p>
        </w:tc>
        <w:tc>
          <w:tcPr/>
          <w:p>
            <w:pPr>
              <w:pStyle w:val="Compact"/>
              <w:jc w:val="right"/>
            </w:pPr>
            <w:r>
              <w:t xml:space="preserve">0.00103</w:t>
            </w:r>
          </w:p>
        </w:tc>
        <w:tc>
          <w:tcPr/>
          <w:p>
            <w:pPr>
              <w:pStyle w:val="Compact"/>
              <w:jc w:val="right"/>
            </w:pPr>
            <w:r>
              <w:t xml:space="preserve">0.00385</w:t>
            </w:r>
          </w:p>
        </w:tc>
        <w:tc>
          <w:tcPr/>
          <w:p>
            <w:pPr>
              <w:pStyle w:val="Compact"/>
              <w:jc w:val="right"/>
            </w:pPr>
            <w:r>
              <w:t xml:space="preserve">0.01460</w:t>
            </w:r>
          </w:p>
        </w:tc>
        <w:tc>
          <w:tcPr/>
          <w:p>
            <w:pPr>
              <w:pStyle w:val="Compact"/>
              <w:jc w:val="right"/>
            </w:pPr>
            <w:r>
              <w:t xml:space="preserve">0.016</w:t>
            </w:r>
          </w:p>
        </w:tc>
        <w:tc>
          <w:tcPr/>
          <w:p>
            <w:pPr>
              <w:pStyle w:val="Compact"/>
              <w:jc w:val="right"/>
            </w:pPr>
            <w:r>
              <w:t xml:space="preserve">1.072</w:t>
            </w:r>
          </w:p>
        </w:tc>
        <w:tc>
          <w:tcPr/>
          <w:p>
            <w:pPr>
              <w:pStyle w:val="Compact"/>
              <w:jc w:val="right"/>
            </w:pPr>
            <w:r>
              <w:t xml:space="preserve">0.015</w:t>
            </w:r>
          </w:p>
        </w:tc>
        <w:tc>
          <w:tcPr/>
          <w:p>
            <w:pPr>
              <w:pStyle w:val="Compact"/>
              <w:jc w:val="right"/>
            </w:pPr>
            <w:r>
              <w:t xml:space="preserve">0.00070</w:t>
            </w:r>
          </w:p>
        </w:tc>
        <w:tc>
          <w:tcPr/>
          <w:p>
            <w:pPr>
              <w:pStyle w:val="Compact"/>
              <w:jc w:val="right"/>
            </w:pPr>
            <w:r>
              <w:t xml:space="preserve">0.970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0.00298</w:t>
            </w:r>
          </w:p>
        </w:tc>
      </w:tr>
    </w:tbl>
    <w:bookmarkEnd w:id="73"/>
    <w:bookmarkStart w:id="74" w:name="X539d2e41b20619841b5f484f160273f03ef61dd"/>
    <w:p>
      <w:pPr>
        <w:pStyle w:val="Heading3"/>
      </w:pPr>
      <w:r>
        <w:t xml:space="preserve">10.2.2 Scenario B: Marginal Overlap (true RD = -0.02979)</w:t>
      </w:r>
    </w:p>
    <w:p>
      <w:pPr>
        <w:pStyle w:val="TableCaption"/>
      </w:pPr>
      <w:r>
        <w:t xml:space="preserve">Scenario B: Marginal Overlap. The g_value column is the additive bias that would push the 95% CI across zero</w:t>
      </w:r>
      <w:r>
        <w:t xml:space="preserve"> </w:t>
      </w:r>
      <w:r>
        <w:t xml:space="preserve">(Gruber, Phillips, Lee, Ho, et al. 2024, 5)</w:t>
      </w:r>
      <w:r>
        <w:t xml:space="preserve">; smaller values mean the conclusion is more easily flipped by a postulated bias.</w:t>
      </w:r>
    </w:p>
    <w:tbl>
      <w:tblPr>
        <w:tblStyle w:val="Table"/>
        <w:tblW w:type="pct" w:w="5000"/>
        <w:tblLayout w:type="fixed"/>
        <w:tblLook w:firstRow="1" w:lastRow="0" w:firstColumn="0" w:lastColumn="0" w:noHBand="0" w:noVBand="0" w:val="0020"/>
        <w:tblCaption w:val="Scenario B: Marginal Overlap. The g_value column is the additive bias that would push the 95% CI across zero (Gruber, Phillips, Lee, Ho, et al. 2024, 5); smaller values mean the conclusion is more easily flipped by a postulated bias."/>
      </w:tblPr>
      <w:tblGrid>
        <w:gridCol w:w="645"/>
        <w:gridCol w:w="293"/>
        <w:gridCol w:w="528"/>
        <w:gridCol w:w="528"/>
        <w:gridCol w:w="645"/>
        <w:gridCol w:w="528"/>
        <w:gridCol w:w="469"/>
        <w:gridCol w:w="469"/>
        <w:gridCol w:w="704"/>
        <w:gridCol w:w="352"/>
        <w:gridCol w:w="645"/>
        <w:gridCol w:w="528"/>
        <w:gridCol w:w="586"/>
        <w:gridCol w:w="528"/>
        <w:gridCol w:w="469"/>
      </w:tblGrid>
      <w:tr>
        <w:trPr>
          <w:tblHeader w:val="on"/>
        </w:trPr>
        <w:tc>
          <w:tcPr/>
          <w:p>
            <w:pPr>
              <w:pStyle w:val="Compact"/>
              <w:jc w:val="left"/>
            </w:pPr>
            <w:r>
              <w:t xml:space="preserve">method</w:t>
            </w:r>
          </w:p>
        </w:tc>
        <w:tc>
          <w:tcPr/>
          <w:p>
            <w:pPr>
              <w:pStyle w:val="Compact"/>
              <w:jc w:val="right"/>
            </w:pPr>
            <w:r>
              <w:t xml:space="preserve">n_ok</w:t>
            </w:r>
          </w:p>
        </w:tc>
        <w:tc>
          <w:tcPr/>
          <w:p>
            <w:pPr>
              <w:pStyle w:val="Compact"/>
              <w:jc w:val="right"/>
            </w:pPr>
            <w:r>
              <w:t xml:space="preserve">mean_est</w:t>
            </w:r>
          </w:p>
        </w:tc>
        <w:tc>
          <w:tcPr/>
          <w:p>
            <w:pPr>
              <w:pStyle w:val="Compact"/>
              <w:jc w:val="right"/>
            </w:pPr>
            <w:r>
              <w:t xml:space="preserve">bias</w:t>
            </w:r>
          </w:p>
        </w:tc>
        <w:tc>
          <w:tcPr/>
          <w:p>
            <w:pPr>
              <w:pStyle w:val="Compact"/>
              <w:jc w:val="right"/>
            </w:pPr>
            <w:r>
              <w:t xml:space="preserve">mc_se_bias</w:t>
            </w:r>
          </w:p>
        </w:tc>
        <w:tc>
          <w:tcPr/>
          <w:p>
            <w:pPr>
              <w:pStyle w:val="Compact"/>
              <w:jc w:val="right"/>
            </w:pPr>
            <w:r>
              <w:t xml:space="preserve">abs_bias</w:t>
            </w:r>
          </w:p>
        </w:tc>
        <w:tc>
          <w:tcPr/>
          <w:p>
            <w:pPr>
              <w:pStyle w:val="Compact"/>
              <w:jc w:val="right"/>
            </w:pPr>
            <w:r>
              <w:t xml:space="preserve">emp_sd</w:t>
            </w:r>
          </w:p>
        </w:tc>
        <w:tc>
          <w:tcPr/>
          <w:p>
            <w:pPr>
              <w:pStyle w:val="Compact"/>
              <w:jc w:val="right"/>
            </w:pPr>
            <w:r>
              <w:t xml:space="preserve">mean_se</w:t>
            </w:r>
          </w:p>
        </w:tc>
        <w:tc>
          <w:tcPr/>
          <w:p>
            <w:pPr>
              <w:pStyle w:val="Compact"/>
              <w:jc w:val="right"/>
            </w:pPr>
            <w:r>
              <w:t xml:space="preserve">se_sd_ratio</w:t>
            </w:r>
          </w:p>
        </w:tc>
        <w:tc>
          <w:tcPr/>
          <w:p>
            <w:pPr>
              <w:pStyle w:val="Compact"/>
              <w:jc w:val="right"/>
            </w:pPr>
            <w:r>
              <w:t xml:space="preserve">rmse</w:t>
            </w:r>
          </w:p>
        </w:tc>
        <w:tc>
          <w:tcPr/>
          <w:p>
            <w:pPr>
              <w:pStyle w:val="Compact"/>
              <w:jc w:val="right"/>
            </w:pPr>
            <w:r>
              <w:t xml:space="preserve">mc_se_rmse</w:t>
            </w:r>
          </w:p>
        </w:tc>
        <w:tc>
          <w:tcPr/>
          <w:p>
            <w:pPr>
              <w:pStyle w:val="Compact"/>
              <w:jc w:val="right"/>
            </w:pPr>
            <w:r>
              <w:t xml:space="preserve">coverage</w:t>
            </w:r>
          </w:p>
        </w:tc>
        <w:tc>
          <w:tcPr/>
          <w:p>
            <w:pPr>
              <w:pStyle w:val="Compact"/>
              <w:jc w:val="right"/>
            </w:pPr>
            <w:r>
              <w:t xml:space="preserve">mc_se_cov</w:t>
            </w:r>
          </w:p>
        </w:tc>
        <w:tc>
          <w:tcPr/>
          <w:p>
            <w:pPr>
              <w:pStyle w:val="Compact"/>
              <w:jc w:val="right"/>
            </w:pPr>
            <w:r>
              <w:t xml:space="preserve">ci_width</w:t>
            </w:r>
          </w:p>
        </w:tc>
        <w:tc>
          <w:tcPr/>
          <w:p>
            <w:pPr>
              <w:pStyle w:val="Compact"/>
              <w:jc w:val="right"/>
            </w:pPr>
            <w:r>
              <w:t xml:space="preserve">g_value</w:t>
            </w:r>
          </w:p>
        </w:tc>
      </w:tr>
      <w:tr>
        <w:tc>
          <w:tcPr/>
          <w:p>
            <w:pPr>
              <w:pStyle w:val="Compact"/>
              <w:jc w:val="left"/>
            </w:pPr>
            <w:r>
              <w:t xml:space="preserve">Crude</w:t>
            </w:r>
          </w:p>
        </w:tc>
        <w:tc>
          <w:tcPr/>
          <w:p>
            <w:pPr>
              <w:pStyle w:val="Compact"/>
              <w:jc w:val="right"/>
            </w:pPr>
            <w:r>
              <w:t xml:space="preserve">200</w:t>
            </w:r>
          </w:p>
        </w:tc>
        <w:tc>
          <w:tcPr/>
          <w:p>
            <w:pPr>
              <w:pStyle w:val="Compact"/>
              <w:jc w:val="right"/>
            </w:pPr>
            <w:r>
              <w:t xml:space="preserve">0.00123</w:t>
            </w:r>
          </w:p>
        </w:tc>
        <w:tc>
          <w:tcPr/>
          <w:p>
            <w:pPr>
              <w:pStyle w:val="Compact"/>
              <w:jc w:val="right"/>
            </w:pPr>
            <w:r>
              <w:t xml:space="preserve">0.03102</w:t>
            </w:r>
          </w:p>
        </w:tc>
        <w:tc>
          <w:tcPr/>
          <w:p>
            <w:pPr>
              <w:pStyle w:val="Compact"/>
              <w:jc w:val="right"/>
            </w:pPr>
            <w:r>
              <w:t xml:space="preserve">0.00102</w:t>
            </w:r>
          </w:p>
        </w:tc>
        <w:tc>
          <w:tcPr/>
          <w:p>
            <w:pPr>
              <w:pStyle w:val="Compact"/>
              <w:jc w:val="right"/>
            </w:pPr>
            <w:r>
              <w:t xml:space="preserve">0.03102</w:t>
            </w:r>
          </w:p>
        </w:tc>
        <w:tc>
          <w:tcPr/>
          <w:p>
            <w:pPr>
              <w:pStyle w:val="Compact"/>
              <w:jc w:val="right"/>
            </w:pPr>
            <w:r>
              <w:t xml:space="preserve">0.01444</w:t>
            </w:r>
          </w:p>
        </w:tc>
        <w:tc>
          <w:tcPr/>
          <w:p>
            <w:pPr>
              <w:pStyle w:val="Compact"/>
              <w:jc w:val="right"/>
            </w:pPr>
            <w:r>
              <w:t xml:space="preserve">0.014</w:t>
            </w:r>
          </w:p>
        </w:tc>
        <w:tc>
          <w:tcPr/>
          <w:p>
            <w:pPr>
              <w:pStyle w:val="Compact"/>
              <w:jc w:val="right"/>
            </w:pPr>
            <w:r>
              <w:t xml:space="preserve">0.935</w:t>
            </w:r>
          </w:p>
        </w:tc>
        <w:tc>
          <w:tcPr/>
          <w:p>
            <w:pPr>
              <w:pStyle w:val="Compact"/>
              <w:jc w:val="right"/>
            </w:pPr>
            <w:r>
              <w:t xml:space="preserve">0.034</w:t>
            </w:r>
          </w:p>
        </w:tc>
        <w:tc>
          <w:tcPr/>
          <w:p>
            <w:pPr>
              <w:pStyle w:val="Compact"/>
              <w:jc w:val="right"/>
            </w:pPr>
            <w:r>
              <w:t xml:space="preserve">0.00097</w:t>
            </w:r>
          </w:p>
        </w:tc>
        <w:tc>
          <w:tcPr/>
          <w:p>
            <w:pPr>
              <w:pStyle w:val="Compact"/>
              <w:jc w:val="right"/>
            </w:pPr>
            <w:r>
              <w:t xml:space="preserve">0.390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0.02523</w:t>
            </w:r>
          </w:p>
        </w:tc>
      </w:tr>
      <w:tr>
        <w:tc>
          <w:tcPr/>
          <w:p>
            <w:pPr>
              <w:pStyle w:val="Compact"/>
              <w:jc w:val="left"/>
            </w:pPr>
            <w:r>
              <w:t xml:space="preserve">IPTW</w:t>
            </w:r>
          </w:p>
        </w:tc>
        <w:tc>
          <w:tcPr/>
          <w:p>
            <w:pPr>
              <w:pStyle w:val="Compact"/>
              <w:jc w:val="right"/>
            </w:pPr>
            <w:r>
              <w:t xml:space="preserve">200</w:t>
            </w:r>
          </w:p>
        </w:tc>
        <w:tc>
          <w:tcPr/>
          <w:p>
            <w:pPr>
              <w:pStyle w:val="Compact"/>
              <w:jc w:val="right"/>
            </w:pPr>
            <w:r>
              <w:t xml:space="preserve">-0.03346</w:t>
            </w:r>
          </w:p>
        </w:tc>
        <w:tc>
          <w:tcPr/>
          <w:p>
            <w:pPr>
              <w:pStyle w:val="Compact"/>
              <w:jc w:val="right"/>
            </w:pPr>
            <w:r>
              <w:t xml:space="preserve">-0.00367</w:t>
            </w:r>
          </w:p>
        </w:tc>
        <w:tc>
          <w:tcPr/>
          <w:p>
            <w:pPr>
              <w:pStyle w:val="Compact"/>
              <w:jc w:val="right"/>
            </w:pPr>
            <w:r>
              <w:t xml:space="preserve">0.00141</w:t>
            </w:r>
          </w:p>
        </w:tc>
        <w:tc>
          <w:tcPr/>
          <w:p>
            <w:pPr>
              <w:pStyle w:val="Compact"/>
              <w:jc w:val="right"/>
            </w:pPr>
            <w:r>
              <w:t xml:space="preserve">0.00367</w:t>
            </w:r>
          </w:p>
        </w:tc>
        <w:tc>
          <w:tcPr/>
          <w:p>
            <w:pPr>
              <w:pStyle w:val="Compact"/>
              <w:jc w:val="right"/>
            </w:pPr>
            <w:r>
              <w:t xml:space="preserve">0.01995</w:t>
            </w:r>
          </w:p>
        </w:tc>
        <w:tc>
          <w:tcPr/>
          <w:p>
            <w:pPr>
              <w:pStyle w:val="Compact"/>
              <w:jc w:val="right"/>
            </w:pPr>
            <w:r>
              <w:t xml:space="preserve">0.020</w:t>
            </w:r>
          </w:p>
        </w:tc>
        <w:tc>
          <w:tcPr/>
          <w:p>
            <w:pPr>
              <w:pStyle w:val="Compact"/>
              <w:jc w:val="right"/>
            </w:pPr>
            <w:r>
              <w:t xml:space="preserve">1.015</w:t>
            </w:r>
          </w:p>
        </w:tc>
        <w:tc>
          <w:tcPr/>
          <w:p>
            <w:pPr>
              <w:pStyle w:val="Compact"/>
              <w:jc w:val="right"/>
            </w:pPr>
            <w:r>
              <w:t xml:space="preserve">0.020</w:t>
            </w:r>
          </w:p>
        </w:tc>
        <w:tc>
          <w:tcPr/>
          <w:p>
            <w:pPr>
              <w:pStyle w:val="Compact"/>
              <w:jc w:val="right"/>
            </w:pPr>
            <w:r>
              <w:t xml:space="preserve">0.00106</w:t>
            </w:r>
          </w:p>
        </w:tc>
        <w:tc>
          <w:tcPr/>
          <w:p>
            <w:pPr>
              <w:pStyle w:val="Compact"/>
              <w:jc w:val="right"/>
            </w:pPr>
            <w:r>
              <w:t xml:space="preserve">0.960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0.00623</w:t>
            </w:r>
          </w:p>
        </w:tc>
      </w:tr>
      <w:tr>
        <w:tc>
          <w:tcPr/>
          <w:p>
            <w:pPr>
              <w:pStyle w:val="Compact"/>
              <w:jc w:val="left"/>
            </w:pPr>
            <w:r>
              <w:t xml:space="preserve">PS Match</w:t>
            </w:r>
          </w:p>
        </w:tc>
        <w:tc>
          <w:tcPr/>
          <w:p>
            <w:pPr>
              <w:pStyle w:val="Compact"/>
              <w:jc w:val="right"/>
            </w:pPr>
            <w:r>
              <w:t xml:space="preserve">200</w:t>
            </w:r>
          </w:p>
        </w:tc>
        <w:tc>
          <w:tcPr/>
          <w:p>
            <w:pPr>
              <w:pStyle w:val="Compact"/>
              <w:jc w:val="right"/>
            </w:pPr>
            <w:r>
              <w:t xml:space="preserve">-0.02770</w:t>
            </w:r>
          </w:p>
        </w:tc>
        <w:tc>
          <w:tcPr/>
          <w:p>
            <w:pPr>
              <w:pStyle w:val="Compact"/>
              <w:jc w:val="right"/>
            </w:pPr>
            <w:r>
              <w:t xml:space="preserve">0.00209</w:t>
            </w:r>
          </w:p>
        </w:tc>
        <w:tc>
          <w:tcPr/>
          <w:p>
            <w:pPr>
              <w:pStyle w:val="Compact"/>
              <w:jc w:val="right"/>
            </w:pPr>
            <w:r>
              <w:t xml:space="preserve">0.00122</w:t>
            </w:r>
          </w:p>
        </w:tc>
        <w:tc>
          <w:tcPr/>
          <w:p>
            <w:pPr>
              <w:pStyle w:val="Compact"/>
              <w:jc w:val="right"/>
            </w:pPr>
            <w:r>
              <w:t xml:space="preserve">0.00209</w:t>
            </w:r>
          </w:p>
        </w:tc>
        <w:tc>
          <w:tcPr/>
          <w:p>
            <w:pPr>
              <w:pStyle w:val="Compact"/>
              <w:jc w:val="right"/>
            </w:pPr>
            <w:r>
              <w:t xml:space="preserve">0.01732</w:t>
            </w:r>
          </w:p>
        </w:tc>
        <w:tc>
          <w:tcPr/>
          <w:p>
            <w:pPr>
              <w:pStyle w:val="Compact"/>
              <w:jc w:val="right"/>
            </w:pPr>
            <w:r>
              <w:t xml:space="preserve">0.017</w:t>
            </w:r>
          </w:p>
        </w:tc>
        <w:tc>
          <w:tcPr/>
          <w:p>
            <w:pPr>
              <w:pStyle w:val="Compact"/>
              <w:jc w:val="right"/>
            </w:pPr>
            <w:r>
              <w:t xml:space="preserve">0.993</w:t>
            </w:r>
          </w:p>
        </w:tc>
        <w:tc>
          <w:tcPr/>
          <w:p>
            <w:pPr>
              <w:pStyle w:val="Compact"/>
              <w:jc w:val="right"/>
            </w:pPr>
            <w:r>
              <w:t xml:space="preserve">0.017</w:t>
            </w:r>
          </w:p>
        </w:tc>
        <w:tc>
          <w:tcPr/>
          <w:p>
            <w:pPr>
              <w:pStyle w:val="Compact"/>
              <w:jc w:val="right"/>
            </w:pPr>
            <w:r>
              <w:t xml:space="preserve">0.00107</w:t>
            </w:r>
          </w:p>
        </w:tc>
        <w:tc>
          <w:tcPr/>
          <w:p>
            <w:pPr>
              <w:pStyle w:val="Compact"/>
              <w:jc w:val="right"/>
            </w:pPr>
            <w:r>
              <w:t xml:space="preserve">0.945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0.00601</w:t>
            </w:r>
          </w:p>
        </w:tc>
      </w:tr>
      <w:tr>
        <w:tc>
          <w:tcPr/>
          <w:p>
            <w:pPr>
              <w:pStyle w:val="Compact"/>
              <w:jc w:val="left"/>
            </w:pPr>
            <w:r>
              <w:t xml:space="preserve">TMLE</w:t>
            </w:r>
          </w:p>
        </w:tc>
        <w:tc>
          <w:tcPr/>
          <w:p>
            <w:pPr>
              <w:pStyle w:val="Compact"/>
              <w:jc w:val="right"/>
            </w:pPr>
            <w:r>
              <w:t xml:space="preserve">200</w:t>
            </w:r>
          </w:p>
        </w:tc>
        <w:tc>
          <w:tcPr/>
          <w:p>
            <w:pPr>
              <w:pStyle w:val="Compact"/>
              <w:jc w:val="right"/>
            </w:pPr>
            <w:r>
              <w:t xml:space="preserve">-0.03166</w:t>
            </w:r>
          </w:p>
        </w:tc>
        <w:tc>
          <w:tcPr/>
          <w:p>
            <w:pPr>
              <w:pStyle w:val="Compact"/>
              <w:jc w:val="right"/>
            </w:pPr>
            <w:r>
              <w:t xml:space="preserve">-0.00187</w:t>
            </w:r>
          </w:p>
        </w:tc>
        <w:tc>
          <w:tcPr/>
          <w:p>
            <w:pPr>
              <w:pStyle w:val="Compact"/>
              <w:jc w:val="right"/>
            </w:pPr>
            <w:r>
              <w:t xml:space="preserve">0.00128</w:t>
            </w:r>
          </w:p>
        </w:tc>
        <w:tc>
          <w:tcPr/>
          <w:p>
            <w:pPr>
              <w:pStyle w:val="Compact"/>
              <w:jc w:val="right"/>
            </w:pPr>
            <w:r>
              <w:t xml:space="preserve">0.00187</w:t>
            </w:r>
          </w:p>
        </w:tc>
        <w:tc>
          <w:tcPr/>
          <w:p>
            <w:pPr>
              <w:pStyle w:val="Compact"/>
              <w:jc w:val="right"/>
            </w:pPr>
            <w:r>
              <w:t xml:space="preserve">0.01815</w:t>
            </w:r>
          </w:p>
        </w:tc>
        <w:tc>
          <w:tcPr/>
          <w:p>
            <w:pPr>
              <w:pStyle w:val="Compact"/>
              <w:jc w:val="right"/>
            </w:pPr>
            <w:r>
              <w:t xml:space="preserve">0.014</w:t>
            </w:r>
          </w:p>
        </w:tc>
        <w:tc>
          <w:tcPr/>
          <w:p>
            <w:pPr>
              <w:pStyle w:val="Compact"/>
              <w:jc w:val="right"/>
            </w:pPr>
            <w:r>
              <w:t xml:space="preserve">0.790</w:t>
            </w:r>
          </w:p>
        </w:tc>
        <w:tc>
          <w:tcPr/>
          <w:p>
            <w:pPr>
              <w:pStyle w:val="Compact"/>
              <w:jc w:val="right"/>
            </w:pPr>
            <w:r>
              <w:t xml:space="preserve">0.018</w:t>
            </w:r>
          </w:p>
        </w:tc>
        <w:tc>
          <w:tcPr/>
          <w:p>
            <w:pPr>
              <w:pStyle w:val="Compact"/>
              <w:jc w:val="right"/>
            </w:pPr>
            <w:r>
              <w:t xml:space="preserve">0.00088</w:t>
            </w:r>
          </w:p>
        </w:tc>
        <w:tc>
          <w:tcPr/>
          <w:p>
            <w:pPr>
              <w:pStyle w:val="Compact"/>
              <w:jc w:val="right"/>
            </w:pPr>
            <w:r>
              <w:t xml:space="preserve">0.875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0.00355</w:t>
            </w:r>
          </w:p>
        </w:tc>
      </w:tr>
      <w:tr>
        <w:tc>
          <w:tcPr/>
          <w:p>
            <w:pPr>
              <w:pStyle w:val="Compact"/>
              <w:jc w:val="left"/>
            </w:pPr>
            <w:r>
              <w:t xml:space="preserve">TMLE_CF</w:t>
            </w:r>
          </w:p>
        </w:tc>
        <w:tc>
          <w:tcPr/>
          <w:p>
            <w:pPr>
              <w:pStyle w:val="Compact"/>
              <w:jc w:val="right"/>
            </w:pPr>
            <w:r>
              <w:t xml:space="preserve">200</w:t>
            </w:r>
          </w:p>
        </w:tc>
        <w:tc>
          <w:tcPr/>
          <w:p>
            <w:pPr>
              <w:pStyle w:val="Compact"/>
              <w:jc w:val="right"/>
            </w:pPr>
            <w:r>
              <w:t xml:space="preserve">-0.02818</w:t>
            </w:r>
          </w:p>
        </w:tc>
        <w:tc>
          <w:tcPr/>
          <w:p>
            <w:pPr>
              <w:pStyle w:val="Compact"/>
              <w:jc w:val="right"/>
            </w:pPr>
            <w:r>
              <w:t xml:space="preserve">0.00161</w:t>
            </w:r>
          </w:p>
        </w:tc>
        <w:tc>
          <w:tcPr/>
          <w:p>
            <w:pPr>
              <w:pStyle w:val="Compact"/>
              <w:jc w:val="right"/>
            </w:pPr>
            <w:r>
              <w:t xml:space="preserve">0.00130</w:t>
            </w:r>
          </w:p>
        </w:tc>
        <w:tc>
          <w:tcPr/>
          <w:p>
            <w:pPr>
              <w:pStyle w:val="Compact"/>
              <w:jc w:val="right"/>
            </w:pPr>
            <w:r>
              <w:t xml:space="preserve">0.00161</w:t>
            </w:r>
          </w:p>
        </w:tc>
        <w:tc>
          <w:tcPr/>
          <w:p>
            <w:pPr>
              <w:pStyle w:val="Compact"/>
              <w:jc w:val="right"/>
            </w:pPr>
            <w:r>
              <w:t xml:space="preserve">0.01835</w:t>
            </w:r>
          </w:p>
        </w:tc>
        <w:tc>
          <w:tcPr/>
          <w:p>
            <w:pPr>
              <w:pStyle w:val="Compact"/>
              <w:jc w:val="right"/>
            </w:pPr>
            <w:r>
              <w:t xml:space="preserve">0.014</w:t>
            </w:r>
          </w:p>
        </w:tc>
        <w:tc>
          <w:tcPr/>
          <w:p>
            <w:pPr>
              <w:pStyle w:val="Compact"/>
              <w:jc w:val="right"/>
            </w:pPr>
            <w:r>
              <w:t xml:space="preserve">0.789</w:t>
            </w:r>
          </w:p>
        </w:tc>
        <w:tc>
          <w:tcPr/>
          <w:p>
            <w:pPr>
              <w:pStyle w:val="Compact"/>
              <w:jc w:val="right"/>
            </w:pPr>
            <w:r>
              <w:t xml:space="preserve">0.018</w:t>
            </w:r>
          </w:p>
        </w:tc>
        <w:tc>
          <w:tcPr/>
          <w:p>
            <w:pPr>
              <w:pStyle w:val="Compact"/>
              <w:jc w:val="right"/>
            </w:pPr>
            <w:r>
              <w:t xml:space="preserve">0.00088</w:t>
            </w:r>
          </w:p>
        </w:tc>
        <w:tc>
          <w:tcPr/>
          <w:p>
            <w:pPr>
              <w:pStyle w:val="Compact"/>
              <w:jc w:val="right"/>
            </w:pPr>
            <w:r>
              <w:t xml:space="preserve">0.865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0.00018</w:t>
            </w:r>
          </w:p>
        </w:tc>
      </w:tr>
      <w:tr>
        <w:tc>
          <w:tcPr/>
          <w:p>
            <w:pPr>
              <w:pStyle w:val="Compact"/>
              <w:jc w:val="left"/>
            </w:pPr>
            <w:r>
              <w:t xml:space="preserve">Match_TMLE</w:t>
            </w:r>
          </w:p>
        </w:tc>
        <w:tc>
          <w:tcPr/>
          <w:p>
            <w:pPr>
              <w:pStyle w:val="Compact"/>
              <w:jc w:val="right"/>
            </w:pPr>
            <w:r>
              <w:t xml:space="preserve">200</w:t>
            </w:r>
          </w:p>
        </w:tc>
        <w:tc>
          <w:tcPr/>
          <w:p>
            <w:pPr>
              <w:pStyle w:val="Compact"/>
              <w:jc w:val="right"/>
            </w:pPr>
            <w:r>
              <w:t xml:space="preserve">-0.03175</w:t>
            </w:r>
          </w:p>
        </w:tc>
        <w:tc>
          <w:tcPr/>
          <w:p>
            <w:pPr>
              <w:pStyle w:val="Compact"/>
              <w:jc w:val="right"/>
            </w:pPr>
            <w:r>
              <w:t xml:space="preserve">-0.00195</w:t>
            </w:r>
          </w:p>
        </w:tc>
        <w:tc>
          <w:tcPr/>
          <w:p>
            <w:pPr>
              <w:pStyle w:val="Compact"/>
              <w:jc w:val="right"/>
            </w:pPr>
            <w:r>
              <w:t xml:space="preserve">0.00113</w:t>
            </w:r>
          </w:p>
        </w:tc>
        <w:tc>
          <w:tcPr/>
          <w:p>
            <w:pPr>
              <w:pStyle w:val="Compact"/>
              <w:jc w:val="right"/>
            </w:pPr>
            <w:r>
              <w:t xml:space="preserve">0.00195</w:t>
            </w:r>
          </w:p>
        </w:tc>
        <w:tc>
          <w:tcPr/>
          <w:p>
            <w:pPr>
              <w:pStyle w:val="Compact"/>
              <w:jc w:val="right"/>
            </w:pPr>
            <w:r>
              <w:t xml:space="preserve">0.01602</w:t>
            </w:r>
          </w:p>
        </w:tc>
        <w:tc>
          <w:tcPr/>
          <w:p>
            <w:pPr>
              <w:pStyle w:val="Compact"/>
              <w:jc w:val="right"/>
            </w:pPr>
            <w:r>
              <w:t xml:space="preserve">0.023</w:t>
            </w:r>
          </w:p>
        </w:tc>
        <w:tc>
          <w:tcPr/>
          <w:p>
            <w:pPr>
              <w:pStyle w:val="Compact"/>
              <w:jc w:val="right"/>
            </w:pPr>
            <w:r>
              <w:t xml:space="preserve">1.452</w:t>
            </w:r>
          </w:p>
        </w:tc>
        <w:tc>
          <w:tcPr/>
          <w:p>
            <w:pPr>
              <w:pStyle w:val="Compact"/>
              <w:jc w:val="right"/>
            </w:pPr>
            <w:r>
              <w:t xml:space="preserve">0.016</w:t>
            </w:r>
          </w:p>
        </w:tc>
        <w:tc>
          <w:tcPr/>
          <w:p>
            <w:pPr>
              <w:pStyle w:val="Compact"/>
              <w:jc w:val="right"/>
            </w:pPr>
            <w:r>
              <w:t xml:space="preserve">0.00098</w:t>
            </w:r>
          </w:p>
        </w:tc>
        <w:tc>
          <w:tcPr/>
          <w:p>
            <w:pPr>
              <w:pStyle w:val="Compact"/>
              <w:jc w:val="right"/>
            </w:pPr>
            <w:r>
              <w:t xml:space="preserve">0.995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0.01384</w:t>
            </w:r>
          </w:p>
        </w:tc>
      </w:tr>
    </w:tbl>
    <w:bookmarkEnd w:id="74"/>
    <w:bookmarkStart w:id="75" w:name="X67696f0af7c96073431a1a3b8cdc8ea291d491d"/>
    <w:p>
      <w:pPr>
        <w:pStyle w:val="Heading3"/>
      </w:pPr>
      <w:r>
        <w:t xml:space="preserve">10.2.3 Scenario C: Unmeasured Confounding (true RD = -0.04187)</w:t>
      </w:r>
    </w:p>
    <w:p>
      <w:pPr>
        <w:pStyle w:val="TableCaption"/>
      </w:pPr>
      <w:r>
        <w:t xml:space="preserve">Scenario C: Unmeasured Confounding. The g_value column is the additive bias that would push the 95% CI across zero</w:t>
      </w:r>
      <w:r>
        <w:t xml:space="preserve"> </w:t>
      </w:r>
      <w:r>
        <w:t xml:space="preserve">(Gruber, Phillips, Lee, Ho, et al. 2024, 5)</w:t>
      </w:r>
      <w:r>
        <w:t xml:space="preserve">; smaller values mean the conclusion is more easily flipped by a postulated bias.</w:t>
      </w:r>
    </w:p>
    <w:tbl>
      <w:tblPr>
        <w:tblStyle w:val="Table"/>
        <w:tblW w:type="pct" w:w="5000"/>
        <w:tblLayout w:type="fixed"/>
        <w:tblLook w:firstRow="1" w:lastRow="0" w:firstColumn="0" w:lastColumn="0" w:noHBand="0" w:noVBand="0" w:val="0020"/>
        <w:tblCaption w:val="Scenario C: Unmeasured Confounding. The g_value column is the additive bias that would push the 95% CI across zero (Gruber, Phillips, Lee, Ho, et al. 2024, 5); smaller values mean the conclusion is more easily flipped by a postulated bias."/>
      </w:tblPr>
      <w:tblGrid>
        <w:gridCol w:w="650"/>
        <w:gridCol w:w="295"/>
        <w:gridCol w:w="531"/>
        <w:gridCol w:w="472"/>
        <w:gridCol w:w="650"/>
        <w:gridCol w:w="531"/>
        <w:gridCol w:w="472"/>
        <w:gridCol w:w="472"/>
        <w:gridCol w:w="709"/>
        <w:gridCol w:w="354"/>
        <w:gridCol w:w="650"/>
        <w:gridCol w:w="531"/>
        <w:gridCol w:w="591"/>
        <w:gridCol w:w="531"/>
        <w:gridCol w:w="472"/>
      </w:tblGrid>
      <w:tr>
        <w:trPr>
          <w:tblHeader w:val="on"/>
        </w:trPr>
        <w:tc>
          <w:tcPr/>
          <w:p>
            <w:pPr>
              <w:pStyle w:val="Compact"/>
              <w:jc w:val="left"/>
            </w:pPr>
            <w:r>
              <w:t xml:space="preserve">method</w:t>
            </w:r>
          </w:p>
        </w:tc>
        <w:tc>
          <w:tcPr/>
          <w:p>
            <w:pPr>
              <w:pStyle w:val="Compact"/>
              <w:jc w:val="right"/>
            </w:pPr>
            <w:r>
              <w:t xml:space="preserve">n_ok</w:t>
            </w:r>
          </w:p>
        </w:tc>
        <w:tc>
          <w:tcPr/>
          <w:p>
            <w:pPr>
              <w:pStyle w:val="Compact"/>
              <w:jc w:val="right"/>
            </w:pPr>
            <w:r>
              <w:t xml:space="preserve">mean_est</w:t>
            </w:r>
          </w:p>
        </w:tc>
        <w:tc>
          <w:tcPr/>
          <w:p>
            <w:pPr>
              <w:pStyle w:val="Compact"/>
              <w:jc w:val="right"/>
            </w:pPr>
            <w:r>
              <w:t xml:space="preserve">bias</w:t>
            </w:r>
          </w:p>
        </w:tc>
        <w:tc>
          <w:tcPr/>
          <w:p>
            <w:pPr>
              <w:pStyle w:val="Compact"/>
              <w:jc w:val="right"/>
            </w:pPr>
            <w:r>
              <w:t xml:space="preserve">mc_se_bias</w:t>
            </w:r>
          </w:p>
        </w:tc>
        <w:tc>
          <w:tcPr/>
          <w:p>
            <w:pPr>
              <w:pStyle w:val="Compact"/>
              <w:jc w:val="right"/>
            </w:pPr>
            <w:r>
              <w:t xml:space="preserve">abs_bias</w:t>
            </w:r>
          </w:p>
        </w:tc>
        <w:tc>
          <w:tcPr/>
          <w:p>
            <w:pPr>
              <w:pStyle w:val="Compact"/>
              <w:jc w:val="right"/>
            </w:pPr>
            <w:r>
              <w:t xml:space="preserve">emp_sd</w:t>
            </w:r>
          </w:p>
        </w:tc>
        <w:tc>
          <w:tcPr/>
          <w:p>
            <w:pPr>
              <w:pStyle w:val="Compact"/>
              <w:jc w:val="right"/>
            </w:pPr>
            <w:r>
              <w:t xml:space="preserve">mean_se</w:t>
            </w:r>
          </w:p>
        </w:tc>
        <w:tc>
          <w:tcPr/>
          <w:p>
            <w:pPr>
              <w:pStyle w:val="Compact"/>
              <w:jc w:val="right"/>
            </w:pPr>
            <w:r>
              <w:t xml:space="preserve">se_sd_ratio</w:t>
            </w:r>
          </w:p>
        </w:tc>
        <w:tc>
          <w:tcPr/>
          <w:p>
            <w:pPr>
              <w:pStyle w:val="Compact"/>
              <w:jc w:val="right"/>
            </w:pPr>
            <w:r>
              <w:t xml:space="preserve">rmse</w:t>
            </w:r>
          </w:p>
        </w:tc>
        <w:tc>
          <w:tcPr/>
          <w:p>
            <w:pPr>
              <w:pStyle w:val="Compact"/>
              <w:jc w:val="right"/>
            </w:pPr>
            <w:r>
              <w:t xml:space="preserve">mc_se_rmse</w:t>
            </w:r>
          </w:p>
        </w:tc>
        <w:tc>
          <w:tcPr/>
          <w:p>
            <w:pPr>
              <w:pStyle w:val="Compact"/>
              <w:jc w:val="right"/>
            </w:pPr>
            <w:r>
              <w:t xml:space="preserve">coverage</w:t>
            </w:r>
          </w:p>
        </w:tc>
        <w:tc>
          <w:tcPr/>
          <w:p>
            <w:pPr>
              <w:pStyle w:val="Compact"/>
              <w:jc w:val="right"/>
            </w:pPr>
            <w:r>
              <w:t xml:space="preserve">mc_se_cov</w:t>
            </w:r>
          </w:p>
        </w:tc>
        <w:tc>
          <w:tcPr/>
          <w:p>
            <w:pPr>
              <w:pStyle w:val="Compact"/>
              <w:jc w:val="right"/>
            </w:pPr>
            <w:r>
              <w:t xml:space="preserve">ci_width</w:t>
            </w:r>
          </w:p>
        </w:tc>
        <w:tc>
          <w:tcPr/>
          <w:p>
            <w:pPr>
              <w:pStyle w:val="Compact"/>
              <w:jc w:val="right"/>
            </w:pPr>
            <w:r>
              <w:t xml:space="preserve">g_value</w:t>
            </w:r>
          </w:p>
        </w:tc>
      </w:tr>
      <w:tr>
        <w:tc>
          <w:tcPr/>
          <w:p>
            <w:pPr>
              <w:pStyle w:val="Compact"/>
              <w:jc w:val="left"/>
            </w:pPr>
            <w:r>
              <w:t xml:space="preserve">Crude</w:t>
            </w:r>
          </w:p>
        </w:tc>
        <w:tc>
          <w:tcPr/>
          <w:p>
            <w:pPr>
              <w:pStyle w:val="Compact"/>
              <w:jc w:val="right"/>
            </w:pPr>
            <w:r>
              <w:t xml:space="preserve">200</w:t>
            </w:r>
          </w:p>
        </w:tc>
        <w:tc>
          <w:tcPr/>
          <w:p>
            <w:pPr>
              <w:pStyle w:val="Compact"/>
              <w:jc w:val="right"/>
            </w:pPr>
            <w:r>
              <w:t xml:space="preserve">0.01115</w:t>
            </w:r>
          </w:p>
        </w:tc>
        <w:tc>
          <w:tcPr/>
          <w:p>
            <w:pPr>
              <w:pStyle w:val="Compact"/>
              <w:jc w:val="right"/>
            </w:pPr>
            <w:r>
              <w:t xml:space="preserve">0.05302</w:t>
            </w:r>
          </w:p>
        </w:tc>
        <w:tc>
          <w:tcPr/>
          <w:p>
            <w:pPr>
              <w:pStyle w:val="Compact"/>
              <w:jc w:val="right"/>
            </w:pPr>
            <w:r>
              <w:t xml:space="preserve">0.00113</w:t>
            </w:r>
          </w:p>
        </w:tc>
        <w:tc>
          <w:tcPr/>
          <w:p>
            <w:pPr>
              <w:pStyle w:val="Compact"/>
              <w:jc w:val="right"/>
            </w:pPr>
            <w:r>
              <w:t xml:space="preserve">0.05302</w:t>
            </w:r>
          </w:p>
        </w:tc>
        <w:tc>
          <w:tcPr/>
          <w:p>
            <w:pPr>
              <w:pStyle w:val="Compact"/>
              <w:jc w:val="right"/>
            </w:pPr>
            <w:r>
              <w:t xml:space="preserve">0.01594</w:t>
            </w:r>
          </w:p>
        </w:tc>
        <w:tc>
          <w:tcPr/>
          <w:p>
            <w:pPr>
              <w:pStyle w:val="Compact"/>
              <w:jc w:val="right"/>
            </w:pPr>
            <w:r>
              <w:t xml:space="preserve">0.016</w:t>
            </w:r>
          </w:p>
        </w:tc>
        <w:tc>
          <w:tcPr/>
          <w:p>
            <w:pPr>
              <w:pStyle w:val="Compact"/>
              <w:jc w:val="right"/>
            </w:pPr>
            <w:r>
              <w:t xml:space="preserve">1.019</w:t>
            </w:r>
          </w:p>
        </w:tc>
        <w:tc>
          <w:tcPr/>
          <w:p>
            <w:pPr>
              <w:pStyle w:val="Compact"/>
              <w:jc w:val="right"/>
            </w:pPr>
            <w:r>
              <w:t xml:space="preserve">0.055</w:t>
            </w:r>
          </w:p>
        </w:tc>
        <w:tc>
          <w:tcPr/>
          <w:p>
            <w:pPr>
              <w:pStyle w:val="Compact"/>
              <w:jc w:val="right"/>
            </w:pPr>
            <w:r>
              <w:t xml:space="preserve">0.00112</w:t>
            </w:r>
          </w:p>
        </w:tc>
        <w:tc>
          <w:tcPr/>
          <w:p>
            <w:pPr>
              <w:pStyle w:val="Compact"/>
              <w:jc w:val="right"/>
            </w:pPr>
            <w:r>
              <w:t xml:space="preserve">0.100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0.02070</w:t>
            </w:r>
          </w:p>
        </w:tc>
      </w:tr>
      <w:tr>
        <w:tc>
          <w:tcPr/>
          <w:p>
            <w:pPr>
              <w:pStyle w:val="Compact"/>
              <w:jc w:val="left"/>
            </w:pPr>
            <w:r>
              <w:t xml:space="preserve">IPTW</w:t>
            </w:r>
          </w:p>
        </w:tc>
        <w:tc>
          <w:tcPr/>
          <w:p>
            <w:pPr>
              <w:pStyle w:val="Compact"/>
              <w:jc w:val="right"/>
            </w:pPr>
            <w:r>
              <w:t xml:space="preserve">200</w:t>
            </w:r>
          </w:p>
        </w:tc>
        <w:tc>
          <w:tcPr/>
          <w:p>
            <w:pPr>
              <w:pStyle w:val="Compact"/>
              <w:jc w:val="right"/>
            </w:pPr>
            <w:r>
              <w:t xml:space="preserve">-0.00491</w:t>
            </w:r>
          </w:p>
        </w:tc>
        <w:tc>
          <w:tcPr/>
          <w:p>
            <w:pPr>
              <w:pStyle w:val="Compact"/>
              <w:jc w:val="right"/>
            </w:pPr>
            <w:r>
              <w:t xml:space="preserve">0.03697</w:t>
            </w:r>
          </w:p>
        </w:tc>
        <w:tc>
          <w:tcPr/>
          <w:p>
            <w:pPr>
              <w:pStyle w:val="Compact"/>
              <w:jc w:val="right"/>
            </w:pPr>
            <w:r>
              <w:t xml:space="preserve">0.00117</w:t>
            </w:r>
          </w:p>
        </w:tc>
        <w:tc>
          <w:tcPr/>
          <w:p>
            <w:pPr>
              <w:pStyle w:val="Compact"/>
              <w:jc w:val="right"/>
            </w:pPr>
            <w:r>
              <w:t xml:space="preserve">0.03697</w:t>
            </w:r>
          </w:p>
        </w:tc>
        <w:tc>
          <w:tcPr/>
          <w:p>
            <w:pPr>
              <w:pStyle w:val="Compact"/>
              <w:jc w:val="right"/>
            </w:pPr>
            <w:r>
              <w:t xml:space="preserve">0.01649</w:t>
            </w:r>
          </w:p>
        </w:tc>
        <w:tc>
          <w:tcPr/>
          <w:p>
            <w:pPr>
              <w:pStyle w:val="Compact"/>
              <w:jc w:val="right"/>
            </w:pPr>
            <w:r>
              <w:t xml:space="preserve">0.017</w:t>
            </w:r>
          </w:p>
        </w:tc>
        <w:tc>
          <w:tcPr/>
          <w:p>
            <w:pPr>
              <w:pStyle w:val="Compact"/>
              <w:jc w:val="right"/>
            </w:pPr>
            <w:r>
              <w:t xml:space="preserve">1.021</w:t>
            </w:r>
          </w:p>
        </w:tc>
        <w:tc>
          <w:tcPr/>
          <w:p>
            <w:pPr>
              <w:pStyle w:val="Compact"/>
              <w:jc w:val="right"/>
            </w:pPr>
            <w:r>
              <w:t xml:space="preserve">0.040</w:t>
            </w:r>
          </w:p>
        </w:tc>
        <w:tc>
          <w:tcPr/>
          <w:p>
            <w:pPr>
              <w:pStyle w:val="Compact"/>
              <w:jc w:val="right"/>
            </w:pPr>
            <w:r>
              <w:t xml:space="preserve">0.00115</w:t>
            </w:r>
          </w:p>
        </w:tc>
        <w:tc>
          <w:tcPr/>
          <w:p>
            <w:pPr>
              <w:pStyle w:val="Compact"/>
              <w:jc w:val="right"/>
            </w:pPr>
            <w:r>
              <w:t xml:space="preserve">0.435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0.02808</w:t>
            </w:r>
          </w:p>
        </w:tc>
      </w:tr>
      <w:tr>
        <w:tc>
          <w:tcPr/>
          <w:p>
            <w:pPr>
              <w:pStyle w:val="Compact"/>
              <w:jc w:val="left"/>
            </w:pPr>
            <w:r>
              <w:t xml:space="preserve">PS Match</w:t>
            </w:r>
          </w:p>
        </w:tc>
        <w:tc>
          <w:tcPr/>
          <w:p>
            <w:pPr>
              <w:pStyle w:val="Compact"/>
              <w:jc w:val="right"/>
            </w:pPr>
            <w:r>
              <w:t xml:space="preserve">200</w:t>
            </w:r>
          </w:p>
        </w:tc>
        <w:tc>
          <w:tcPr/>
          <w:p>
            <w:pPr>
              <w:pStyle w:val="Compact"/>
              <w:jc w:val="right"/>
            </w:pPr>
            <w:r>
              <w:t xml:space="preserve">-0.00478</w:t>
            </w:r>
          </w:p>
        </w:tc>
        <w:tc>
          <w:tcPr/>
          <w:p>
            <w:pPr>
              <w:pStyle w:val="Compact"/>
              <w:jc w:val="right"/>
            </w:pPr>
            <w:r>
              <w:t xml:space="preserve">0.03709</w:t>
            </w:r>
          </w:p>
        </w:tc>
        <w:tc>
          <w:tcPr/>
          <w:p>
            <w:pPr>
              <w:pStyle w:val="Compact"/>
              <w:jc w:val="right"/>
            </w:pPr>
            <w:r>
              <w:t xml:space="preserve">0.00121</w:t>
            </w:r>
          </w:p>
        </w:tc>
        <w:tc>
          <w:tcPr/>
          <w:p>
            <w:pPr>
              <w:pStyle w:val="Compact"/>
              <w:jc w:val="right"/>
            </w:pPr>
            <w:r>
              <w:t xml:space="preserve">0.03709</w:t>
            </w:r>
          </w:p>
        </w:tc>
        <w:tc>
          <w:tcPr/>
          <w:p>
            <w:pPr>
              <w:pStyle w:val="Compact"/>
              <w:jc w:val="right"/>
            </w:pPr>
            <w:r>
              <w:t xml:space="preserve">0.01713</w:t>
            </w:r>
          </w:p>
        </w:tc>
        <w:tc>
          <w:tcPr/>
          <w:p>
            <w:pPr>
              <w:pStyle w:val="Compact"/>
              <w:jc w:val="right"/>
            </w:pPr>
            <w:r>
              <w:t xml:space="preserve">0.018</w:t>
            </w:r>
          </w:p>
        </w:tc>
        <w:tc>
          <w:tcPr/>
          <w:p>
            <w:pPr>
              <w:pStyle w:val="Compact"/>
              <w:jc w:val="right"/>
            </w:pPr>
            <w:r>
              <w:t xml:space="preserve">1.030</w:t>
            </w:r>
          </w:p>
        </w:tc>
        <w:tc>
          <w:tcPr/>
          <w:p>
            <w:pPr>
              <w:pStyle w:val="Compact"/>
              <w:jc w:val="right"/>
            </w:pPr>
            <w:r>
              <w:t xml:space="preserve">0.041</w:t>
            </w:r>
          </w:p>
        </w:tc>
        <w:tc>
          <w:tcPr/>
          <w:p>
            <w:pPr>
              <w:pStyle w:val="Compact"/>
              <w:jc w:val="right"/>
            </w:pPr>
            <w:r>
              <w:t xml:space="preserve">0.00120</w:t>
            </w:r>
          </w:p>
        </w:tc>
        <w:tc>
          <w:tcPr/>
          <w:p>
            <w:pPr>
              <w:pStyle w:val="Compact"/>
              <w:jc w:val="right"/>
            </w:pPr>
            <w:r>
              <w:t xml:space="preserve">0.445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0.02981</w:t>
            </w:r>
          </w:p>
        </w:tc>
      </w:tr>
      <w:tr>
        <w:tc>
          <w:tcPr/>
          <w:p>
            <w:pPr>
              <w:pStyle w:val="Compact"/>
              <w:jc w:val="left"/>
            </w:pPr>
            <w:r>
              <w:t xml:space="preserve">TMLE</w:t>
            </w:r>
          </w:p>
        </w:tc>
        <w:tc>
          <w:tcPr/>
          <w:p>
            <w:pPr>
              <w:pStyle w:val="Compact"/>
              <w:jc w:val="right"/>
            </w:pPr>
            <w:r>
              <w:t xml:space="preserve">200</w:t>
            </w:r>
          </w:p>
        </w:tc>
        <w:tc>
          <w:tcPr/>
          <w:p>
            <w:pPr>
              <w:pStyle w:val="Compact"/>
              <w:jc w:val="right"/>
            </w:pPr>
            <w:r>
              <w:t xml:space="preserve">-0.00486</w:t>
            </w:r>
          </w:p>
        </w:tc>
        <w:tc>
          <w:tcPr/>
          <w:p>
            <w:pPr>
              <w:pStyle w:val="Compact"/>
              <w:jc w:val="right"/>
            </w:pPr>
            <w:r>
              <w:t xml:space="preserve">0.03701</w:t>
            </w:r>
          </w:p>
        </w:tc>
        <w:tc>
          <w:tcPr/>
          <w:p>
            <w:pPr>
              <w:pStyle w:val="Compact"/>
              <w:jc w:val="right"/>
            </w:pPr>
            <w:r>
              <w:t xml:space="preserve">0.00116</w:t>
            </w:r>
          </w:p>
        </w:tc>
        <w:tc>
          <w:tcPr/>
          <w:p>
            <w:pPr>
              <w:pStyle w:val="Compact"/>
              <w:jc w:val="right"/>
            </w:pPr>
            <w:r>
              <w:t xml:space="preserve">0.03701</w:t>
            </w:r>
          </w:p>
        </w:tc>
        <w:tc>
          <w:tcPr/>
          <w:p>
            <w:pPr>
              <w:pStyle w:val="Compact"/>
              <w:jc w:val="right"/>
            </w:pPr>
            <w:r>
              <w:t xml:space="preserve">0.01635</w:t>
            </w:r>
          </w:p>
        </w:tc>
        <w:tc>
          <w:tcPr/>
          <w:p>
            <w:pPr>
              <w:pStyle w:val="Compact"/>
              <w:jc w:val="right"/>
            </w:pPr>
            <w:r>
              <w:t xml:space="preserve">0.017</w:t>
            </w:r>
          </w:p>
        </w:tc>
        <w:tc>
          <w:tcPr/>
          <w:p>
            <w:pPr>
              <w:pStyle w:val="Compact"/>
              <w:jc w:val="right"/>
            </w:pPr>
            <w:r>
              <w:t xml:space="preserve">1.017</w:t>
            </w:r>
          </w:p>
        </w:tc>
        <w:tc>
          <w:tcPr/>
          <w:p>
            <w:pPr>
              <w:pStyle w:val="Compact"/>
              <w:jc w:val="right"/>
            </w:pPr>
            <w:r>
              <w:t xml:space="preserve">0.040</w:t>
            </w:r>
          </w:p>
        </w:tc>
        <w:tc>
          <w:tcPr/>
          <w:p>
            <w:pPr>
              <w:pStyle w:val="Compact"/>
              <w:jc w:val="right"/>
            </w:pPr>
            <w:r>
              <w:t xml:space="preserve">0.00115</w:t>
            </w:r>
          </w:p>
        </w:tc>
        <w:tc>
          <w:tcPr/>
          <w:p>
            <w:pPr>
              <w:pStyle w:val="Compact"/>
              <w:jc w:val="right"/>
            </w:pPr>
            <w:r>
              <w:t xml:space="preserve">0.420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0.02772</w:t>
            </w:r>
          </w:p>
        </w:tc>
      </w:tr>
      <w:tr>
        <w:tc>
          <w:tcPr/>
          <w:p>
            <w:pPr>
              <w:pStyle w:val="Compact"/>
              <w:jc w:val="left"/>
            </w:pPr>
            <w:r>
              <w:t xml:space="preserve">TMLE_CF</w:t>
            </w:r>
          </w:p>
        </w:tc>
        <w:tc>
          <w:tcPr/>
          <w:p>
            <w:pPr>
              <w:pStyle w:val="Compact"/>
              <w:jc w:val="right"/>
            </w:pPr>
            <w:r>
              <w:t xml:space="preserve">200</w:t>
            </w:r>
          </w:p>
        </w:tc>
        <w:tc>
          <w:tcPr/>
          <w:p>
            <w:pPr>
              <w:pStyle w:val="Compact"/>
              <w:jc w:val="right"/>
            </w:pPr>
            <w:r>
              <w:t xml:space="preserve">-0.00437</w:t>
            </w:r>
          </w:p>
        </w:tc>
        <w:tc>
          <w:tcPr/>
          <w:p>
            <w:pPr>
              <w:pStyle w:val="Compact"/>
              <w:jc w:val="right"/>
            </w:pPr>
            <w:r>
              <w:t xml:space="preserve">0.03750</w:t>
            </w:r>
          </w:p>
        </w:tc>
        <w:tc>
          <w:tcPr/>
          <w:p>
            <w:pPr>
              <w:pStyle w:val="Compact"/>
              <w:jc w:val="right"/>
            </w:pPr>
            <w:r>
              <w:t xml:space="preserve">0.00119</w:t>
            </w:r>
          </w:p>
        </w:tc>
        <w:tc>
          <w:tcPr/>
          <w:p>
            <w:pPr>
              <w:pStyle w:val="Compact"/>
              <w:jc w:val="right"/>
            </w:pPr>
            <w:r>
              <w:t xml:space="preserve">0.03750</w:t>
            </w:r>
          </w:p>
        </w:tc>
        <w:tc>
          <w:tcPr/>
          <w:p>
            <w:pPr>
              <w:pStyle w:val="Compact"/>
              <w:jc w:val="right"/>
            </w:pPr>
            <w:r>
              <w:t xml:space="preserve">0.01682</w:t>
            </w:r>
          </w:p>
        </w:tc>
        <w:tc>
          <w:tcPr/>
          <w:p>
            <w:pPr>
              <w:pStyle w:val="Compact"/>
              <w:jc w:val="right"/>
            </w:pPr>
            <w:r>
              <w:t xml:space="preserve">0.017</w:t>
            </w:r>
          </w:p>
        </w:tc>
        <w:tc>
          <w:tcPr/>
          <w:p>
            <w:pPr>
              <w:pStyle w:val="Compact"/>
              <w:jc w:val="right"/>
            </w:pPr>
            <w:r>
              <w:t xml:space="preserve">0.991</w:t>
            </w:r>
          </w:p>
        </w:tc>
        <w:tc>
          <w:tcPr/>
          <w:p>
            <w:pPr>
              <w:pStyle w:val="Compact"/>
              <w:jc w:val="right"/>
            </w:pPr>
            <w:r>
              <w:t xml:space="preserve">0.041</w:t>
            </w:r>
          </w:p>
        </w:tc>
        <w:tc>
          <w:tcPr/>
          <w:p>
            <w:pPr>
              <w:pStyle w:val="Compact"/>
              <w:jc w:val="right"/>
            </w:pPr>
            <w:r>
              <w:t xml:space="preserve">0.00118</w:t>
            </w:r>
          </w:p>
        </w:tc>
        <w:tc>
          <w:tcPr/>
          <w:p>
            <w:pPr>
              <w:pStyle w:val="Compact"/>
              <w:jc w:val="right"/>
            </w:pPr>
            <w:r>
              <w:t xml:space="preserve">0.415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0.02828</w:t>
            </w:r>
          </w:p>
        </w:tc>
      </w:tr>
      <w:tr>
        <w:tc>
          <w:tcPr/>
          <w:p>
            <w:pPr>
              <w:pStyle w:val="Compact"/>
              <w:jc w:val="left"/>
            </w:pPr>
            <w:r>
              <w:t xml:space="preserve">Match_TMLE</w:t>
            </w:r>
          </w:p>
        </w:tc>
        <w:tc>
          <w:tcPr/>
          <w:p>
            <w:pPr>
              <w:pStyle w:val="Compact"/>
              <w:jc w:val="right"/>
            </w:pPr>
            <w:r>
              <w:t xml:space="preserve">200</w:t>
            </w:r>
          </w:p>
        </w:tc>
        <w:tc>
          <w:tcPr/>
          <w:p>
            <w:pPr>
              <w:pStyle w:val="Compact"/>
              <w:jc w:val="right"/>
            </w:pPr>
            <w:r>
              <w:t xml:space="preserve">-0.00802</w:t>
            </w:r>
          </w:p>
        </w:tc>
        <w:tc>
          <w:tcPr/>
          <w:p>
            <w:pPr>
              <w:pStyle w:val="Compact"/>
              <w:jc w:val="right"/>
            </w:pPr>
            <w:r>
              <w:t xml:space="preserve">0.03386</w:t>
            </w:r>
          </w:p>
        </w:tc>
        <w:tc>
          <w:tcPr/>
          <w:p>
            <w:pPr>
              <w:pStyle w:val="Compact"/>
              <w:jc w:val="right"/>
            </w:pPr>
            <w:r>
              <w:t xml:space="preserve">0.00119</w:t>
            </w:r>
          </w:p>
        </w:tc>
        <w:tc>
          <w:tcPr/>
          <w:p>
            <w:pPr>
              <w:pStyle w:val="Compact"/>
              <w:jc w:val="right"/>
            </w:pPr>
            <w:r>
              <w:t xml:space="preserve">0.03386</w:t>
            </w:r>
          </w:p>
        </w:tc>
        <w:tc>
          <w:tcPr/>
          <w:p>
            <w:pPr>
              <w:pStyle w:val="Compact"/>
              <w:jc w:val="right"/>
            </w:pPr>
            <w:r>
              <w:t xml:space="preserve">0.01688</w:t>
            </w:r>
          </w:p>
        </w:tc>
        <w:tc>
          <w:tcPr/>
          <w:p>
            <w:pPr>
              <w:pStyle w:val="Compact"/>
              <w:jc w:val="right"/>
            </w:pPr>
            <w:r>
              <w:t xml:space="preserve">0.019</w:t>
            </w:r>
          </w:p>
        </w:tc>
        <w:tc>
          <w:tcPr/>
          <w:p>
            <w:pPr>
              <w:pStyle w:val="Compact"/>
              <w:jc w:val="right"/>
            </w:pPr>
            <w:r>
              <w:t xml:space="preserve">1.144</w:t>
            </w:r>
          </w:p>
        </w:tc>
        <w:tc>
          <w:tcPr/>
          <w:p>
            <w:pPr>
              <w:pStyle w:val="Compact"/>
              <w:jc w:val="right"/>
            </w:pPr>
            <w:r>
              <w:t xml:space="preserve">0.038</w:t>
            </w:r>
          </w:p>
        </w:tc>
        <w:tc>
          <w:tcPr/>
          <w:p>
            <w:pPr>
              <w:pStyle w:val="Compact"/>
              <w:jc w:val="right"/>
            </w:pPr>
            <w:r>
              <w:t xml:space="preserve">0.00118</w:t>
            </w:r>
          </w:p>
        </w:tc>
        <w:tc>
          <w:tcPr/>
          <w:p>
            <w:pPr>
              <w:pStyle w:val="Compact"/>
              <w:jc w:val="right"/>
            </w:pPr>
            <w:r>
              <w:t xml:space="preserve">0.625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0.02985</w:t>
            </w:r>
          </w:p>
        </w:tc>
      </w:tr>
    </w:tbl>
    <w:bookmarkEnd w:id="75"/>
    <w:bookmarkStart w:id="76" w:name="X4fba5163ec5525faca6ae826cc1f058200d2aad"/>
    <w:p>
      <w:pPr>
        <w:pStyle w:val="Heading3"/>
      </w:pPr>
      <w:r>
        <w:t xml:space="preserve">10.2.4 Scenario D: Misspecified Surface (true RD = -0.07971)</w:t>
      </w:r>
    </w:p>
    <w:p>
      <w:pPr>
        <w:pStyle w:val="TableCaption"/>
      </w:pPr>
      <w:r>
        <w:t xml:space="preserve">Scenario D: Misspecified Surface. The g_value column is the additive bias that would push the 95% CI across zero</w:t>
      </w:r>
      <w:r>
        <w:t xml:space="preserve"> </w:t>
      </w:r>
      <w:r>
        <w:t xml:space="preserve">(Gruber, Phillips, Lee, Ho, et al. 2024, 5)</w:t>
      </w:r>
      <w:r>
        <w:t xml:space="preserve">; smaller values mean the conclusion is more easily flipped by a postulated bias.</w:t>
      </w:r>
    </w:p>
    <w:tbl>
      <w:tblPr>
        <w:tblStyle w:val="Table"/>
        <w:tblW w:type="pct" w:w="5000"/>
        <w:tblLayout w:type="fixed"/>
        <w:tblLook w:firstRow="1" w:lastRow="0" w:firstColumn="0" w:lastColumn="0" w:noHBand="0" w:noVBand="0" w:val="0020"/>
        <w:tblCaption w:val="Scenario D: Misspecified Surface. The g_value column is the additive bias that would push the 95% CI across zero (Gruber, Phillips, Lee, Ho, et al. 2024, 5); smaller values mean the conclusion is more easily flipped by a postulated bias."/>
      </w:tblPr>
      <w:tblGrid>
        <w:gridCol w:w="650"/>
        <w:gridCol w:w="295"/>
        <w:gridCol w:w="531"/>
        <w:gridCol w:w="472"/>
        <w:gridCol w:w="650"/>
        <w:gridCol w:w="531"/>
        <w:gridCol w:w="472"/>
        <w:gridCol w:w="472"/>
        <w:gridCol w:w="709"/>
        <w:gridCol w:w="354"/>
        <w:gridCol w:w="650"/>
        <w:gridCol w:w="531"/>
        <w:gridCol w:w="591"/>
        <w:gridCol w:w="531"/>
        <w:gridCol w:w="472"/>
      </w:tblGrid>
      <w:tr>
        <w:trPr>
          <w:tblHeader w:val="on"/>
        </w:trPr>
        <w:tc>
          <w:tcPr/>
          <w:p>
            <w:pPr>
              <w:pStyle w:val="Compact"/>
              <w:jc w:val="left"/>
            </w:pPr>
            <w:r>
              <w:t xml:space="preserve">method</w:t>
            </w:r>
          </w:p>
        </w:tc>
        <w:tc>
          <w:tcPr/>
          <w:p>
            <w:pPr>
              <w:pStyle w:val="Compact"/>
              <w:jc w:val="right"/>
            </w:pPr>
            <w:r>
              <w:t xml:space="preserve">n_ok</w:t>
            </w:r>
          </w:p>
        </w:tc>
        <w:tc>
          <w:tcPr/>
          <w:p>
            <w:pPr>
              <w:pStyle w:val="Compact"/>
              <w:jc w:val="right"/>
            </w:pPr>
            <w:r>
              <w:t xml:space="preserve">mean_est</w:t>
            </w:r>
          </w:p>
        </w:tc>
        <w:tc>
          <w:tcPr/>
          <w:p>
            <w:pPr>
              <w:pStyle w:val="Compact"/>
              <w:jc w:val="right"/>
            </w:pPr>
            <w:r>
              <w:t xml:space="preserve">bias</w:t>
            </w:r>
          </w:p>
        </w:tc>
        <w:tc>
          <w:tcPr/>
          <w:p>
            <w:pPr>
              <w:pStyle w:val="Compact"/>
              <w:jc w:val="right"/>
            </w:pPr>
            <w:r>
              <w:t xml:space="preserve">mc_se_bias</w:t>
            </w:r>
          </w:p>
        </w:tc>
        <w:tc>
          <w:tcPr/>
          <w:p>
            <w:pPr>
              <w:pStyle w:val="Compact"/>
              <w:jc w:val="right"/>
            </w:pPr>
            <w:r>
              <w:t xml:space="preserve">abs_bias</w:t>
            </w:r>
          </w:p>
        </w:tc>
        <w:tc>
          <w:tcPr/>
          <w:p>
            <w:pPr>
              <w:pStyle w:val="Compact"/>
              <w:jc w:val="right"/>
            </w:pPr>
            <w:r>
              <w:t xml:space="preserve">emp_sd</w:t>
            </w:r>
          </w:p>
        </w:tc>
        <w:tc>
          <w:tcPr/>
          <w:p>
            <w:pPr>
              <w:pStyle w:val="Compact"/>
              <w:jc w:val="right"/>
            </w:pPr>
            <w:r>
              <w:t xml:space="preserve">mean_se</w:t>
            </w:r>
          </w:p>
        </w:tc>
        <w:tc>
          <w:tcPr/>
          <w:p>
            <w:pPr>
              <w:pStyle w:val="Compact"/>
              <w:jc w:val="right"/>
            </w:pPr>
            <w:r>
              <w:t xml:space="preserve">se_sd_ratio</w:t>
            </w:r>
          </w:p>
        </w:tc>
        <w:tc>
          <w:tcPr/>
          <w:p>
            <w:pPr>
              <w:pStyle w:val="Compact"/>
              <w:jc w:val="right"/>
            </w:pPr>
            <w:r>
              <w:t xml:space="preserve">rmse</w:t>
            </w:r>
          </w:p>
        </w:tc>
        <w:tc>
          <w:tcPr/>
          <w:p>
            <w:pPr>
              <w:pStyle w:val="Compact"/>
              <w:jc w:val="right"/>
            </w:pPr>
            <w:r>
              <w:t xml:space="preserve">mc_se_rmse</w:t>
            </w:r>
          </w:p>
        </w:tc>
        <w:tc>
          <w:tcPr/>
          <w:p>
            <w:pPr>
              <w:pStyle w:val="Compact"/>
              <w:jc w:val="right"/>
            </w:pPr>
            <w:r>
              <w:t xml:space="preserve">coverage</w:t>
            </w:r>
          </w:p>
        </w:tc>
        <w:tc>
          <w:tcPr/>
          <w:p>
            <w:pPr>
              <w:pStyle w:val="Compact"/>
              <w:jc w:val="right"/>
            </w:pPr>
            <w:r>
              <w:t xml:space="preserve">mc_se_cov</w:t>
            </w:r>
          </w:p>
        </w:tc>
        <w:tc>
          <w:tcPr/>
          <w:p>
            <w:pPr>
              <w:pStyle w:val="Compact"/>
              <w:jc w:val="right"/>
            </w:pPr>
            <w:r>
              <w:t xml:space="preserve">ci_width</w:t>
            </w:r>
          </w:p>
        </w:tc>
        <w:tc>
          <w:tcPr/>
          <w:p>
            <w:pPr>
              <w:pStyle w:val="Compact"/>
              <w:jc w:val="right"/>
            </w:pPr>
            <w:r>
              <w:t xml:space="preserve">g_value</w:t>
            </w:r>
          </w:p>
        </w:tc>
      </w:tr>
      <w:tr>
        <w:tc>
          <w:tcPr/>
          <w:p>
            <w:pPr>
              <w:pStyle w:val="Compact"/>
              <w:jc w:val="left"/>
            </w:pPr>
            <w:r>
              <w:t xml:space="preserve">Crude</w:t>
            </w:r>
          </w:p>
        </w:tc>
        <w:tc>
          <w:tcPr/>
          <w:p>
            <w:pPr>
              <w:pStyle w:val="Compact"/>
              <w:jc w:val="right"/>
            </w:pPr>
            <w:r>
              <w:t xml:space="preserve">200</w:t>
            </w:r>
          </w:p>
        </w:tc>
        <w:tc>
          <w:tcPr/>
          <w:p>
            <w:pPr>
              <w:pStyle w:val="Compact"/>
              <w:jc w:val="right"/>
            </w:pPr>
            <w:r>
              <w:t xml:space="preserve">0.04012</w:t>
            </w:r>
          </w:p>
        </w:tc>
        <w:tc>
          <w:tcPr/>
          <w:p>
            <w:pPr>
              <w:pStyle w:val="Compact"/>
              <w:jc w:val="right"/>
            </w:pPr>
            <w:r>
              <w:t xml:space="preserve">0.11983</w:t>
            </w:r>
          </w:p>
        </w:tc>
        <w:tc>
          <w:tcPr/>
          <w:p>
            <w:pPr>
              <w:pStyle w:val="Compact"/>
              <w:jc w:val="right"/>
            </w:pPr>
            <w:r>
              <w:t xml:space="preserve">0.00163</w:t>
            </w:r>
          </w:p>
        </w:tc>
        <w:tc>
          <w:tcPr/>
          <w:p>
            <w:pPr>
              <w:pStyle w:val="Compact"/>
              <w:jc w:val="right"/>
            </w:pPr>
            <w:r>
              <w:t xml:space="preserve">0.11983</w:t>
            </w:r>
          </w:p>
        </w:tc>
        <w:tc>
          <w:tcPr/>
          <w:p>
            <w:pPr>
              <w:pStyle w:val="Compact"/>
              <w:jc w:val="right"/>
            </w:pPr>
            <w:r>
              <w:t xml:space="preserve">0.02307</w:t>
            </w:r>
          </w:p>
        </w:tc>
        <w:tc>
          <w:tcPr/>
          <w:p>
            <w:pPr>
              <w:pStyle w:val="Compact"/>
              <w:jc w:val="right"/>
            </w:pPr>
            <w:r>
              <w:t xml:space="preserve">0.022</w:t>
            </w:r>
          </w:p>
        </w:tc>
        <w:tc>
          <w:tcPr/>
          <w:p>
            <w:pPr>
              <w:pStyle w:val="Compact"/>
              <w:jc w:val="right"/>
            </w:pPr>
            <w:r>
              <w:t xml:space="preserve">0.969</w:t>
            </w:r>
          </w:p>
        </w:tc>
        <w:tc>
          <w:tcPr/>
          <w:p>
            <w:pPr>
              <w:pStyle w:val="Compact"/>
              <w:jc w:val="right"/>
            </w:pPr>
            <w:r>
              <w:t xml:space="preserve">0.122</w:t>
            </w:r>
          </w:p>
        </w:tc>
        <w:tc>
          <w:tcPr/>
          <w:p>
            <w:pPr>
              <w:pStyle w:val="Compact"/>
              <w:jc w:val="right"/>
            </w:pPr>
            <w:r>
              <w:t xml:space="preserve">0.00165</w:t>
            </w:r>
          </w:p>
        </w:tc>
        <w:tc>
          <w:tcPr/>
          <w:p>
            <w:pPr>
              <w:pStyle w:val="Compact"/>
              <w:jc w:val="right"/>
            </w:pPr>
            <w:r>
              <w:t xml:space="preserve">0.000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0.00371</w:t>
            </w:r>
          </w:p>
        </w:tc>
      </w:tr>
      <w:tr>
        <w:tc>
          <w:tcPr/>
          <w:p>
            <w:pPr>
              <w:pStyle w:val="Compact"/>
              <w:jc w:val="left"/>
            </w:pPr>
            <w:r>
              <w:t xml:space="preserve">IPTW</w:t>
            </w:r>
          </w:p>
        </w:tc>
        <w:tc>
          <w:tcPr/>
          <w:p>
            <w:pPr>
              <w:pStyle w:val="Compact"/>
              <w:jc w:val="right"/>
            </w:pPr>
            <w:r>
              <w:t xml:space="preserve">200</w:t>
            </w:r>
          </w:p>
        </w:tc>
        <w:tc>
          <w:tcPr/>
          <w:p>
            <w:pPr>
              <w:pStyle w:val="Compact"/>
              <w:jc w:val="right"/>
            </w:pPr>
            <w:r>
              <w:t xml:space="preserve">-0.03536</w:t>
            </w:r>
          </w:p>
        </w:tc>
        <w:tc>
          <w:tcPr/>
          <w:p>
            <w:pPr>
              <w:pStyle w:val="Compact"/>
              <w:jc w:val="right"/>
            </w:pPr>
            <w:r>
              <w:t xml:space="preserve">0.04435</w:t>
            </w:r>
          </w:p>
        </w:tc>
        <w:tc>
          <w:tcPr/>
          <w:p>
            <w:pPr>
              <w:pStyle w:val="Compact"/>
              <w:jc w:val="right"/>
            </w:pPr>
            <w:r>
              <w:t xml:space="preserve">0.00169</w:t>
            </w:r>
          </w:p>
        </w:tc>
        <w:tc>
          <w:tcPr/>
          <w:p>
            <w:pPr>
              <w:pStyle w:val="Compact"/>
              <w:jc w:val="right"/>
            </w:pPr>
            <w:r>
              <w:t xml:space="preserve">0.04435</w:t>
            </w:r>
          </w:p>
        </w:tc>
        <w:tc>
          <w:tcPr/>
          <w:p>
            <w:pPr>
              <w:pStyle w:val="Compact"/>
              <w:jc w:val="right"/>
            </w:pPr>
            <w:r>
              <w:t xml:space="preserve">0.02397</w:t>
            </w:r>
          </w:p>
        </w:tc>
        <w:tc>
          <w:tcPr/>
          <w:p>
            <w:pPr>
              <w:pStyle w:val="Compact"/>
              <w:jc w:val="right"/>
            </w:pPr>
            <w:r>
              <w:t xml:space="preserve">0.024</w:t>
            </w:r>
          </w:p>
        </w:tc>
        <w:tc>
          <w:tcPr/>
          <w:p>
            <w:pPr>
              <w:pStyle w:val="Compact"/>
              <w:jc w:val="right"/>
            </w:pPr>
            <w:r>
              <w:t xml:space="preserve">0.998</w:t>
            </w:r>
          </w:p>
        </w:tc>
        <w:tc>
          <w:tcPr/>
          <w:p>
            <w:pPr>
              <w:pStyle w:val="Compact"/>
              <w:jc w:val="right"/>
            </w:pPr>
            <w:r>
              <w:t xml:space="preserve">0.050</w:t>
            </w:r>
          </w:p>
        </w:tc>
        <w:tc>
          <w:tcPr/>
          <w:p>
            <w:pPr>
              <w:pStyle w:val="Compact"/>
              <w:jc w:val="right"/>
            </w:pPr>
            <w:r>
              <w:t xml:space="preserve">0.00159</w:t>
            </w:r>
          </w:p>
        </w:tc>
        <w:tc>
          <w:tcPr/>
          <w:p>
            <w:pPr>
              <w:pStyle w:val="Compact"/>
              <w:jc w:val="right"/>
            </w:pPr>
            <w:r>
              <w:t xml:space="preserve">0.540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0.01152</w:t>
            </w:r>
          </w:p>
        </w:tc>
      </w:tr>
      <w:tr>
        <w:tc>
          <w:tcPr/>
          <w:p>
            <w:pPr>
              <w:pStyle w:val="Compact"/>
              <w:jc w:val="left"/>
            </w:pPr>
            <w:r>
              <w:t xml:space="preserve">PS Match</w:t>
            </w:r>
          </w:p>
        </w:tc>
        <w:tc>
          <w:tcPr/>
          <w:p>
            <w:pPr>
              <w:pStyle w:val="Compact"/>
              <w:jc w:val="right"/>
            </w:pPr>
            <w:r>
              <w:t xml:space="preserve">200</w:t>
            </w:r>
          </w:p>
        </w:tc>
        <w:tc>
          <w:tcPr/>
          <w:p>
            <w:pPr>
              <w:pStyle w:val="Compact"/>
              <w:jc w:val="right"/>
            </w:pPr>
            <w:r>
              <w:t xml:space="preserve">-0.04087</w:t>
            </w:r>
          </w:p>
        </w:tc>
        <w:tc>
          <w:tcPr/>
          <w:p>
            <w:pPr>
              <w:pStyle w:val="Compact"/>
              <w:jc w:val="right"/>
            </w:pPr>
            <w:r>
              <w:t xml:space="preserve">0.03884</w:t>
            </w:r>
          </w:p>
        </w:tc>
        <w:tc>
          <w:tcPr/>
          <w:p>
            <w:pPr>
              <w:pStyle w:val="Compact"/>
              <w:jc w:val="right"/>
            </w:pPr>
            <w:r>
              <w:t xml:space="preserve">0.00175</w:t>
            </w:r>
          </w:p>
        </w:tc>
        <w:tc>
          <w:tcPr/>
          <w:p>
            <w:pPr>
              <w:pStyle w:val="Compact"/>
              <w:jc w:val="right"/>
            </w:pPr>
            <w:r>
              <w:t xml:space="preserve">0.03884</w:t>
            </w:r>
          </w:p>
        </w:tc>
        <w:tc>
          <w:tcPr/>
          <w:p>
            <w:pPr>
              <w:pStyle w:val="Compact"/>
              <w:jc w:val="right"/>
            </w:pPr>
            <w:r>
              <w:t xml:space="preserve">0.02468</w:t>
            </w:r>
          </w:p>
        </w:tc>
        <w:tc>
          <w:tcPr/>
          <w:p>
            <w:pPr>
              <w:pStyle w:val="Compact"/>
              <w:jc w:val="right"/>
            </w:pPr>
            <w:r>
              <w:t xml:space="preserve">0.025</w:t>
            </w:r>
          </w:p>
        </w:tc>
        <w:tc>
          <w:tcPr/>
          <w:p>
            <w:pPr>
              <w:pStyle w:val="Compact"/>
              <w:jc w:val="right"/>
            </w:pPr>
            <w:r>
              <w:t xml:space="preserve">1.032</w:t>
            </w:r>
          </w:p>
        </w:tc>
        <w:tc>
          <w:tcPr/>
          <w:p>
            <w:pPr>
              <w:pStyle w:val="Compact"/>
              <w:jc w:val="right"/>
            </w:pPr>
            <w:r>
              <w:t xml:space="preserve">0.046</w:t>
            </w:r>
          </w:p>
        </w:tc>
        <w:tc>
          <w:tcPr/>
          <w:p>
            <w:pPr>
              <w:pStyle w:val="Compact"/>
              <w:jc w:val="right"/>
            </w:pPr>
            <w:r>
              <w:t xml:space="preserve">0.00158</w:t>
            </w:r>
          </w:p>
        </w:tc>
        <w:tc>
          <w:tcPr/>
          <w:p>
            <w:pPr>
              <w:pStyle w:val="Compact"/>
              <w:jc w:val="right"/>
            </w:pPr>
            <w:r>
              <w:t xml:space="preserve">0.675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0.00905</w:t>
            </w:r>
          </w:p>
        </w:tc>
      </w:tr>
      <w:tr>
        <w:tc>
          <w:tcPr/>
          <w:p>
            <w:pPr>
              <w:pStyle w:val="Compact"/>
              <w:jc w:val="left"/>
            </w:pPr>
            <w:r>
              <w:t xml:space="preserve">TMLE</w:t>
            </w:r>
          </w:p>
        </w:tc>
        <w:tc>
          <w:tcPr/>
          <w:p>
            <w:pPr>
              <w:pStyle w:val="Compact"/>
              <w:jc w:val="right"/>
            </w:pPr>
            <w:r>
              <w:t xml:space="preserve">200</w:t>
            </w:r>
          </w:p>
        </w:tc>
        <w:tc>
          <w:tcPr/>
          <w:p>
            <w:pPr>
              <w:pStyle w:val="Compact"/>
              <w:jc w:val="right"/>
            </w:pPr>
            <w:r>
              <w:t xml:space="preserve">-0.03460</w:t>
            </w:r>
          </w:p>
        </w:tc>
        <w:tc>
          <w:tcPr/>
          <w:p>
            <w:pPr>
              <w:pStyle w:val="Compact"/>
              <w:jc w:val="right"/>
            </w:pPr>
            <w:r>
              <w:t xml:space="preserve">0.04510</w:t>
            </w:r>
          </w:p>
        </w:tc>
        <w:tc>
          <w:tcPr/>
          <w:p>
            <w:pPr>
              <w:pStyle w:val="Compact"/>
              <w:jc w:val="right"/>
            </w:pPr>
            <w:r>
              <w:t xml:space="preserve">0.00170</w:t>
            </w:r>
          </w:p>
        </w:tc>
        <w:tc>
          <w:tcPr/>
          <w:p>
            <w:pPr>
              <w:pStyle w:val="Compact"/>
              <w:jc w:val="right"/>
            </w:pPr>
            <w:r>
              <w:t xml:space="preserve">0.04510</w:t>
            </w:r>
          </w:p>
        </w:tc>
        <w:tc>
          <w:tcPr/>
          <w:p>
            <w:pPr>
              <w:pStyle w:val="Compact"/>
              <w:jc w:val="right"/>
            </w:pPr>
            <w:r>
              <w:t xml:space="preserve">0.02408</w:t>
            </w:r>
          </w:p>
        </w:tc>
        <w:tc>
          <w:tcPr/>
          <w:p>
            <w:pPr>
              <w:pStyle w:val="Compact"/>
              <w:jc w:val="right"/>
            </w:pPr>
            <w:r>
              <w:t xml:space="preserve">0.023</w:t>
            </w:r>
          </w:p>
        </w:tc>
        <w:tc>
          <w:tcPr/>
          <w:p>
            <w:pPr>
              <w:pStyle w:val="Compact"/>
              <w:jc w:val="right"/>
            </w:pPr>
            <w:r>
              <w:t xml:space="preserve">0.964</w:t>
            </w:r>
          </w:p>
        </w:tc>
        <w:tc>
          <w:tcPr/>
          <w:p>
            <w:pPr>
              <w:pStyle w:val="Compact"/>
              <w:jc w:val="right"/>
            </w:pPr>
            <w:r>
              <w:t xml:space="preserve">0.051</w:t>
            </w:r>
          </w:p>
        </w:tc>
        <w:tc>
          <w:tcPr/>
          <w:p>
            <w:pPr>
              <w:pStyle w:val="Compact"/>
              <w:jc w:val="right"/>
            </w:pPr>
            <w:r>
              <w:t xml:space="preserve">0.00161</w:t>
            </w:r>
          </w:p>
        </w:tc>
        <w:tc>
          <w:tcPr/>
          <w:p>
            <w:pPr>
              <w:pStyle w:val="Compact"/>
              <w:jc w:val="right"/>
            </w:pPr>
            <w:r>
              <w:t xml:space="preserve">0.505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0.01087</w:t>
            </w:r>
          </w:p>
        </w:tc>
      </w:tr>
      <w:tr>
        <w:tc>
          <w:tcPr/>
          <w:p>
            <w:pPr>
              <w:pStyle w:val="Compact"/>
              <w:jc w:val="left"/>
            </w:pPr>
            <w:r>
              <w:t xml:space="preserve">TMLE_CF</w:t>
            </w:r>
          </w:p>
        </w:tc>
        <w:tc>
          <w:tcPr/>
          <w:p>
            <w:pPr>
              <w:pStyle w:val="Compact"/>
              <w:jc w:val="right"/>
            </w:pPr>
            <w:r>
              <w:t xml:space="preserve">200</w:t>
            </w:r>
          </w:p>
        </w:tc>
        <w:tc>
          <w:tcPr/>
          <w:p>
            <w:pPr>
              <w:pStyle w:val="Compact"/>
              <w:jc w:val="right"/>
            </w:pPr>
            <w:r>
              <w:t xml:space="preserve">-0.07239</w:t>
            </w:r>
          </w:p>
        </w:tc>
        <w:tc>
          <w:tcPr/>
          <w:p>
            <w:pPr>
              <w:pStyle w:val="Compact"/>
              <w:jc w:val="right"/>
            </w:pPr>
            <w:r>
              <w:t xml:space="preserve">0.00732</w:t>
            </w:r>
          </w:p>
        </w:tc>
        <w:tc>
          <w:tcPr/>
          <w:p>
            <w:pPr>
              <w:pStyle w:val="Compact"/>
              <w:jc w:val="right"/>
            </w:pPr>
            <w:r>
              <w:t xml:space="preserve">0.00165</w:t>
            </w:r>
          </w:p>
        </w:tc>
        <w:tc>
          <w:tcPr/>
          <w:p>
            <w:pPr>
              <w:pStyle w:val="Compact"/>
              <w:jc w:val="right"/>
            </w:pPr>
            <w:r>
              <w:t xml:space="preserve">0.00732</w:t>
            </w:r>
          </w:p>
        </w:tc>
        <w:tc>
          <w:tcPr/>
          <w:p>
            <w:pPr>
              <w:pStyle w:val="Compact"/>
              <w:jc w:val="right"/>
            </w:pPr>
            <w:r>
              <w:t xml:space="preserve">0.02328</w:t>
            </w:r>
          </w:p>
        </w:tc>
        <w:tc>
          <w:tcPr/>
          <w:p>
            <w:pPr>
              <w:pStyle w:val="Compact"/>
              <w:jc w:val="right"/>
            </w:pPr>
            <w:r>
              <w:t xml:space="preserve">0.022</w:t>
            </w:r>
          </w:p>
        </w:tc>
        <w:tc>
          <w:tcPr/>
          <w:p>
            <w:pPr>
              <w:pStyle w:val="Compact"/>
              <w:jc w:val="right"/>
            </w:pPr>
            <w:r>
              <w:t xml:space="preserve">0.949</w:t>
            </w:r>
          </w:p>
        </w:tc>
        <w:tc>
          <w:tcPr/>
          <w:p>
            <w:pPr>
              <w:pStyle w:val="Compact"/>
              <w:jc w:val="right"/>
            </w:pPr>
            <w:r>
              <w:t xml:space="preserve">0.024</w:t>
            </w:r>
          </w:p>
        </w:tc>
        <w:tc>
          <w:tcPr/>
          <w:p>
            <w:pPr>
              <w:pStyle w:val="Compact"/>
              <w:jc w:val="right"/>
            </w:pPr>
            <w:r>
              <w:t xml:space="preserve">0.00118</w:t>
            </w:r>
          </w:p>
        </w:tc>
        <w:tc>
          <w:tcPr/>
          <w:p>
            <w:pPr>
              <w:pStyle w:val="Compact"/>
              <w:jc w:val="right"/>
            </w:pPr>
            <w:r>
              <w:t xml:space="preserve">0.920</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0.02907</w:t>
            </w:r>
          </w:p>
        </w:tc>
      </w:tr>
      <w:tr>
        <w:tc>
          <w:tcPr/>
          <w:p>
            <w:pPr>
              <w:pStyle w:val="Compact"/>
              <w:jc w:val="left"/>
            </w:pPr>
            <w:r>
              <w:t xml:space="preserve">Match_TMLE</w:t>
            </w:r>
          </w:p>
        </w:tc>
        <w:tc>
          <w:tcPr/>
          <w:p>
            <w:pPr>
              <w:pStyle w:val="Compact"/>
              <w:jc w:val="right"/>
            </w:pPr>
            <w:r>
              <w:t xml:space="preserve">200</w:t>
            </w:r>
          </w:p>
        </w:tc>
        <w:tc>
          <w:tcPr/>
          <w:p>
            <w:pPr>
              <w:pStyle w:val="Compact"/>
              <w:jc w:val="right"/>
            </w:pPr>
            <w:r>
              <w:t xml:space="preserve">-0.04872</w:t>
            </w:r>
          </w:p>
        </w:tc>
        <w:tc>
          <w:tcPr/>
          <w:p>
            <w:pPr>
              <w:pStyle w:val="Compact"/>
              <w:jc w:val="right"/>
            </w:pPr>
            <w:r>
              <w:t xml:space="preserve">0.03099</w:t>
            </w:r>
          </w:p>
        </w:tc>
        <w:tc>
          <w:tcPr/>
          <w:p>
            <w:pPr>
              <w:pStyle w:val="Compact"/>
              <w:jc w:val="right"/>
            </w:pPr>
            <w:r>
              <w:t xml:space="preserve">0.00169</w:t>
            </w:r>
          </w:p>
        </w:tc>
        <w:tc>
          <w:tcPr/>
          <w:p>
            <w:pPr>
              <w:pStyle w:val="Compact"/>
              <w:jc w:val="right"/>
            </w:pPr>
            <w:r>
              <w:t xml:space="preserve">0.03099</w:t>
            </w:r>
          </w:p>
        </w:tc>
        <w:tc>
          <w:tcPr/>
          <w:p>
            <w:pPr>
              <w:pStyle w:val="Compact"/>
              <w:jc w:val="right"/>
            </w:pPr>
            <w:r>
              <w:t xml:space="preserve">0.02394</w:t>
            </w:r>
          </w:p>
        </w:tc>
        <w:tc>
          <w:tcPr/>
          <w:p>
            <w:pPr>
              <w:pStyle w:val="Compact"/>
              <w:jc w:val="right"/>
            </w:pPr>
            <w:r>
              <w:t xml:space="preserve">0.028</w:t>
            </w:r>
          </w:p>
        </w:tc>
        <w:tc>
          <w:tcPr/>
          <w:p>
            <w:pPr>
              <w:pStyle w:val="Compact"/>
              <w:jc w:val="right"/>
            </w:pPr>
            <w:r>
              <w:t xml:space="preserve">1.173</w:t>
            </w:r>
          </w:p>
        </w:tc>
        <w:tc>
          <w:tcPr/>
          <w:p>
            <w:pPr>
              <w:pStyle w:val="Compact"/>
              <w:jc w:val="right"/>
            </w:pPr>
            <w:r>
              <w:t xml:space="preserve">0.039</w:t>
            </w:r>
          </w:p>
        </w:tc>
        <w:tc>
          <w:tcPr/>
          <w:p>
            <w:pPr>
              <w:pStyle w:val="Compact"/>
              <w:jc w:val="right"/>
            </w:pPr>
            <w:r>
              <w:t xml:space="preserve">0.00151</w:t>
            </w:r>
          </w:p>
        </w:tc>
        <w:tc>
          <w:tcPr/>
          <w:p>
            <w:pPr>
              <w:pStyle w:val="Compact"/>
              <w:jc w:val="right"/>
            </w:pPr>
            <w:r>
              <w:t xml:space="preserve">0.835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0.00632</w:t>
            </w:r>
          </w:p>
        </w:tc>
      </w:tr>
    </w:tbl>
    <w:bookmarkEnd w:id="76"/>
    <w:bookmarkStart w:id="94" w:name="interpretation"/>
    <w:p>
      <w:pPr>
        <w:pStyle w:val="Heading3"/>
      </w:pPr>
      <w:r>
        <w:t xml:space="preserve">10.2.5 Interpretation</w:t>
      </w:r>
    </w:p>
    <w:p>
      <w:pPr>
        <w:pStyle w:val="FirstParagraph"/>
      </w:pPr>
      <w:r>
        <w:t xml:space="preserve">The simulation illustrates four intended uses of the staged</w:t>
      </w:r>
      <w:r>
        <w:t xml:space="preserve"> </w:t>
      </w:r>
      <w:r>
        <w:t xml:space="preserve">workflow: confirming acceptable finite-sample behaviour, detecting</w:t>
      </w:r>
      <w:r>
        <w:t xml:space="preserve"> </w:t>
      </w:r>
      <w:r>
        <w:t xml:space="preserve">instability under marginal overlap, stopping under a</w:t>
      </w:r>
      <w:r>
        <w:t xml:space="preserve"> </w:t>
      </w:r>
      <w:r>
        <w:t xml:space="preserve">prespecified data-generating process that encodes an identification</w:t>
      </w:r>
      <w:r>
        <w:t xml:space="preserve"> </w:t>
      </w:r>
      <w:r>
        <w:t xml:space="preserve">failure, and showing that flexible nuisance estimation recovers a</w:t>
      </w:r>
      <w:r>
        <w:t xml:space="preserve"> </w:t>
      </w:r>
      <w:r>
        <w:t xml:space="preserve">nonlinear, effect-modified surface that a main-effects GLM cannot.</w:t>
      </w:r>
    </w:p>
    <w:p>
      <w:pPr>
        <w:pStyle w:val="BodyText"/>
      </w:pPr>
      <w:r>
        <w:t xml:space="preserve">The workflow shows a specific thing here. A STOP decision is</w:t>
      </w:r>
      <w:r>
        <w:t xml:space="preserve"> </w:t>
      </w:r>
      <w:r>
        <w:rPr>
          <w:b/>
          <w:bCs/>
        </w:rPr>
        <w:t xml:space="preserve">a</w:t>
      </w:r>
      <w:r>
        <w:rPr>
          <w:b/>
          <w:bCs/>
        </w:rPr>
        <w:t xml:space="preserve"> </w:t>
      </w:r>
      <w:r>
        <w:rPr>
          <w:b/>
          <w:bCs/>
        </w:rPr>
        <w:t xml:space="preserve">failure of prespecified operating-characteristic thresholds under</w:t>
      </w:r>
      <w:r>
        <w:rPr>
          <w:b/>
          <w:bCs/>
        </w:rPr>
        <w:t xml:space="preserve"> </w:t>
      </w:r>
      <w:r>
        <w:rPr>
          <w:b/>
          <w:bCs/>
        </w:rPr>
        <w:t xml:space="preserve">the simulated DGP</w:t>
      </w:r>
      <w:r>
        <w:t xml:space="preserve">, not</w:t>
      </w:r>
      <w:r>
        <w:t xml:space="preserve"> </w:t>
      </w:r>
      <w:r>
        <w:rPr>
          <w:b/>
          <w:bCs/>
        </w:rPr>
        <w:t xml:space="preserve">detected real-data bias</w:t>
      </w:r>
      <w:r>
        <w:t xml:space="preserve">. The clarity of the STOP decision in</w:t>
      </w:r>
      <w:r>
        <w:t xml:space="preserve"> </w:t>
      </w:r>
      <w:r>
        <w:t xml:space="preserve">Scenario C depends on the analyst having anticipated the threat</w:t>
      </w:r>
      <w:r>
        <w:t xml:space="preserve"> </w:t>
      </w:r>
      <w:r>
        <w:t xml:space="preserve">(unmeasured confounding) and having encoded a corresponding latent</w:t>
      </w:r>
      <w:r>
        <w:t xml:space="preserve"> </w:t>
      </w:r>
      <m:oMath>
        <m:r>
          <m:t>U</m:t>
        </m:r>
      </m:oMath>
      <w:r>
        <w:t xml:space="preserve"> </w:t>
      </w:r>
      <w:r>
        <w:t xml:space="preserve">scenario in the locked DGP; the package does not infer the</w:t>
      </w:r>
      <w:r>
        <w:t xml:space="preserve"> </w:t>
      </w:r>
      <w:r>
        <w:t xml:space="preserve">threat from the realised data, and a STOP under a stress scenario</w:t>
      </w:r>
      <w:r>
        <w:t xml:space="preserve"> </w:t>
      </w:r>
      <w:r>
        <w:t xml:space="preserve">that the analyst chose to include is a different claim from</w:t>
      </w:r>
      <w:r>
        <w:t xml:space="preserve"> </w:t>
      </w:r>
      <w:r>
        <w:t xml:space="preserve">“this</w:t>
      </w:r>
      <w:r>
        <w:t xml:space="preserve"> </w:t>
      </w:r>
      <w:r>
        <w:t xml:space="preserve">study has unmeasured confounding”</w:t>
      </w:r>
      <w:r>
        <w:t xml:space="preserve">. The same distinction applies in</w:t>
      </w:r>
      <w:r>
        <w:t xml:space="preserve"> </w:t>
      </w:r>
      <w:r>
        <w:t xml:space="preserve">reverse: a GO decision does not imply that the realised data are</w:t>
      </w:r>
      <w:r>
        <w:t xml:space="preserve"> </w:t>
      </w:r>
      <w:r>
        <w:t xml:space="preserve">free of the threat, only that, under the prespecified DGP and the</w:t>
      </w:r>
      <w:r>
        <w:t xml:space="preserve"> </w:t>
      </w:r>
      <w:r>
        <w:t xml:space="preserve">locked thresholds, the candidate estimator does not fail.</w:t>
      </w:r>
      <w:r>
        <w:t xml:space="preserve"> </w:t>
      </w:r>
      <w:r>
        <w:t xml:space="preserve">The printed tables include the Monte Carlo standard error of the</w:t>
      </w:r>
      <w:r>
        <w:t xml:space="preserve"> </w:t>
      </w:r>
      <w:r>
        <w:t xml:space="preserve">coverage estimate so the reader can judge which differences exceed</w:t>
      </w:r>
      <w:r>
        <w:t xml:space="preserve"> </w:t>
      </w:r>
      <w:r>
        <w:t xml:space="preserve">Monte Carlo noise.</w:t>
      </w:r>
    </w:p>
    <w:p>
      <w:pPr>
        <w:pStyle w:val="BodyText"/>
      </w:pPr>
      <w:r>
        <w:t xml:space="preserve">The simulation locks its decision thresholds at</w:t>
      </w:r>
      <w:r>
        <w:t xml:space="preserve"> </w:t>
      </w:r>
      <w:r>
        <w:rPr>
          <w:rStyle w:val="VerbatimChar"/>
        </w:rPr>
        <w:t xml:space="preserve">max_abs_bias = 0.02</w:t>
      </w:r>
      <w:r>
        <w:t xml:space="preserve"> </w:t>
      </w:r>
      <w:r>
        <w:t xml:space="preserve">and</w:t>
      </w:r>
      <w:r>
        <w:t xml:space="preserve"> </w:t>
      </w:r>
      <w:r>
        <w:rPr>
          <w:rStyle w:val="VerbatimChar"/>
        </w:rPr>
        <w:t xml:space="preserve">min_coverage = 0.90</w:t>
      </w:r>
      <w:r>
        <w:t xml:space="preserve">, a deliberately looser</w:t>
      </w:r>
      <w:r>
        <w:t xml:space="preserve"> </w:t>
      </w:r>
      <w:r>
        <w:t xml:space="preserve">bias bound than the</w:t>
      </w:r>
      <w:r>
        <w:t xml:space="preserve"> </w:t>
      </w:r>
      <w:r>
        <w:rPr>
          <w:rStyle w:val="VerbatimChar"/>
        </w:rPr>
        <w:t xml:space="preserve">max_abs_bias = 0.01</w:t>
      </w:r>
      <w:r>
        <w:t xml:space="preserve"> </w:t>
      </w:r>
      <w:r>
        <w:t xml:space="preserve">package default used in the</w:t>
      </w:r>
      <w:r>
        <w:t xml:space="preserve"> </w:t>
      </w:r>
      <w:r>
        <w:t xml:space="preserve">case study. The wider band is chosen so that the illustrative</w:t>
      </w:r>
      <w:r>
        <w:t xml:space="preserve"> </w:t>
      </w:r>
      <w:r>
        <w:t xml:space="preserve">scenarios separate on a scale readable against the Monte Carlo noise at</w:t>
      </w:r>
      <w:r>
        <w:t xml:space="preserve"> </w:t>
      </w:r>
      <w:r>
        <w:t xml:space="preserve">the replicate count used here; an analyst would lock the tighter</w:t>
      </w:r>
      <w:r>
        <w:t xml:space="preserve"> </w:t>
      </w:r>
      <w:r>
        <w:t xml:space="preserve">default (or a study-specific value) in a real prespecification. All</w:t>
      </w:r>
      <w:r>
        <w:t xml:space="preserve"> </w:t>
      </w:r>
      <w:r>
        <w:t xml:space="preserve">figures and interpretations in this section use the 0.02 bound.</w:t>
      </w:r>
    </w:p>
    <w:p>
      <w:pPr>
        <w:pStyle w:val="BodyText"/>
      </w:pPr>
      <w:r>
        <w:t xml:space="preserve">Under good overlap (Scenario A) all adjusted estimators</w:t>
      </w:r>
      <w:r>
        <w:t xml:space="preserve"> </w:t>
      </w:r>
      <w:r>
        <w:t xml:space="preserve">recover the truth with bias well under the prespecified threshold</w:t>
      </w:r>
      <w:r>
        <w:t xml:space="preserve"> </w:t>
      </w:r>
      <w:r>
        <w:t xml:space="preserve">of 0.02 and with confidence intervals that cover at the nominal</w:t>
      </w:r>
      <w:r>
        <w:t xml:space="preserve"> </w:t>
      </w:r>
      <w:r>
        <w:t xml:space="preserve">rate. The crude estimator has substantial residual confounding and</w:t>
      </w:r>
      <w:r>
        <w:t xml:space="preserve"> </w:t>
      </w:r>
      <w:r>
        <w:t xml:space="preserve">its confidence intervals do not cover at 95%. This is the textbook</w:t>
      </w:r>
      <w:r>
        <w:t xml:space="preserve"> </w:t>
      </w:r>
      <w:r>
        <w:t xml:space="preserve">benchmark check.</w:t>
      </w:r>
    </w:p>
    <w:p>
      <w:pPr>
        <w:pStyle w:val="BodyText"/>
      </w:pPr>
      <w:r>
        <w:t xml:space="preserve">Under marginal overlap (Scenario B) the crude estimator</w:t>
      </w:r>
      <w:r>
        <w:t xml:space="preserve"> </w:t>
      </w:r>
      <w:r>
        <w:t xml:space="preserve">shifts further from the truth and IPTW shows wider CIs reflecting</w:t>
      </w:r>
      <w:r>
        <w:t xml:space="preserve"> </w:t>
      </w:r>
      <w:r>
        <w:t xml:space="preserve">the heavier weights, while TMLE and CV-TMLE hold bias small</w:t>
      </w:r>
      <w:r>
        <w:t xml:space="preserve"> </w:t>
      </w:r>
      <w:r>
        <w:t xml:space="preserve">relative to their empirical standard deviation (the residual bias</w:t>
      </w:r>
      <w:r>
        <w:t xml:space="preserve"> </w:t>
      </w:r>
      <w:r>
        <w:t xml:space="preserve">is statistically distinguishable from zero at the Monte Carlo</w:t>
      </w:r>
      <w:r>
        <w:t xml:space="preserve"> </w:t>
      </w:r>
      <w:r>
        <w:t xml:space="preserve">sample size used, but is an order of magnitude smaller than the</w:t>
      </w:r>
      <w:r>
        <w:t xml:space="preserve"> </w:t>
      </w:r>
      <w:r>
        <w:t xml:space="preserve">empirical SD). The plasmode-selected specification chooses</w:t>
      </w:r>
      <w:r>
        <w:t xml:space="preserve"> </w:t>
      </w:r>
      <w:r>
        <w:t xml:space="preserve">a higher truncation level than under Scenario A, so the candidate</w:t>
      </w:r>
      <w:r>
        <w:t xml:space="preserve"> </w:t>
      </w:r>
      <w:r>
        <w:t xml:space="preserve">selection adapts to the observed data structure.</w:t>
      </w:r>
    </w:p>
    <w:p>
      <w:pPr>
        <w:pStyle w:val="BodyText"/>
      </w:pPr>
      <w:r>
        <w:t xml:space="preserve">Under unmeasured confounding (Scenario C) every estimator is</w:t>
      </w:r>
      <w:r>
        <w:t xml:space="preserve"> </w:t>
      </w:r>
      <w:r>
        <w:t xml:space="preserve">biased in the same direction, because no method that adjusts only</w:t>
      </w:r>
      <w:r>
        <w:t xml:space="preserve"> </w:t>
      </w:r>
      <w:r>
        <w:t xml:space="preserve">on</w:t>
      </w:r>
      <w:r>
        <w:t xml:space="preserve"> </w:t>
      </w:r>
      <m:oMath>
        <m:r>
          <m:t>W</m:t>
        </m:r>
      </m:oMath>
      <w:r>
        <w:t xml:space="preserve"> </w:t>
      </w:r>
      <w:r>
        <w:t xml:space="preserve">can remove the contribution of</w:t>
      </w:r>
      <w:r>
        <w:t xml:space="preserve"> </w:t>
      </w:r>
      <m:oMath>
        <m:r>
          <m:t>U</m:t>
        </m:r>
      </m:oMath>
      <w:r>
        <w:t xml:space="preserve"> </w:t>
      </w:r>
      <w:r>
        <w:t xml:space="preserve">to the treatment-outcome</w:t>
      </w:r>
      <w:r>
        <w:t xml:space="preserve"> </w:t>
      </w:r>
      <w:r>
        <w:t xml:space="preserve">association. The bias is smallest for TMLE and largest for the</w:t>
      </w:r>
      <w:r>
        <w:t xml:space="preserve"> </w:t>
      </w:r>
      <w:r>
        <w:t xml:space="preserve">crude estimator, but the difference is one of degree, not of kind.</w:t>
      </w:r>
      <w:r>
        <w:t xml:space="preserve"> </w:t>
      </w:r>
      <w:r>
        <w:t xml:space="preserve">The pre-outcome decision returns STOP for Scenario C, and the</w:t>
      </w:r>
      <w:r>
        <w:t xml:space="preserve"> </w:t>
      </w:r>
      <w:r>
        <w:t xml:space="preserve">failure is unambiguous on both the baseline and the supplementary</w:t>
      </w:r>
      <w:r>
        <w:t xml:space="preserve"> </w:t>
      </w:r>
      <w:r>
        <w:t xml:space="preserve">metrics. The realised measured-covariate TMLE carries a mean bias of</w:t>
      </w:r>
      <w:r>
        <w:t xml:space="preserve"> </w:t>
      </w:r>
      <w:r>
        <w:t xml:space="preserve">about 0.037, roughly twice the prespecified 0.02</w:t>
      </w:r>
      <w:r>
        <w:t xml:space="preserve"> </w:t>
      </w:r>
      <w:r>
        <w:t xml:space="preserve">maximum, and its 95% CI coverage falls to about 0.42,</w:t>
      </w:r>
      <w:r>
        <w:t xml:space="preserve"> </w:t>
      </w:r>
      <w:r>
        <w:t xml:space="preserve">materially below the prespecified 0.90 floor. The unmeasured-confounding DQ row (estimated bias from the</w:t>
      </w:r>
      <w:r>
        <w:t xml:space="preserve"> </w:t>
      </w:r>
      <w:r>
        <w:t xml:space="preserve">U-shift scenario exceeds the prespecified maximum) breaches the</w:t>
      </w:r>
      <w:r>
        <w:t xml:space="preserve"> </w:t>
      </w:r>
      <w:r>
        <w:t xml:space="preserve">threshold as well, so the realised-bias oracle and the outcome-blind</w:t>
      </w:r>
      <w:r>
        <w:t xml:space="preserve"> </w:t>
      </w:r>
      <w:r>
        <w:t xml:space="preserve">screen agree that the analysis is fragile. This illustrates the</w:t>
      </w:r>
      <w:r>
        <w:t xml:space="preserve"> </w:t>
      </w:r>
      <w:r>
        <w:t xml:space="preserve">intended role of the DQ stress test as a quantitative supplement that</w:t>
      </w:r>
      <w:r>
        <w:t xml:space="preserve"> </w:t>
      </w:r>
      <w:r>
        <w:t xml:space="preserve">here corroborates, rather than rescues, the baseline plasmode metrics.</w:t>
      </w:r>
    </w:p>
    <w:p>
      <w:pPr>
        <w:pStyle w:val="BodyText"/>
      </w:pPr>
      <w:r>
        <w:t xml:space="preserve">Under the misspecified surface (Scenario D) the comparison is</w:t>
      </w:r>
      <w:r>
        <w:t xml:space="preserve"> </w:t>
      </w:r>
      <w:r>
        <w:t xml:space="preserve">between estimators built on a main-effects GLM and a cross-fitted</w:t>
      </w:r>
      <w:r>
        <w:t xml:space="preserve"> </w:t>
      </w:r>
      <w:r>
        <w:t xml:space="preserve">TMLE with a flexible library. The true risk difference is</w:t>
      </w:r>
      <w:r>
        <w:t xml:space="preserve"> </w:t>
      </w:r>
      <m:oMath>
        <m:r>
          <m:rPr>
            <m:sty m:val="p"/>
          </m:rPr>
          <m:t>−</m:t>
        </m:r>
        <m:r>
          <m:t>0.0797</m:t>
        </m:r>
      </m:oMath>
      <w:r>
        <w:t xml:space="preserve">. The crude estimator has bias</w:t>
      </w:r>
      <w:r>
        <w:t xml:space="preserve"> </w:t>
      </w:r>
      <m:oMath>
        <m:r>
          <m:rPr>
            <m:sty m:val="p"/>
          </m:rPr>
          <m:t>+</m:t>
        </m:r>
        <m:r>
          <m:t>0.120</m:t>
        </m:r>
      </m:oMath>
      <w:r>
        <w:t xml:space="preserve"> </w:t>
      </w:r>
      <w:r>
        <w:t xml:space="preserve">and coverage</w:t>
      </w:r>
      <w:r>
        <w:t xml:space="preserve"> </w:t>
      </w:r>
      <m:oMath>
        <m:r>
          <m:t>0.000</m:t>
        </m:r>
      </m:oMath>
      <w:r>
        <w:t xml:space="preserve">, so it carries the wrong sign entirely. IPTW removes most</w:t>
      </w:r>
      <w:r>
        <w:t xml:space="preserve"> </w:t>
      </w:r>
      <w:r>
        <w:t xml:space="preserve">of the confounding (bias</w:t>
      </w:r>
      <w:r>
        <w:t xml:space="preserve"> </w:t>
      </w:r>
      <m:oMath>
        <m:r>
          <m:rPr>
            <m:sty m:val="p"/>
          </m:rPr>
          <m:t>+</m:t>
        </m:r>
        <m:r>
          <m:t>0.044</m:t>
        </m:r>
      </m:oMath>
      <w:r>
        <w:t xml:space="preserve">) but coverage falls to</w:t>
      </w:r>
      <w:r>
        <w:t xml:space="preserve"> </w:t>
      </w:r>
      <m:oMath>
        <m:r>
          <m:t>0.540</m:t>
        </m:r>
      </m:oMath>
      <w:r>
        <w:t xml:space="preserve"> </w:t>
      </w:r>
      <w:r>
        <w:t xml:space="preserve">because the main-effects PS model does not capture the nonlinear</w:t>
      </w:r>
      <w:r>
        <w:t xml:space="preserve"> </w:t>
      </w:r>
      <w:r>
        <w:t xml:space="preserve">surface. The GLM-based TMLE is similarly limited (bias</w:t>
      </w:r>
      <w:r>
        <w:t xml:space="preserve"> </w:t>
      </w:r>
      <m:oMath>
        <m:r>
          <m:rPr>
            <m:sty m:val="p"/>
          </m:rPr>
          <m:t>+</m:t>
        </m:r>
        <m:r>
          <m:t>0.045</m:t>
        </m:r>
      </m:oMath>
      <w:r>
        <w:t xml:space="preserve">,</w:t>
      </w:r>
      <w:r>
        <w:t xml:space="preserve"> </w:t>
      </w:r>
      <w:r>
        <w:t xml:space="preserve">coverage</w:t>
      </w:r>
      <w:r>
        <w:t xml:space="preserve"> </w:t>
      </w:r>
      <m:oMath>
        <m:r>
          <m:t>0.505</m:t>
        </m:r>
      </m:oMath>
      <w:r>
        <w:t xml:space="preserve">). PS matching improves coverage to</w:t>
      </w:r>
      <w:r>
        <w:t xml:space="preserve"> </w:t>
      </w:r>
      <m:oMath>
        <m:r>
          <m:t>0.675</m:t>
        </m:r>
      </m:oMath>
      <w:r>
        <w:t xml:space="preserve"> </w:t>
      </w:r>
      <w:r>
        <w:t xml:space="preserve">through the caliper restriction but its bias remains near</w:t>
      </w:r>
      <w:r>
        <w:t xml:space="preserve"> </w:t>
      </w:r>
      <m:oMath>
        <m:r>
          <m:rPr>
            <m:sty m:val="p"/>
          </m:rPr>
          <m:t>+</m:t>
        </m:r>
        <m:r>
          <m:t>0.039</m:t>
        </m:r>
      </m:oMath>
      <w:r>
        <w:t xml:space="preserve">, and the</w:t>
      </w:r>
      <w:r>
        <w:t xml:space="preserve"> </w:t>
      </w:r>
      <w:r>
        <w:t xml:space="preserve">matched-cohort TMLE does a little better still (coverage</w:t>
      </w:r>
      <w:r>
        <w:t xml:space="preserve"> </w:t>
      </w:r>
      <m:oMath>
        <m:r>
          <m:t>0.835</m:t>
        </m:r>
      </m:oMath>
      <w:r>
        <w:t xml:space="preserve">, bias</w:t>
      </w:r>
      <w:r>
        <w:t xml:space="preserve"> </w:t>
      </w:r>
      <m:oMath>
        <m:r>
          <m:rPr>
            <m:sty m:val="p"/>
          </m:rPr>
          <m:t>+</m:t>
        </m:r>
        <m:r>
          <m:t>0.031</m:t>
        </m:r>
      </m:oMath>
      <w:r>
        <w:t xml:space="preserve">).</w:t>
      </w:r>
      <w:r>
        <w:t xml:space="preserve"> </w:t>
      </w:r>
      <w:r>
        <w:t xml:space="preserve">Only the cross-fitted TMLE with a generalised-additive-model-plus-interaction</w:t>
      </w:r>
      <w:r>
        <w:t xml:space="preserve"> </w:t>
      </w:r>
      <w:r>
        <w:t xml:space="preserve">library recovers the truth: bias</w:t>
      </w:r>
      <w:r>
        <w:t xml:space="preserve"> </w:t>
      </w:r>
      <m:oMath>
        <m:r>
          <m:rPr>
            <m:sty m:val="p"/>
          </m:rPr>
          <m:t>+</m:t>
        </m:r>
        <m:r>
          <m:t>0.007</m:t>
        </m:r>
      </m:oMath>
      <w:r>
        <w:t xml:space="preserve"> </w:t>
      </w:r>
      <w:r>
        <w:t xml:space="preserve">(about</w:t>
      </w:r>
      <w:r>
        <w:t xml:space="preserve"> </w:t>
      </w:r>
      <m:oMath>
        <m:r>
          <m:t>0.3</m:t>
        </m:r>
      </m:oMath>
      <w:r>
        <w:t xml:space="preserve"> </w:t>
      </w:r>
      <w:r>
        <w:t xml:space="preserve">of the</w:t>
      </w:r>
      <w:r>
        <w:t xml:space="preserve"> </w:t>
      </w:r>
      <w:r>
        <w:t xml:space="preserve">empirical SD) and coverage</w:t>
      </w:r>
      <w:r>
        <w:t xml:space="preserve"> </w:t>
      </w:r>
      <m:oMath>
        <m:r>
          <m:t>0.920</m:t>
        </m:r>
      </m:oMath>
      <w:r>
        <w:t xml:space="preserve">, indistinguishable from nominal</w:t>
      </w:r>
      <w:r>
        <w:t xml:space="preserve"> </w:t>
      </w:r>
      <w:r>
        <w:t xml:space="preserve">within Monte Carlo error.</w:t>
      </w:r>
      <w:r>
        <w:t xml:space="preserve"> </w:t>
      </w:r>
      <w:r>
        <w:t xml:space="preserve">This is the one scenario in which the flexibility of the nuisance</w:t>
      </w:r>
      <w:r>
        <w:t xml:space="preserve"> </w:t>
      </w:r>
      <w:r>
        <w:t xml:space="preserve">learner, rather than the staging or the data-quality screen, is</w:t>
      </w:r>
      <w:r>
        <w:t xml:space="preserve"> </w:t>
      </w:r>
      <w:r>
        <w:t xml:space="preserve">decisive. It answers the question a methods reviewer would press</w:t>
      </w:r>
      <w:r>
        <w:t xml:space="preserve"> </w:t>
      </w:r>
      <w:r>
        <w:t xml:space="preserve">hardest, namely whether targeted learning with an adaptive library</w:t>
      </w:r>
      <w:r>
        <w:t xml:space="preserve"> </w:t>
      </w:r>
      <w:r>
        <w:t xml:space="preserve">earns its place over a parametric adjustment on this class of</w:t>
      </w:r>
      <w:r>
        <w:t xml:space="preserve"> </w:t>
      </w:r>
      <w:r>
        <w:t xml:space="preserve">problems; under a correctly specified linear model (Scenarios A</w:t>
      </w:r>
      <w:r>
        <w:t xml:space="preserve"> </w:t>
      </w:r>
      <w:r>
        <w:t xml:space="preserve">to C) it does not need to, which is why that contrast requires a</w:t>
      </w:r>
      <w:r>
        <w:t xml:space="preserve"> </w:t>
      </w:r>
      <w:r>
        <w:t xml:space="preserve">separate, deliberately nonlinear design.</w:t>
      </w:r>
    </w:p>
    <w:p>
      <w:pPr>
        <w:pStyle w:val="BodyText"/>
      </w:pPr>
      <w:r>
        <w:t xml:space="preserve">A separate pattern concerns</w:t>
      </w:r>
      <w:r>
        <w:t xml:space="preserve"> </w:t>
      </w:r>
      <w:r>
        <w:rPr>
          <w:b/>
          <w:bCs/>
        </w:rPr>
        <w:t xml:space="preserve">variance-estimator selection</w:t>
      </w:r>
      <w:r>
        <w:t xml:space="preserve">, the</w:t>
      </w:r>
      <w:r>
        <w:t xml:space="preserve"> </w:t>
      </w:r>
      <w:r>
        <w:t xml:space="preserve">second stage of FIORD’s two-stage selector</w:t>
      </w:r>
      <w:r>
        <w:t xml:space="preserve"> </w:t>
      </w:r>
      <w:r>
        <w:t xml:space="preserve">(Nance et al. 2026)</w:t>
      </w:r>
      <w:r>
        <w:t xml:space="preserve">, which</w:t>
      </w:r>
      <w:r>
        <w:t xml:space="preserve"> </w:t>
      </w:r>
      <w:r>
        <w:t xml:space="preserve">interacts with the DGP in ways that the point-estimator comparison</w:t>
      </w:r>
      <w:r>
        <w:t xml:space="preserve"> </w:t>
      </w:r>
      <w:r>
        <w:t xml:space="preserve">does not reveal.</w:t>
      </w:r>
      <w:r>
        <w:t xml:space="preserve"> </w:t>
      </w:r>
      <w:hyperlink w:anchor="tbl-boot-variance">
        <w:r>
          <w:rPr>
            <w:rStyle w:val="Hyperlink"/>
          </w:rPr>
          <w:t xml:space="preserve">Table 5</w:t>
        </w:r>
      </w:hyperlink>
      <w:r>
        <w:t xml:space="preserve"> </w:t>
      </w:r>
      <w:r>
        <w:t xml:space="preserve">reports a targeted variance comparison for</w:t>
      </w:r>
      <w:r>
        <w:t xml:space="preserve"> </w:t>
      </w:r>
      <w:r>
        <w:t xml:space="preserve">IPTW, TMLE, cross-fitted TMLE, and Match_TMLE across three overlap tiers,</w:t>
      </w:r>
      <w:r>
        <w:t xml:space="preserve"> </w:t>
      </w:r>
      <w:r>
        <w:t xml:space="preserve">coded VG, G, and M to keep them distinct from the main simulation scenarios</w:t>
      </w:r>
      <w:r>
        <w:t xml:space="preserve"> </w:t>
      </w:r>
      <w:r>
        <w:t xml:space="preserve">A, B, and C described in</w:t>
      </w:r>
      <w:r>
        <w:t xml:space="preserve"> </w:t>
      </w:r>
      <w:hyperlink w:anchor="sec-simulation">
        <w:r>
          <w:rPr>
            <w:rStyle w:val="Hyperlink"/>
          </w:rPr>
          <w:t xml:space="preserve">Section 10</w:t>
        </w:r>
      </w:hyperlink>
      <w:r>
        <w:t xml:space="preserve">. Tier VG has minimal</w:t>
      </w:r>
      <w:r>
        <w:t xml:space="preserve"> </w:t>
      </w:r>
      <w:r>
        <w:t xml:space="preserve">PS spread (very good overlap); tier G has moderate PS spread (good</w:t>
      </w:r>
      <w:r>
        <w:t xml:space="preserve"> </w:t>
      </w:r>
      <w:r>
        <w:t xml:space="preserve">overlap); tier M has wide PS spread (marginal overlap). For each replicate</w:t>
      </w:r>
      <w:r>
        <w:t xml:space="preserve"> </w:t>
      </w:r>
      <w:r>
        <w:t xml:space="preserve">both the IF-based and nonparametric</w:t>
      </w:r>
      <w:r>
        <w:t xml:space="preserve"> </w:t>
      </w:r>
      <w:r>
        <w:t xml:space="preserve">bootstrap (B = 200 draws, GLM PS) SE are computed; the table reports mean</w:t>
      </w:r>
      <w:r>
        <w:t xml:space="preserve"> </w:t>
      </w:r>
      <w:r>
        <w:t xml:space="preserve">SE/SD ratios and 95% CI coverage under each method.</w:t>
      </w:r>
    </w:p>
    <w:p>
      <w:pPr>
        <w:pStyle w:val="BodyText"/>
      </w:pPr>
      <w:r>
        <w:t xml:space="preserve">Under very good overlap (tier VG), both IPTW and Match_TMLE are approximately</w:t>
      </w:r>
      <w:r>
        <w:t xml:space="preserve"> </w:t>
      </w:r>
      <w:r>
        <w:t xml:space="preserve">calibrated (0.95 IF-coverage for Match_TMLE, Monte Carlo</w:t>
      </w:r>
      <w:r>
        <w:t xml:space="preserve"> </w:t>
      </w:r>
      <w:r>
        <w:t xml:space="preserve">SE 0.02), and the bootstrap does not improve either.</w:t>
      </w:r>
      <w:r>
        <w:t xml:space="preserve"> </w:t>
      </w:r>
      <w:r>
        <w:t xml:space="preserve">When PS spread is minimal the matching-draw variance is smaller relative to the</w:t>
      </w:r>
      <w:r>
        <w:t xml:space="preserve"> </w:t>
      </w:r>
      <w:r>
        <w:t xml:space="preserve">outcome variance, so the IF-SE is adequate. This is the setting where oracle</w:t>
      </w:r>
      <w:r>
        <w:t xml:space="preserve"> </w:t>
      </w:r>
      <w:r>
        <w:t xml:space="preserve">selection would identify the two methods as equivalent.</w:t>
      </w:r>
    </w:p>
    <w:p>
      <w:pPr>
        <w:pStyle w:val="BodyText"/>
      </w:pPr>
      <w:r>
        <w:t xml:space="preserve">Under good overlap (tier G), IPTW achieves se_sd_ratio_if ≈</w:t>
      </w:r>
      <w:r>
        <w:t xml:space="preserve"> </w:t>
      </w:r>
      <w:r>
        <w:t xml:space="preserve">0.98, coverage_if =</w:t>
      </w:r>
      <w:r>
        <w:t xml:space="preserve"> </w:t>
      </w:r>
      <w:r>
        <w:t xml:space="preserve">0.94. Match_TMLE is anti-conservative: the IF-based</w:t>
      </w:r>
      <w:r>
        <w:t xml:space="preserve"> </w:t>
      </w:r>
      <w:r>
        <w:t xml:space="preserve">SE undercovers at 0.89 (Monte Carlo SE</w:t>
      </w:r>
      <w:r>
        <w:t xml:space="preserve"> </w:t>
      </w:r>
      <w:r>
        <w:t xml:space="preserve">0.03), so the 95% interval fails in roughly one</w:t>
      </w:r>
      <w:r>
        <w:t xml:space="preserve"> </w:t>
      </w:r>
      <w:r>
        <w:t xml:space="preserve">replicate in 9. The paired-difference SE</w:t>
      </w:r>
      <w:r>
        <w:t xml:space="preserve"> </w:t>
      </w:r>
      <w:r>
        <w:t xml:space="preserve">conditions on the fixed matched dataset and ignores the matching-draw</w:t>
      </w:r>
      <w:r>
        <w:t xml:space="preserve"> </w:t>
      </w:r>
      <w:r>
        <w:t xml:space="preserve">variance, the variability from which controls are selected when the data are</w:t>
      </w:r>
      <w:r>
        <w:t xml:space="preserve"> </w:t>
      </w:r>
      <w:r>
        <w:t xml:space="preserve">resampled. In this regime the full-pipeline bootstrap raises coverage to</w:t>
      </w:r>
      <w:r>
        <w:t xml:space="preserve"> </w:t>
      </w:r>
      <w:r>
        <w:t xml:space="preserve">0.95 (Monte Carlo SE 0.02).</w:t>
      </w:r>
      <w:r>
        <w:t xml:space="preserve"> </w:t>
      </w:r>
      <w:r>
        <w:t xml:space="preserve">This is the setting where</w:t>
      </w:r>
      <w:r>
        <w:t xml:space="preserve"> </w:t>
      </w:r>
      <w:r>
        <w:rPr>
          <w:rStyle w:val="VerbatimChar"/>
        </w:rPr>
        <w:t xml:space="preserve">select_variance_method()</w:t>
      </w:r>
      <w:r>
        <w:t xml:space="preserve"> </w:t>
      </w:r>
      <w:r>
        <w:t xml:space="preserve">oracle coverage selection</w:t>
      </w:r>
      <w:r>
        <w:t xml:space="preserve"> </w:t>
      </w:r>
      <w:r>
        <w:t xml:space="preserve">would favour the bootstrap over the IF-based SE.</w:t>
      </w:r>
    </w:p>
    <w:p>
      <w:pPr>
        <w:pStyle w:val="BodyText"/>
      </w:pPr>
      <w:r>
        <w:t xml:space="preserve">Under marginal overlap the pattern reverses for IPTW. The</w:t>
      </w:r>
      <w:r>
        <w:t xml:space="preserve"> </w:t>
      </w:r>
      <w:r>
        <w:t xml:space="preserve">IF-based variance treats the propensity score as known and not</w:t>
      </w:r>
      <w:r>
        <w:t xml:space="preserve"> </w:t>
      </w:r>
      <w:r>
        <w:t xml:space="preserve">estimated</w:t>
      </w:r>
      <w:r>
        <w:t xml:space="preserve"> </w:t>
      </w:r>
      <w:r>
        <w:t xml:space="preserve">(J. M. Robins and Rotnitzky 1992)</w:t>
      </w:r>
      <w:r>
        <w:t xml:space="preserve">, and the wider PS range amplifies this effect</w:t>
      </w:r>
      <w:r>
        <w:t xml:space="preserve"> </w:t>
      </w:r>
      <w:r>
        <w:t xml:space="preserve">(se_sd_ratio_if = 1.23, coverage_if =</w:t>
      </w:r>
      <w:r>
        <w:t xml:space="preserve"> </w:t>
      </w:r>
      <w:r>
        <w:t xml:space="preserve">0.98, Monte Carlo SE 0.01).</w:t>
      </w:r>
      <w:r>
        <w:t xml:space="preserve"> </w:t>
      </w:r>
      <w:r>
        <w:t xml:space="preserve">The bootstrap does not correct this conservatism, and both bootstrap and IF</w:t>
      </w:r>
      <w:r>
        <w:t xml:space="preserve"> </w:t>
      </w:r>
      <w:r>
        <w:t xml:space="preserve">coverage remain near 0.98. The reason is structural. PS-estimation</w:t>
      </w:r>
      <w:r>
        <w:t xml:space="preserve"> </w:t>
      </w:r>
      <w:r>
        <w:t xml:space="preserve">uncertainty that inflates the IF-SE is a property of the estimation</w:t>
      </w:r>
      <w:r>
        <w:t xml:space="preserve"> </w:t>
      </w:r>
      <w:r>
        <w:t xml:space="preserve">problem; estimated nuisance parameters introduce additional variability that</w:t>
      </w:r>
      <w:r>
        <w:t xml:space="preserve"> </w:t>
      </w:r>
      <w:r>
        <w:t xml:space="preserve">the IF does not capture when it treats the score as fixed. Correcting this</w:t>
      </w:r>
      <w:r>
        <w:t xml:space="preserve"> </w:t>
      </w:r>
      <w:r>
        <w:t xml:space="preserve">requires an M-estimator or sandwich variance that jointly accounts for PS</w:t>
      </w:r>
      <w:r>
        <w:t xml:space="preserve"> </w:t>
      </w:r>
      <w:r>
        <w:t xml:space="preserve">estimation and outcome weighting</w:t>
      </w:r>
      <w:r>
        <w:t xml:space="preserve"> </w:t>
      </w:r>
      <w:r>
        <w:t xml:space="preserve">(Stefanski and Boos 2002)</w:t>
      </w:r>
      <w:r>
        <w:t xml:space="preserve">, not resampling.</w:t>
      </w:r>
      <w:r>
        <w:t xml:space="preserve"> </w:t>
      </w:r>
      <w:r>
        <w:t xml:space="preserve">Match_TMLE, by contrast, is well-calibrated in this regime (se_sd_ratio_if =</w:t>
      </w:r>
      <w:r>
        <w:t xml:space="preserve"> </w:t>
      </w:r>
      <w:r>
        <w:t xml:space="preserve">1.04, coverage_if = 0.97).</w:t>
      </w:r>
      <w:r>
        <w:t xml:space="preserve"> </w:t>
      </w:r>
      <w:r>
        <w:t xml:space="preserve">A likely explanation is that the nearest-neighbour caliper self-selects a</w:t>
      </w:r>
      <w:r>
        <w:t xml:space="preserve"> </w:t>
      </w:r>
      <w:r>
        <w:t xml:space="preserve">sub-population with better effective overlap, where the i.i.d. assumption</w:t>
      </w:r>
      <w:r>
        <w:t xml:space="preserve"> </w:t>
      </w:r>
      <w:r>
        <w:t xml:space="preserve">underlying the IF-SE is approximately satisfied. For Match_TMLE under marginal</w:t>
      </w:r>
      <w:r>
        <w:t xml:space="preserve"> </w:t>
      </w:r>
      <w:r>
        <w:t xml:space="preserve">overlap and for IPTW in both regimes, the bootstrap provides no material</w:t>
      </w:r>
      <w:r>
        <w:t xml:space="preserve"> </w:t>
      </w:r>
      <w:r>
        <w:t xml:space="preserve">improvement.</w:t>
      </w:r>
    </w:p>
    <w:p>
      <w:pPr>
        <w:pStyle w:val="BodyText"/>
      </w:pPr>
      <w:r>
        <w:t xml:space="preserve">The two estimators most exposed under marginal overlap are plain TMLE and</w:t>
      </w:r>
      <w:r>
        <w:t xml:space="preserve"> </w:t>
      </w:r>
      <w:r>
        <w:t xml:space="preserve">the cross-fitted TMLE (TMLE_CF), both included because the main simulation</w:t>
      </w:r>
      <w:r>
        <w:t xml:space="preserve"> </w:t>
      </w:r>
      <w:r>
        <w:t xml:space="preserve">showed them anti-conservative in that regime. Under marginal overlap</w:t>
      </w:r>
      <w:r>
        <w:t xml:space="preserve"> </w:t>
      </w:r>
      <w:r>
        <w:t xml:space="preserve">(</w:t>
      </w:r>
      <m:oMath>
        <m:r>
          <m:t>N</m:t>
        </m:r>
        <m:r>
          <m:rPr>
            <m:sty m:val="p"/>
          </m:rPr>
          <m:t>=</m:t>
        </m:r>
        <m:r>
          <m:t>2000</m:t>
        </m:r>
      </m:oMath>
      <w:r>
        <w:t xml:space="preserve">,</w:t>
      </w:r>
      <w:r>
        <w:t xml:space="preserve"> </w:t>
      </w:r>
      <m:oMath>
        <m:r>
          <m:t>B</m:t>
        </m:r>
        <m:r>
          <m:rPr>
            <m:sty m:val="p"/>
          </m:rPr>
          <m:t>=</m:t>
        </m:r>
        <m:r>
          <m:t>200</m:t>
        </m:r>
      </m:oMath>
      <w:r>
        <w:t xml:space="preserve">,</w:t>
      </w:r>
      <w:r>
        <w:t xml:space="preserve"> </w:t>
      </w:r>
      <m:oMath>
        <m:r>
          <m:t>60</m:t>
        </m:r>
      </m:oMath>
      <w:r>
        <w:t xml:space="preserve"> </w:t>
      </w:r>
      <w:r>
        <w:t xml:space="preserve">Monte Carlo replicates), plain TMLE has an</w:t>
      </w:r>
      <w:r>
        <w:t xml:space="preserve"> </w:t>
      </w:r>
      <w:r>
        <w:t xml:space="preserve">influence-function SE/SD ratio of 0.894 and</w:t>
      </w:r>
      <w:r>
        <w:t xml:space="preserve"> </w:t>
      </w:r>
      <w:r>
        <w:t xml:space="preserve">IF-based coverage of 0.933 (Monte Carlo SE</w:t>
      </w:r>
      <w:r>
        <w:t xml:space="preserve"> </w:t>
      </w:r>
      <w:r>
        <w:t xml:space="preserve">0.032). The nonparametric full-pipeline bootstrap</w:t>
      </w:r>
      <w:r>
        <w:t xml:space="preserve"> </w:t>
      </w:r>
      <w:r>
        <w:rPr>
          <w:b/>
          <w:bCs/>
        </w:rPr>
        <w:t xml:space="preserve">does</w:t>
      </w:r>
      <w:r>
        <w:t xml:space="preserve"> </w:t>
      </w:r>
      <w:r>
        <w:t xml:space="preserve">repair this: bootstrap coverage rises to</w:t>
      </w:r>
      <w:r>
        <w:t xml:space="preserve"> </w:t>
      </w:r>
      <w:r>
        <w:t xml:space="preserve">0.95 (SE/SD ratio 0.911,</w:t>
      </w:r>
      <w:r>
        <w:t xml:space="preserve"> </w:t>
      </w:r>
      <w:r>
        <w:t xml:space="preserve">Monte Carlo SE 0.028), reaching the nominal</w:t>
      </w:r>
      <w:r>
        <w:t xml:space="preserve"> </w:t>
      </w:r>
      <m:oMath>
        <m:r>
          <m:t>0.95</m:t>
        </m:r>
      </m:oMath>
      <w:r>
        <w:t xml:space="preserve">. The reason the bootstrap succeeds for plain TMLE is that its</w:t>
      </w:r>
      <w:r>
        <w:t xml:space="preserve"> </w:t>
      </w:r>
      <w:r>
        <w:t xml:space="preserve">undercoverage reflects in-sample Q-model overfitting: when the outcome</w:t>
      </w:r>
      <w:r>
        <w:t xml:space="preserve"> </w:t>
      </w:r>
      <w:r>
        <w:t xml:space="preserve">model is re-fit on each bootstrap resample the overfitting shrinks, the</w:t>
      </w:r>
      <w:r>
        <w:t xml:space="preserve"> </w:t>
      </w:r>
      <w:r>
        <w:t xml:space="preserve">targeting step corrects less, and the resulting CI is wider. The</w:t>
      </w:r>
      <w:r>
        <w:t xml:space="preserve"> </w:t>
      </w:r>
      <w:r>
        <w:t xml:space="preserve">cross-fitted TMLE behaves differently: TMLE_CF has an IF-based SE/SD</w:t>
      </w:r>
      <w:r>
        <w:t xml:space="preserve"> </w:t>
      </w:r>
      <w:r>
        <w:t xml:space="preserve">ratio of 0.906 and coverage of</w:t>
      </w:r>
      <w:r>
        <w:t xml:space="preserve"> </w:t>
      </w:r>
      <w:r>
        <w:t xml:space="preserve">0.917 (Monte Carlo SE</w:t>
      </w:r>
      <w:r>
        <w:t xml:space="preserve"> </w:t>
      </w:r>
      <w:r>
        <w:t xml:space="preserve">0.036), and the bootstrap provides</w:t>
      </w:r>
      <w:r>
        <w:t xml:space="preserve"> </w:t>
      </w:r>
      <w:r>
        <w:rPr>
          <w:b/>
          <w:bCs/>
        </w:rPr>
        <w:t xml:space="preserve">no</w:t>
      </w:r>
      <w:r>
        <w:t xml:space="preserve"> </w:t>
      </w:r>
      <w:r>
        <w:t xml:space="preserve">improvement: bootstrap coverage stays at 0.917</w:t>
      </w:r>
      <w:r>
        <w:t xml:space="preserve"> </w:t>
      </w:r>
      <w:r>
        <w:t xml:space="preserve">(SE/SD ratio 0.909). Cross-fitting already</w:t>
      </w:r>
      <w:r>
        <w:t xml:space="preserve"> </w:t>
      </w:r>
      <w:r>
        <w:t xml:space="preserve">removes the in-sample overfitting bias, so the bootstrap has no residual</w:t>
      </w:r>
      <w:r>
        <w:t xml:space="preserve"> </w:t>
      </w:r>
      <w:r>
        <w:t xml:space="preserve">Q-overfitting to correct. The remaining undercoverage reflects the</w:t>
      </w:r>
      <w:r>
        <w:t xml:space="preserve"> </w:t>
      </w:r>
      <w:r>
        <w:t xml:space="preserve">influence-function’s finite-sample approximation near the positivity</w:t>
      </w:r>
      <w:r>
        <w:t xml:space="preserve"> </w:t>
      </w:r>
      <w:r>
        <w:t xml:space="preserve">boundary, which resampling cannot remedy. The practical implication is</w:t>
      </w:r>
      <w:r>
        <w:t xml:space="preserve"> </w:t>
      </w:r>
      <w:r>
        <w:t xml:space="preserve">asymmetric: under marginal overlap, replacing the IF-SE with a</w:t>
      </w:r>
      <w:r>
        <w:t xml:space="preserve"> </w:t>
      </w:r>
      <w:r>
        <w:t xml:space="preserve">full-pipeline bootstrap is worthwhile for plain TMLE but not for</w:t>
      </w:r>
      <w:r>
        <w:t xml:space="preserve"> </w:t>
      </w:r>
      <w:r>
        <w:t xml:space="preserve">TMLE_CF; the deeper remedy for TMLE_CF undercoverage is positivity</w:t>
      </w:r>
      <w:r>
        <w:t xml:space="preserve"> </w:t>
      </w:r>
      <w:r>
        <w:t xml:space="preserve">restriction or heavier truncation, not a different variance estimator.</w:t>
      </w:r>
    </w:p>
    <w:tbl>
      <w:tblPr>
        <w:tblStyle w:val="Table"/>
        <w:tblW w:type="pct" w:w="5000"/>
        <w:tblLayout w:type="fixed"/>
        <w:tblLook w:firstRow="0" w:lastRow="0" w:firstColumn="0" w:lastColumn="0" w:noHBand="0" w:noVBand="0" w:val="0000"/>
      </w:tblPr>
      <w:tblGrid>
        <w:gridCol w:w="7920"/>
      </w:tblGrid>
      <w:tr>
        <w:tc>
          <w:tcPr/>
          <w:bookmarkStart w:id="77" w:name="tbl-boot-variance"/>
          <w:p>
            <w:pPr>
              <w:jc w:val="center"/>
            </w:pPr>
            <w:pPr>
              <w:jc w:val="start"/>
              <w:spacing w:before="200"/>
              <w:pStyle w:val="ImageCaption"/>
            </w:pPr>
            <w:r>
              <w:t xml:space="preserve">Table 5: IF-based versus bootstrap variance for IPTW, TMLE, cross-fitted TMLE, and Match_TMLE across three overlap tiers (VG: very good, G: good, M: marginal), labelled with tier codes to avoid collision with the main scenarios A/B/C, B = 200 bootstrap draws. The IPTW and Match_TMLE rows rest on 100 Monte Carlo replicates; the TMLE and cross-fitted TMLE rows rest on 60 (see the n_reps column). se_sd_ratio is the mean SE divided by the empirical SD of the point estimate; values above 1 indicate conservative (overcovering) inference, values below 1 indicate anti-conservative (undercovering) inference. Coverage cells report the proportion with its binomial Monte Carlo standard error in parentheses; at 60 to 100 replicates this standard error is about 0.02 to 0.03, so coverage differences smaller than roughly 0.05 are compatible with no difference.</w:t>
            </w:r>
          </w:p>
          <w:tbl>
            <w:tblPr>
              <w:tblStyle w:val="Table"/>
              <w:tblW w:type="pct" w:w="5000"/>
              <w:tblLayout w:type="fixed"/>
              <w:tblLook w:firstRow="1" w:lastRow="0" w:firstColumn="0" w:lastColumn="0" w:noHBand="0" w:noVBand="0" w:val="0020"/>
            </w:tblPr>
            <w:tblGrid>
              <w:gridCol w:w="1708"/>
              <w:gridCol w:w="854"/>
              <w:gridCol w:w="543"/>
              <w:gridCol w:w="621"/>
              <w:gridCol w:w="854"/>
              <w:gridCol w:w="1087"/>
              <w:gridCol w:w="1009"/>
              <w:gridCol w:w="1242"/>
            </w:tblGrid>
            <w:tr>
              <w:trPr>
                <w:tblHeader w:val="on"/>
              </w:trPr>
              <w:tc>
                <w:tcPr/>
                <w:p>
                  <w:pPr>
                    <w:pStyle w:val="Compact"/>
                    <w:jc w:val="left"/>
                    <w:jc w:val="center"/>
                  </w:pPr>
                  <w:r>
                    <w:t xml:space="preserve">Regime</w:t>
                  </w:r>
                </w:p>
              </w:tc>
              <w:tc>
                <w:tcPr/>
                <w:p>
                  <w:pPr>
                    <w:pStyle w:val="Compact"/>
                    <w:jc w:val="left"/>
                    <w:jc w:val="center"/>
                  </w:pPr>
                  <w:r>
                    <w:t xml:space="preserve">Method</w:t>
                  </w:r>
                </w:p>
              </w:tc>
              <w:tc>
                <w:tcPr/>
                <w:p>
                  <w:pPr>
                    <w:pStyle w:val="Compact"/>
                    <w:jc w:val="right"/>
                    <w:jc w:val="center"/>
                  </w:pPr>
                  <w:r>
                    <w:t xml:space="preserve">n_reps</w:t>
                  </w:r>
                </w:p>
              </w:tc>
              <w:tc>
                <w:tcPr/>
                <w:p>
                  <w:pPr>
                    <w:pStyle w:val="Compact"/>
                    <w:jc w:val="right"/>
                    <w:jc w:val="center"/>
                  </w:pPr>
                  <w:r>
                    <w:t xml:space="preserve">Emp. SD</w:t>
                  </w:r>
                </w:p>
              </w:tc>
              <w:tc>
                <w:tcPr/>
                <w:p>
                  <w:pPr>
                    <w:pStyle w:val="Compact"/>
                    <w:jc w:val="right"/>
                    <w:jc w:val="center"/>
                  </w:pPr>
                  <w:r>
                    <w:t xml:space="preserve">SE/SD (IF)</w:t>
                  </w:r>
                </w:p>
              </w:tc>
              <w:tc>
                <w:tcPr/>
                <w:p>
                  <w:pPr>
                    <w:pStyle w:val="Compact"/>
                    <w:jc w:val="left"/>
                    <w:jc w:val="center"/>
                  </w:pPr>
                  <w:r>
                    <w:t xml:space="preserve">Coverage (IF)</w:t>
                  </w:r>
                </w:p>
              </w:tc>
              <w:tc>
                <w:tcPr/>
                <w:p>
                  <w:pPr>
                    <w:pStyle w:val="Compact"/>
                    <w:jc w:val="right"/>
                    <w:jc w:val="center"/>
                  </w:pPr>
                  <w:r>
                    <w:t xml:space="preserve">SE/SD (boot)</w:t>
                  </w:r>
                </w:p>
              </w:tc>
              <w:tc>
                <w:tcPr/>
                <w:p>
                  <w:pPr>
                    <w:pStyle w:val="Compact"/>
                    <w:jc w:val="left"/>
                    <w:jc w:val="center"/>
                  </w:pPr>
                  <w:r>
                    <w:t xml:space="preserve">Coverage (boot)</w:t>
                  </w:r>
                </w:p>
              </w:tc>
            </w:tr>
            <w:tr>
              <w:tc>
                <w:tcPr/>
                <w:p>
                  <w:pPr>
                    <w:pStyle w:val="Compact"/>
                    <w:jc w:val="left"/>
                    <w:jc w:val="center"/>
                  </w:pPr>
                  <w:r>
                    <w:t xml:space="preserve">VG: Very good overlap</w:t>
                  </w:r>
                </w:p>
              </w:tc>
              <w:tc>
                <w:tcPr/>
                <w:p>
                  <w:pPr>
                    <w:pStyle w:val="Compact"/>
                    <w:jc w:val="left"/>
                    <w:jc w:val="center"/>
                  </w:pPr>
                  <w:r>
                    <w:t xml:space="preserve">IPTW</w:t>
                  </w:r>
                </w:p>
              </w:tc>
              <w:tc>
                <w:tcPr/>
                <w:p>
                  <w:pPr>
                    <w:pStyle w:val="Compact"/>
                    <w:jc w:val="right"/>
                    <w:jc w:val="center"/>
                  </w:pPr>
                  <w:r>
                    <w:t xml:space="preserve">100</w:t>
                  </w:r>
                </w:p>
              </w:tc>
              <w:tc>
                <w:tcPr/>
                <w:p>
                  <w:pPr>
                    <w:pStyle w:val="Compact"/>
                    <w:jc w:val="right"/>
                    <w:jc w:val="center"/>
                  </w:pPr>
                  <w:r>
                    <w:t xml:space="preserve">0.0129</w:t>
                  </w:r>
                </w:p>
              </w:tc>
              <w:tc>
                <w:tcPr/>
                <w:p>
                  <w:pPr>
                    <w:pStyle w:val="Compact"/>
                    <w:jc w:val="right"/>
                    <w:jc w:val="center"/>
                  </w:pPr>
                  <w:r>
                    <w:t xml:space="preserve">1.051</w:t>
                  </w:r>
                </w:p>
              </w:tc>
              <w:tc>
                <w:tcPr/>
                <w:p>
                  <w:pPr>
                    <w:pStyle w:val="Compact"/>
                    <w:jc w:val="left"/>
                    <w:jc w:val="center"/>
                  </w:pPr>
                  <w:r>
                    <w:t xml:space="preserve">0.94 (0.02)</w:t>
                  </w:r>
                </w:p>
              </w:tc>
              <w:tc>
                <w:tcPr/>
                <w:p>
                  <w:pPr>
                    <w:pStyle w:val="Compact"/>
                    <w:jc w:val="right"/>
                    <w:jc w:val="center"/>
                  </w:pPr>
                  <w:r>
                    <w:t xml:space="preserve">1.038</w:t>
                  </w:r>
                </w:p>
              </w:tc>
              <w:tc>
                <w:tcPr/>
                <w:p>
                  <w:pPr>
                    <w:pStyle w:val="Compact"/>
                    <w:jc w:val="left"/>
                    <w:jc w:val="center"/>
                  </w:pPr>
                  <w:r>
                    <w:t xml:space="preserve">0.94 (0.02)</w:t>
                  </w:r>
                </w:p>
              </w:tc>
            </w:tr>
            <w:tr>
              <w:tc>
                <w:tcPr/>
                <w:p>
                  <w:pPr>
                    <w:pStyle w:val="Compact"/>
                    <w:jc w:val="left"/>
                    <w:jc w:val="center"/>
                  </w:pPr>
                  <w:r>
                    <w:t xml:space="preserve">VG: Very good overlap</w:t>
                  </w:r>
                </w:p>
              </w:tc>
              <w:tc>
                <w:tcPr/>
                <w:p>
                  <w:pPr>
                    <w:pStyle w:val="Compact"/>
                    <w:jc w:val="left"/>
                    <w:jc w:val="center"/>
                  </w:pPr>
                  <w:r>
                    <w:t xml:space="preserve">Match_TMLE</w:t>
                  </w:r>
                </w:p>
              </w:tc>
              <w:tc>
                <w:tcPr/>
                <w:p>
                  <w:pPr>
                    <w:pStyle w:val="Compact"/>
                    <w:jc w:val="right"/>
                    <w:jc w:val="center"/>
                  </w:pPr>
                  <w:r>
                    <w:t xml:space="preserve">100</w:t>
                  </w:r>
                </w:p>
              </w:tc>
              <w:tc>
                <w:tcPr/>
                <w:p>
                  <w:pPr>
                    <w:pStyle w:val="Compact"/>
                    <w:jc w:val="right"/>
                    <w:jc w:val="center"/>
                  </w:pPr>
                  <w:r>
                    <w:t xml:space="preserve">0.0146</w:t>
                  </w:r>
                </w:p>
              </w:tc>
              <w:tc>
                <w:tcPr/>
                <w:p>
                  <w:pPr>
                    <w:pStyle w:val="Compact"/>
                    <w:jc w:val="right"/>
                    <w:jc w:val="center"/>
                  </w:pPr>
                  <w:r>
                    <w:t xml:space="preserve">1.016</w:t>
                  </w:r>
                </w:p>
              </w:tc>
              <w:tc>
                <w:tcPr/>
                <w:p>
                  <w:pPr>
                    <w:pStyle w:val="Compact"/>
                    <w:jc w:val="left"/>
                    <w:jc w:val="center"/>
                  </w:pPr>
                  <w:r>
                    <w:t xml:space="preserve">0.95 (0.02)</w:t>
                  </w:r>
                </w:p>
              </w:tc>
              <w:tc>
                <w:tcPr/>
                <w:p>
                  <w:pPr>
                    <w:pStyle w:val="Compact"/>
                    <w:jc w:val="right"/>
                    <w:jc w:val="center"/>
                  </w:pPr>
                  <w:r>
                    <w:t xml:space="preserve">1.041</w:t>
                  </w:r>
                </w:p>
              </w:tc>
              <w:tc>
                <w:tcPr/>
                <w:p>
                  <w:pPr>
                    <w:pStyle w:val="Compact"/>
                    <w:jc w:val="left"/>
                    <w:jc w:val="center"/>
                  </w:pPr>
                  <w:r>
                    <w:t xml:space="preserve">0.95 (0.02)</w:t>
                  </w:r>
                </w:p>
              </w:tc>
            </w:tr>
            <w:tr>
              <w:tc>
                <w:tcPr/>
                <w:p>
                  <w:pPr>
                    <w:pStyle w:val="Compact"/>
                    <w:jc w:val="left"/>
                    <w:jc w:val="center"/>
                  </w:pPr>
                  <w:r>
                    <w:t xml:space="preserve">G: Good overlap</w:t>
                  </w:r>
                </w:p>
              </w:tc>
              <w:tc>
                <w:tcPr/>
                <w:p>
                  <w:pPr>
                    <w:pStyle w:val="Compact"/>
                    <w:jc w:val="left"/>
                    <w:jc w:val="center"/>
                  </w:pPr>
                  <w:r>
                    <w:t xml:space="preserve">IPTW</w:t>
                  </w:r>
                </w:p>
              </w:tc>
              <w:tc>
                <w:tcPr/>
                <w:p>
                  <w:pPr>
                    <w:pStyle w:val="Compact"/>
                    <w:jc w:val="right"/>
                    <w:jc w:val="center"/>
                  </w:pPr>
                  <w:r>
                    <w:t xml:space="preserve">100</w:t>
                  </w:r>
                </w:p>
              </w:tc>
              <w:tc>
                <w:tcPr/>
                <w:p>
                  <w:pPr>
                    <w:pStyle w:val="Compact"/>
                    <w:jc w:val="right"/>
                    <w:jc w:val="center"/>
                  </w:pPr>
                  <w:r>
                    <w:t xml:space="preserve">0.0141</w:t>
                  </w:r>
                </w:p>
              </w:tc>
              <w:tc>
                <w:tcPr/>
                <w:p>
                  <w:pPr>
                    <w:pStyle w:val="Compact"/>
                    <w:jc w:val="right"/>
                    <w:jc w:val="center"/>
                  </w:pPr>
                  <w:r>
                    <w:t xml:space="preserve">0.979</w:t>
                  </w:r>
                </w:p>
              </w:tc>
              <w:tc>
                <w:tcPr/>
                <w:p>
                  <w:pPr>
                    <w:pStyle w:val="Compact"/>
                    <w:jc w:val="left"/>
                    <w:jc w:val="center"/>
                  </w:pPr>
                  <w:r>
                    <w:t xml:space="preserve">0.94 (0.02)</w:t>
                  </w:r>
                </w:p>
              </w:tc>
              <w:tc>
                <w:tcPr/>
                <w:p>
                  <w:pPr>
                    <w:pStyle w:val="Compact"/>
                    <w:jc w:val="right"/>
                    <w:jc w:val="center"/>
                  </w:pPr>
                  <w:r>
                    <w:t xml:space="preserve">0.972</w:t>
                  </w:r>
                </w:p>
              </w:tc>
              <w:tc>
                <w:tcPr/>
                <w:p>
                  <w:pPr>
                    <w:pStyle w:val="Compact"/>
                    <w:jc w:val="left"/>
                    <w:jc w:val="center"/>
                  </w:pPr>
                  <w:r>
                    <w:t xml:space="preserve">0.93 (0.03)</w:t>
                  </w:r>
                </w:p>
              </w:tc>
            </w:tr>
            <w:tr>
              <w:tc>
                <w:tcPr/>
                <w:p>
                  <w:pPr>
                    <w:pStyle w:val="Compact"/>
                    <w:jc w:val="left"/>
                    <w:jc w:val="center"/>
                  </w:pPr>
                  <w:r>
                    <w:t xml:space="preserve">G: Good overlap</w:t>
                  </w:r>
                </w:p>
              </w:tc>
              <w:tc>
                <w:tcPr/>
                <w:p>
                  <w:pPr>
                    <w:pStyle w:val="Compact"/>
                    <w:jc w:val="left"/>
                    <w:jc w:val="center"/>
                  </w:pPr>
                  <w:r>
                    <w:t xml:space="preserve">Match_TMLE</w:t>
                  </w:r>
                </w:p>
              </w:tc>
              <w:tc>
                <w:tcPr/>
                <w:p>
                  <w:pPr>
                    <w:pStyle w:val="Compact"/>
                    <w:jc w:val="right"/>
                    <w:jc w:val="center"/>
                  </w:pPr>
                  <w:r>
                    <w:t xml:space="preserve">100</w:t>
                  </w:r>
                </w:p>
              </w:tc>
              <w:tc>
                <w:tcPr/>
                <w:p>
                  <w:pPr>
                    <w:pStyle w:val="Compact"/>
                    <w:jc w:val="right"/>
                    <w:jc w:val="center"/>
                  </w:pPr>
                  <w:r>
                    <w:t xml:space="preserve">0.0159</w:t>
                  </w:r>
                </w:p>
              </w:tc>
              <w:tc>
                <w:tcPr/>
                <w:p>
                  <w:pPr>
                    <w:pStyle w:val="Compact"/>
                    <w:jc w:val="right"/>
                    <w:jc w:val="center"/>
                  </w:pPr>
                  <w:r>
                    <w:t xml:space="preserve">0.931</w:t>
                  </w:r>
                </w:p>
              </w:tc>
              <w:tc>
                <w:tcPr/>
                <w:p>
                  <w:pPr>
                    <w:pStyle w:val="Compact"/>
                    <w:jc w:val="left"/>
                    <w:jc w:val="center"/>
                  </w:pPr>
                  <w:r>
                    <w:t xml:space="preserve">0.89 (0.03)</w:t>
                  </w:r>
                </w:p>
              </w:tc>
              <w:tc>
                <w:tcPr/>
                <w:p>
                  <w:pPr>
                    <w:pStyle w:val="Compact"/>
                    <w:jc w:val="right"/>
                    <w:jc w:val="center"/>
                  </w:pPr>
                  <w:r>
                    <w:t xml:space="preserve">0.946</w:t>
                  </w:r>
                </w:p>
              </w:tc>
              <w:tc>
                <w:tcPr/>
                <w:p>
                  <w:pPr>
                    <w:pStyle w:val="Compact"/>
                    <w:jc w:val="left"/>
                    <w:jc w:val="center"/>
                  </w:pPr>
                  <w:r>
                    <w:t xml:space="preserve">0.95 (0.02)</w:t>
                  </w:r>
                </w:p>
              </w:tc>
            </w:tr>
            <w:tr>
              <w:tc>
                <w:tcPr/>
                <w:p>
                  <w:pPr>
                    <w:pStyle w:val="Compact"/>
                    <w:jc w:val="left"/>
                    <w:jc w:val="center"/>
                  </w:pPr>
                  <w:r>
                    <w:t xml:space="preserve">M: Marginal overlap</w:t>
                  </w:r>
                </w:p>
              </w:tc>
              <w:tc>
                <w:tcPr/>
                <w:p>
                  <w:pPr>
                    <w:pStyle w:val="Compact"/>
                    <w:jc w:val="left"/>
                    <w:jc w:val="center"/>
                  </w:pPr>
                  <w:r>
                    <w:t xml:space="preserve">IPTW</w:t>
                  </w:r>
                </w:p>
              </w:tc>
              <w:tc>
                <w:tcPr/>
                <w:p>
                  <w:pPr>
                    <w:pStyle w:val="Compact"/>
                    <w:jc w:val="right"/>
                    <w:jc w:val="center"/>
                  </w:pPr>
                  <w:r>
                    <w:t xml:space="preserve">100</w:t>
                  </w:r>
                </w:p>
              </w:tc>
              <w:tc>
                <w:tcPr/>
                <w:p>
                  <w:pPr>
                    <w:pStyle w:val="Compact"/>
                    <w:jc w:val="right"/>
                    <w:jc w:val="center"/>
                  </w:pPr>
                  <w:r>
                    <w:t xml:space="preserve">0.0149</w:t>
                  </w:r>
                </w:p>
              </w:tc>
              <w:tc>
                <w:tcPr/>
                <w:p>
                  <w:pPr>
                    <w:pStyle w:val="Compact"/>
                    <w:jc w:val="right"/>
                    <w:jc w:val="center"/>
                  </w:pPr>
                  <w:r>
                    <w:t xml:space="preserve">1.229</w:t>
                  </w:r>
                </w:p>
              </w:tc>
              <w:tc>
                <w:tcPr/>
                <w:p>
                  <w:pPr>
                    <w:pStyle w:val="Compact"/>
                    <w:jc w:val="left"/>
                    <w:jc w:val="center"/>
                  </w:pPr>
                  <w:r>
                    <w:t xml:space="preserve">0.98 (0.01)</w:t>
                  </w:r>
                </w:p>
              </w:tc>
              <w:tc>
                <w:tcPr/>
                <w:p>
                  <w:pPr>
                    <w:pStyle w:val="Compact"/>
                    <w:jc w:val="right"/>
                    <w:jc w:val="center"/>
                  </w:pPr>
                  <w:r>
                    <w:t xml:space="preserve">1.220</w:t>
                  </w:r>
                </w:p>
              </w:tc>
              <w:tc>
                <w:tcPr/>
                <w:p>
                  <w:pPr>
                    <w:pStyle w:val="Compact"/>
                    <w:jc w:val="left"/>
                    <w:jc w:val="center"/>
                  </w:pPr>
                  <w:r>
                    <w:t xml:space="preserve">0.99 (0.01)</w:t>
                  </w:r>
                </w:p>
              </w:tc>
            </w:tr>
            <w:tr>
              <w:tc>
                <w:tcPr/>
                <w:p>
                  <w:pPr>
                    <w:pStyle w:val="Compact"/>
                    <w:jc w:val="left"/>
                    <w:jc w:val="center"/>
                  </w:pPr>
                  <w:r>
                    <w:t xml:space="preserve">M: Marginal overlap</w:t>
                  </w:r>
                </w:p>
              </w:tc>
              <w:tc>
                <w:tcPr/>
                <w:p>
                  <w:pPr>
                    <w:pStyle w:val="Compact"/>
                    <w:jc w:val="left"/>
                    <w:jc w:val="center"/>
                  </w:pPr>
                  <w:r>
                    <w:t xml:space="preserve">Match_TMLE</w:t>
                  </w:r>
                </w:p>
              </w:tc>
              <w:tc>
                <w:tcPr/>
                <w:p>
                  <w:pPr>
                    <w:pStyle w:val="Compact"/>
                    <w:jc w:val="right"/>
                    <w:jc w:val="center"/>
                  </w:pPr>
                  <w:r>
                    <w:t xml:space="preserve">100</w:t>
                  </w:r>
                </w:p>
              </w:tc>
              <w:tc>
                <w:tcPr/>
                <w:p>
                  <w:pPr>
                    <w:pStyle w:val="Compact"/>
                    <w:jc w:val="right"/>
                    <w:jc w:val="center"/>
                  </w:pPr>
                  <w:r>
                    <w:t xml:space="preserve">0.0165</w:t>
                  </w:r>
                </w:p>
              </w:tc>
              <w:tc>
                <w:tcPr/>
                <w:p>
                  <w:pPr>
                    <w:pStyle w:val="Compact"/>
                    <w:jc w:val="right"/>
                    <w:jc w:val="center"/>
                  </w:pPr>
                  <w:r>
                    <w:t xml:space="preserve">1.041</w:t>
                  </w:r>
                </w:p>
              </w:tc>
              <w:tc>
                <w:tcPr/>
                <w:p>
                  <w:pPr>
                    <w:pStyle w:val="Compact"/>
                    <w:jc w:val="left"/>
                    <w:jc w:val="center"/>
                  </w:pPr>
                  <w:r>
                    <w:t xml:space="preserve">0.97 (0.02)</w:t>
                  </w:r>
                </w:p>
              </w:tc>
              <w:tc>
                <w:tcPr/>
                <w:p>
                  <w:pPr>
                    <w:pStyle w:val="Compact"/>
                    <w:jc w:val="right"/>
                    <w:jc w:val="center"/>
                  </w:pPr>
                  <w:r>
                    <w:t xml:space="preserve">1.053</w:t>
                  </w:r>
                </w:p>
              </w:tc>
              <w:tc>
                <w:tcPr/>
                <w:p>
                  <w:pPr>
                    <w:pStyle w:val="Compact"/>
                    <w:jc w:val="left"/>
                    <w:jc w:val="center"/>
                  </w:pPr>
                  <w:r>
                    <w:t xml:space="preserve">0.99 (0.01)</w:t>
                  </w:r>
                </w:p>
              </w:tc>
            </w:tr>
            <w:tr>
              <w:tc>
                <w:tcPr/>
                <w:p>
                  <w:pPr>
                    <w:pStyle w:val="Compact"/>
                    <w:jc w:val="left"/>
                    <w:jc w:val="center"/>
                  </w:pPr>
                  <w:r>
                    <w:t xml:space="preserve">M: Marginal overlap</w:t>
                  </w:r>
                </w:p>
              </w:tc>
              <w:tc>
                <w:tcPr/>
                <w:p>
                  <w:pPr>
                    <w:pStyle w:val="Compact"/>
                    <w:jc w:val="left"/>
                    <w:jc w:val="center"/>
                  </w:pPr>
                  <w:r>
                    <w:t xml:space="preserve">TMLE</w:t>
                  </w:r>
                </w:p>
              </w:tc>
              <w:tc>
                <w:tcPr/>
                <w:p>
                  <w:pPr>
                    <w:pStyle w:val="Compact"/>
                    <w:jc w:val="right"/>
                    <w:jc w:val="center"/>
                  </w:pPr>
                  <w:r>
                    <w:t xml:space="preserve">60</w:t>
                  </w:r>
                </w:p>
              </w:tc>
              <w:tc>
                <w:tcPr/>
                <w:p>
                  <w:pPr>
                    <w:pStyle w:val="Compact"/>
                    <w:jc w:val="right"/>
                    <w:jc w:val="center"/>
                  </w:pPr>
                  <w:r>
                    <w:t xml:space="preserve">0.0204</w:t>
                  </w:r>
                </w:p>
              </w:tc>
              <w:tc>
                <w:tcPr/>
                <w:p>
                  <w:pPr>
                    <w:pStyle w:val="Compact"/>
                    <w:jc w:val="right"/>
                    <w:jc w:val="center"/>
                  </w:pPr>
                  <w:r>
                    <w:t xml:space="preserve">0.894</w:t>
                  </w:r>
                </w:p>
              </w:tc>
              <w:tc>
                <w:tcPr/>
                <w:p>
                  <w:pPr>
                    <w:pStyle w:val="Compact"/>
                    <w:jc w:val="left"/>
                    <w:jc w:val="center"/>
                  </w:pPr>
                  <w:r>
                    <w:t xml:space="preserve">0.93 (0.03)</w:t>
                  </w:r>
                </w:p>
              </w:tc>
              <w:tc>
                <w:tcPr/>
                <w:p>
                  <w:pPr>
                    <w:pStyle w:val="Compact"/>
                    <w:jc w:val="right"/>
                    <w:jc w:val="center"/>
                  </w:pPr>
                  <w:r>
                    <w:t xml:space="preserve">0.911</w:t>
                  </w:r>
                </w:p>
              </w:tc>
              <w:tc>
                <w:tcPr/>
                <w:p>
                  <w:pPr>
                    <w:pStyle w:val="Compact"/>
                    <w:jc w:val="left"/>
                    <w:jc w:val="center"/>
                  </w:pPr>
                  <w:r>
                    <w:t xml:space="preserve">0.95 (0.03)</w:t>
                  </w:r>
                </w:p>
              </w:tc>
            </w:tr>
            <w:tr>
              <w:tc>
                <w:tcPr/>
                <w:p>
                  <w:pPr>
                    <w:pStyle w:val="Compact"/>
                    <w:jc w:val="left"/>
                    <w:jc w:val="center"/>
                  </w:pPr>
                  <w:r>
                    <w:t xml:space="preserve">M: Marginal overlap</w:t>
                  </w:r>
                </w:p>
              </w:tc>
              <w:tc>
                <w:tcPr/>
                <w:p>
                  <w:pPr>
                    <w:pStyle w:val="Compact"/>
                    <w:jc w:val="left"/>
                    <w:jc w:val="center"/>
                  </w:pPr>
                  <w:r>
                    <w:t xml:space="preserve">TMLE_CF</w:t>
                  </w:r>
                </w:p>
              </w:tc>
              <w:tc>
                <w:tcPr/>
                <w:p>
                  <w:pPr>
                    <w:pStyle w:val="Compact"/>
                    <w:jc w:val="right"/>
                    <w:jc w:val="center"/>
                  </w:pPr>
                  <w:r>
                    <w:t xml:space="preserve">60</w:t>
                  </w:r>
                </w:p>
              </w:tc>
              <w:tc>
                <w:tcPr/>
                <w:p>
                  <w:pPr>
                    <w:pStyle w:val="Compact"/>
                    <w:jc w:val="right"/>
                    <w:jc w:val="center"/>
                  </w:pPr>
                  <w:r>
                    <w:t xml:space="preserve">0.0210</w:t>
                  </w:r>
                </w:p>
              </w:tc>
              <w:tc>
                <w:tcPr/>
                <w:p>
                  <w:pPr>
                    <w:pStyle w:val="Compact"/>
                    <w:jc w:val="right"/>
                    <w:jc w:val="center"/>
                  </w:pPr>
                  <w:r>
                    <w:t xml:space="preserve">0.906</w:t>
                  </w:r>
                </w:p>
              </w:tc>
              <w:tc>
                <w:tcPr/>
                <w:p>
                  <w:pPr>
                    <w:pStyle w:val="Compact"/>
                    <w:jc w:val="left"/>
                    <w:jc w:val="center"/>
                  </w:pPr>
                  <w:r>
                    <w:t xml:space="preserve">0.92 (0.04)</w:t>
                  </w:r>
                </w:p>
              </w:tc>
              <w:tc>
                <w:tcPr/>
                <w:p>
                  <w:pPr>
                    <w:pStyle w:val="Compact"/>
                    <w:jc w:val="right"/>
                    <w:jc w:val="center"/>
                  </w:pPr>
                  <w:r>
                    <w:t xml:space="preserve">0.909</w:t>
                  </w:r>
                </w:p>
              </w:tc>
              <w:tc>
                <w:tcPr/>
                <w:p>
                  <w:pPr>
                    <w:pStyle w:val="Compact"/>
                    <w:jc w:val="left"/>
                    <w:jc w:val="center"/>
                  </w:pPr>
                  <w:r>
                    <w:t xml:space="preserve">0.92 (0.04)</w:t>
                  </w:r>
                </w:p>
              </w:tc>
            </w:tr>
          </w:tbl>
          <w:bookmarkEnd w:id="77"/>
          <w:p/>
        </w:tc>
      </w:tr>
    </w:tbl>
    <w:p>
      <w:pPr>
        <w:pStyle w:val="BodyText"/>
      </w:pPr>
      <w:r>
        <w:t xml:space="preserve">The key practical implication is estimator- and scenario-specific.</w:t>
      </w:r>
      <w:r>
        <w:t xml:space="preserve"> </w:t>
      </w:r>
      <w:r>
        <w:t xml:space="preserve">Abadie and Imbens (2008)</w:t>
      </w:r>
      <w:r>
        <w:t xml:space="preserve"> </w:t>
      </w:r>
      <w:r>
        <w:t xml:space="preserve">establish a negative result for matching estimators: the</w:t>
      </w:r>
      <w:r>
        <w:t xml:space="preserve"> </w:t>
      </w:r>
      <w:r>
        <w:t xml:space="preserve">standard nonparametric bootstrap does not consistently estimate the variance</w:t>
      </w:r>
      <w:r>
        <w:t xml:space="preserve"> </w:t>
      </w:r>
      <w:r>
        <w:t xml:space="preserve">of a nearest-neighbour matching estimator with a fixed number of matches. The</w:t>
      </w:r>
      <w:r>
        <w:t xml:space="preserve"> </w:t>
      </w:r>
      <w:r>
        <w:t xml:space="preserve">procedure used here re-runs the full matching pipeline on each resample, which</w:t>
      </w:r>
      <w:r>
        <w:t xml:space="preserve"> </w:t>
      </w:r>
      <w:r>
        <w:t xml:space="preserve">differs from the fixed-match estimator they analyse, so we report its</w:t>
      </w:r>
      <w:r>
        <w:t xml:space="preserve"> </w:t>
      </w:r>
      <w:r>
        <w:t xml:space="preserve">behaviour as an empirical finding and do not claim it inherits a consistency</w:t>
      </w:r>
      <w:r>
        <w:t xml:space="preserve"> </w:t>
      </w:r>
      <w:r>
        <w:t xml:space="preserve">guarantee. The oracle coverage evidence under good overlap, where the</w:t>
      </w:r>
      <w:r>
        <w:t xml:space="preserve"> </w:t>
      </w:r>
      <w:r>
        <w:t xml:space="preserve">re-matching bootstrap raises Match_TMLE coverage from</w:t>
      </w:r>
      <w:r>
        <w:t xml:space="preserve"> </w:t>
      </w:r>
      <w:r>
        <w:t xml:space="preserve">0.89 to 0.95, supports using it in</w:t>
      </w:r>
      <w:r>
        <w:t xml:space="preserve"> </w:t>
      </w:r>
      <w:r>
        <w:t xml:space="preserve">that setting, and</w:t>
      </w:r>
      <w:r>
        <w:t xml:space="preserve"> </w:t>
      </w:r>
      <w:r>
        <w:rPr>
          <w:rStyle w:val="VerbatimChar"/>
        </w:rPr>
        <w:t xml:space="preserve">bootstrap_rd_variance()</w:t>
      </w:r>
      <w:r>
        <w:t xml:space="preserve"> </w:t>
      </w:r>
      <w:r>
        <w:t xml:space="preserve">with</w:t>
      </w:r>
      <w:r>
        <w:t xml:space="preserve"> </w:t>
      </w:r>
      <w:r>
        <w:rPr>
          <w:rStyle w:val="VerbatimChar"/>
        </w:rPr>
        <w:t xml:space="preserve">estimator = "match_tmle"</w:t>
      </w:r>
      <w:r>
        <w:t xml:space="preserve"> </w:t>
      </w:r>
      <w:r>
        <w:t xml:space="preserve">implements it. These coverage estimates rest on 100 replicates, so they carry</w:t>
      </w:r>
      <w:r>
        <w:t xml:space="preserve"> </w:t>
      </w:r>
      <w:r>
        <w:t xml:space="preserve">Monte Carlo standard errors near 0.02 to 0.03, and a higher-replication</w:t>
      </w:r>
      <w:r>
        <w:t xml:space="preserve"> </w:t>
      </w:r>
      <w:r>
        <w:t xml:space="preserve">confirmation is a useful follow-up. Under marginal overlap, where the caliper</w:t>
      </w:r>
      <w:r>
        <w:t xml:space="preserve"> </w:t>
      </w:r>
      <w:r>
        <w:t xml:space="preserve">restricts the matched cohort to a well-overlapped sub-population, the</w:t>
      </w:r>
      <w:r>
        <w:t xml:space="preserve"> </w:t>
      </w:r>
      <w:r>
        <w:t xml:space="preserve">matching-draw variance is less severe and the IF-SE is approximately</w:t>
      </w:r>
      <w:r>
        <w:t xml:space="preserve"> </w:t>
      </w:r>
      <w:r>
        <w:t xml:space="preserve">calibrated, so oracle selection would identify the two methods as equivalent</w:t>
      </w:r>
      <w:r>
        <w:t xml:space="preserve"> </w:t>
      </w:r>
      <w:r>
        <w:t xml:space="preserve">there. For IPTW, neither variance method removes the conservatism from treating</w:t>
      </w:r>
      <w:r>
        <w:t xml:space="preserve"> </w:t>
      </w:r>
      <w:r>
        <w:t xml:space="preserve">the propensity score as known; analysts who require exact IPTW variance</w:t>
      </w:r>
      <w:r>
        <w:t xml:space="preserve"> </w:t>
      </w:r>
      <w:r>
        <w:t xml:space="preserve">calibration should consider an M-estimator that jointly models PS estimation</w:t>
      </w:r>
      <w:r>
        <w:t xml:space="preserve"> </w:t>
      </w:r>
      <w:r>
        <w:t xml:space="preserve">and outcome weighting.</w:t>
      </w:r>
      <w:r>
        <w:t xml:space="preserve"> </w:t>
      </w:r>
      <w:r>
        <w:rPr>
          <w:rStyle w:val="VerbatimChar"/>
        </w:rPr>
        <w:t xml:space="preserve">select_variance_method()</w:t>
      </w:r>
      <w:r>
        <w:t xml:space="preserve"> </w:t>
      </w:r>
      <w:r>
        <w:t xml:space="preserve">addresses this by using</w:t>
      </w:r>
      <w:r>
        <w:t xml:space="preserve"> </w:t>
      </w:r>
      <w:r>
        <w:t xml:space="preserve">oracle coverage on plasmode-generated synthetic data to identify, for the</w:t>
      </w:r>
      <w:r>
        <w:t xml:space="preserve"> </w:t>
      </w:r>
      <w:r>
        <w:t xml:space="preserve">study’s specific DGP and sample size, which variance method achieves nominal</w:t>
      </w:r>
      <w:r>
        <w:t xml:space="preserve"> </w:t>
      </w:r>
      <w:r>
        <w:t xml:space="preserve">coverage.</w:t>
      </w:r>
    </w:p>
    <w:tbl>
      <w:tblPr>
        <w:tblStyle w:val="Table"/>
        <w:tblW w:type="pct" w:w="5000"/>
        <w:tblLayout w:type="fixed"/>
        <w:tblLook w:firstRow="0" w:lastRow="0" w:firstColumn="0" w:lastColumn="0" w:noHBand="0" w:noVBand="0" w:val="0000"/>
      </w:tblPr>
      <w:tblGrid>
        <w:gridCol w:w="7920"/>
      </w:tblGrid>
      <w:tr>
        <w:tc>
          <w:tcPr/>
          <w:bookmarkStart w:id="81" w:name="fig-mc-boxplots"/>
          <w:p>
            <w:pPr>
              <w:pStyle w:val="Compact"/>
              <w:jc w:val="center"/>
            </w:pPr>
            <w:r>
              <w:drawing>
                <wp:inline>
                  <wp:extent cx="5334000" cy="6000750"/>
                  <wp:effectExtent b="0" l="0" r="0" t="0"/>
                  <wp:docPr descr="" title="" id="79" name="Picture"/>
                  <a:graphic>
                    <a:graphicData uri="http://schemas.openxmlformats.org/drawingml/2006/picture">
                      <pic:pic>
                        <pic:nvPicPr>
                          <pic:cNvPr descr="manuscript_outcome_blind_dq_files/figure-docx/fig-mc-boxplots-1.png" id="80" name="Picture"/>
                          <pic:cNvPicPr>
                            <a:picLocks noChangeArrowheads="1" noChangeAspect="1"/>
                          </pic:cNvPicPr>
                        </pic:nvPicPr>
                        <pic:blipFill>
                          <a:blip r:embed="rId78"/>
                          <a:stretch>
                            <a:fillRect/>
                          </a:stretch>
                        </pic:blipFill>
                        <pic:spPr bwMode="auto">
                          <a:xfrm>
                            <a:off x="0" y="0"/>
                            <a:ext cx="5334000" cy="6000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Sampling distribution of the risk-difference estimate across Monte Carlo replicates. The dashed red line marks the true RD. Under unmeasured confounding (C), all estimators are shifted from the truth.</w:t>
            </w:r>
          </w:p>
          <w:bookmarkEnd w:id="81"/>
        </w:tc>
      </w:tr>
    </w:tbl>
    <w:tbl>
      <w:tblPr>
        <w:tblStyle w:val="Table"/>
        <w:tblW w:type="pct" w:w="5000"/>
        <w:tblLayout w:type="fixed"/>
        <w:tblLook w:firstRow="0" w:lastRow="0" w:firstColumn="0" w:lastColumn="0" w:noHBand="0" w:noVBand="0" w:val="0000"/>
      </w:tblPr>
      <w:tblGrid>
        <w:gridCol w:w="7920"/>
      </w:tblGrid>
      <w:tr>
        <w:tc>
          <w:tcPr/>
          <w:bookmarkStart w:id="85" w:name="fig-coverage-bar"/>
          <w:p>
            <w:pPr>
              <w:pStyle w:val="Compact"/>
              <w:jc w:val="center"/>
            </w:pPr>
            <w:r>
              <w:drawing>
                <wp:inline>
                  <wp:extent cx="5334000" cy="3333750"/>
                  <wp:effectExtent b="0" l="0" r="0" t="0"/>
                  <wp:docPr descr="" title="" id="83" name="Picture"/>
                  <a:graphic>
                    <a:graphicData uri="http://schemas.openxmlformats.org/drawingml/2006/picture">
                      <pic:pic>
                        <pic:nvPicPr>
                          <pic:cNvPr descr="manuscript_outcome_blind_dq_files/figure-docx/fig-coverage-bar-1.png" id="84" name="Picture"/>
                          <pic:cNvPicPr>
                            <a:picLocks noChangeArrowheads="1" noChangeAspect="1"/>
                          </pic:cNvPicPr>
                        </pic:nvPicPr>
                        <pic:blipFill>
                          <a:blip r:embed="rId8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95% CI coverage by estimator and scenario. The dashed red line marks the nominal 95%.</w:t>
            </w:r>
          </w:p>
          <w:bookmarkEnd w:id="85"/>
        </w:tc>
      </w:tr>
    </w:tbl>
    <w:tbl>
      <w:tblPr>
        <w:tblStyle w:val="Table"/>
        <w:tblW w:type="pct" w:w="5000"/>
        <w:tblLayout w:type="fixed"/>
        <w:tblLook w:firstRow="0" w:lastRow="0" w:firstColumn="0" w:lastColumn="0" w:noHBand="0" w:noVBand="0" w:val="0000"/>
      </w:tblPr>
      <w:tblGrid>
        <w:gridCol w:w="7920"/>
      </w:tblGrid>
      <w:tr>
        <w:tc>
          <w:tcPr/>
          <w:bookmarkStart w:id="89" w:name="fig-se-calibration"/>
          <w:p>
            <w:pPr>
              <w:pStyle w:val="Compact"/>
              <w:jc w:val="center"/>
            </w:pPr>
            <w:r>
              <w:drawing>
                <wp:inline>
                  <wp:extent cx="5334000" cy="3333750"/>
                  <wp:effectExtent b="0" l="0" r="0" t="0"/>
                  <wp:docPr descr="" title="" id="87" name="Picture"/>
                  <a:graphic>
                    <a:graphicData uri="http://schemas.openxmlformats.org/drawingml/2006/picture">
                      <pic:pic>
                        <pic:nvPicPr>
                          <pic:cNvPr descr="manuscript_outcome_blind_dq_files/figure-docx/fig-se-calibration-1.png" id="88" name="Picture"/>
                          <pic:cNvPicPr>
                            <a:picLocks noChangeArrowheads="1" noChangeAspect="1"/>
                          </pic:cNvPicPr>
                        </pic:nvPicPr>
                        <pic:blipFill>
                          <a:blip r:embed="rId8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Ratio of mean reported SE to empirical SD. Values near 1.0 indicate well-calibrated standard errors.</w:t>
            </w:r>
          </w:p>
          <w:bookmarkEnd w:id="89"/>
        </w:tc>
      </w:tr>
    </w:tbl>
    <w:tbl>
      <w:tblPr>
        <w:tblStyle w:val="Table"/>
        <w:tblW w:type="pct" w:w="5000"/>
        <w:tblLayout w:type="fixed"/>
        <w:tblLook w:firstRow="0" w:lastRow="0" w:firstColumn="0" w:lastColumn="0" w:noHBand="0" w:noVBand="0" w:val="0000"/>
      </w:tblPr>
      <w:tblGrid>
        <w:gridCol w:w="7920"/>
      </w:tblGrid>
      <w:tr>
        <w:tc>
          <w:tcPr/>
          <w:bookmarkStart w:id="93" w:name="fig-mc-forest"/>
          <w:p>
            <w:pPr>
              <w:pStyle w:val="Compact"/>
              <w:jc w:val="center"/>
            </w:pPr>
            <w:r>
              <w:drawing>
                <wp:inline>
                  <wp:extent cx="5334000" cy="4000500"/>
                  <wp:effectExtent b="0" l="0" r="0" t="0"/>
                  <wp:docPr descr="" title="" id="91" name="Picture"/>
                  <a:graphic>
                    <a:graphicData uri="http://schemas.openxmlformats.org/drawingml/2006/picture">
                      <pic:pic>
                        <pic:nvPicPr>
                          <pic:cNvPr descr="manuscript_outcome_blind_dq_files/figure-docx/fig-mc-forest-1.png" id="92" name="Picture"/>
                          <pic:cNvPicPr>
                            <a:picLocks noChangeArrowheads="1" noChangeAspect="1"/>
                          </pic:cNvPicPr>
                        </pic:nvPicPr>
                        <pic:blipFill>
                          <a:blip r:embed="rId90"/>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Forest plot of Monte Carlo mean estimates by estimator and scenario, with Monte Carlo 95 percent intervals. The dashed grey line marks each scenario’s true RD; the dashed red lines mark the prespecified |bias| decision threshold around the truth (max_abs_bias = 0.02). Candidates falling outside the red lines trip the locked decision rule for that scenario.</w:t>
            </w:r>
          </w:p>
          <w:bookmarkEnd w:id="93"/>
        </w:tc>
      </w:tr>
    </w:tbl>
    <w:bookmarkEnd w:id="94"/>
    <w:bookmarkStart w:id="96" w:name="X9f3d771c12b7522987e43688a0799e90a159038"/>
    <w:p>
      <w:pPr>
        <w:pStyle w:val="Heading3"/>
      </w:pPr>
      <w:r>
        <w:t xml:space="preserve">10.2.6 Traditional workflow vs outcome-blind staged workflow</w:t>
      </w:r>
    </w:p>
    <w:p>
      <w:pPr>
        <w:pStyle w:val="FirstParagraph"/>
      </w:pPr>
      <w:r>
        <w:t xml:space="preserve">The same simulation data answer a different question if we read them as a workflow-vs-workflow contrast rather than an estimator-vs-estimator contrast. The decision-rule table below summarises what a traditional analyst would have reported under each scenario versus what the prespecified staged decision rule returns. The estimates and CIs are unchanged; only the decision-rule overlay is new.</w:t>
      </w:r>
    </w:p>
    <w:tbl>
      <w:tblPr>
        <w:tblStyle w:val="Table"/>
        <w:tblW w:type="pct" w:w="5000"/>
        <w:tblLayout w:type="fixed"/>
        <w:tblLook w:firstRow="0" w:lastRow="0" w:firstColumn="0" w:lastColumn="0" w:noHBand="0" w:noVBand="0" w:val="0000"/>
      </w:tblPr>
      <w:tblGrid>
        <w:gridCol w:w="7920"/>
      </w:tblGrid>
      <w:tr>
        <w:tc>
          <w:tcPr/>
          <w:bookmarkStart w:id="95" w:name="tbl-workflow-contrast"/>
          <w:p>
            <w:pPr>
              <w:jc w:val="center"/>
            </w:pPr>
            <w:pPr>
              <w:jc w:val="start"/>
              <w:spacing w:before="200"/>
              <w:pStyle w:val="ImageCaption"/>
            </w:pPr>
            <w:r>
              <w:t xml:space="preserve">Table 6: Decision-rule overlay on the three simulation scenarios. The estimator fits are held fixed; only the prespecified decision applied before outcome access differs.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Scenario</w:t>
                  </w:r>
                </w:p>
              </w:tc>
              <w:tc>
                <w:tcPr/>
                <w:p>
                  <w:pPr>
                    <w:pStyle w:val="Compact"/>
                    <w:jc w:val="center"/>
                  </w:pPr>
                  <w:r>
                    <w:t xml:space="preserve">Traditional pipeline</w:t>
                  </w:r>
                </w:p>
              </w:tc>
              <w:tc>
                <w:tcPr/>
                <w:p>
                  <w:pPr>
                    <w:pStyle w:val="Compact"/>
                    <w:jc w:val="center"/>
                  </w:pPr>
                  <w:r>
                    <w:t xml:space="preserve">Outcome-blind workflow</w:t>
                  </w:r>
                </w:p>
              </w:tc>
              <w:tc>
                <w:tcPr/>
                <w:p>
                  <w:pPr>
                    <w:pStyle w:val="Compact"/>
                    <w:jc w:val="center"/>
                  </w:pPr>
                  <w:r>
                    <w:t xml:space="preserve">Where they differ</w:t>
                  </w:r>
                </w:p>
              </w:tc>
            </w:tr>
            <w:tr>
              <w:tc>
                <w:tcPr/>
                <w:p>
                  <w:pPr>
                    <w:pStyle w:val="Compact"/>
                    <w:jc w:val="center"/>
                  </w:pPr>
                  <w:r>
                    <w:rPr>
                      <w:b/>
                      <w:bCs/>
                    </w:rPr>
                    <w:t xml:space="preserve">A. Good overlap</w:t>
                  </w:r>
                </w:p>
              </w:tc>
              <w:tc>
                <w:tcPr/>
                <w:p>
                  <w:pPr>
                    <w:pStyle w:val="Compact"/>
                    <w:jc w:val="center"/>
                  </w:pPr>
                  <w:r>
                    <w:t xml:space="preserve">Run prespecified TMLE; report a non-null effect; SE / SD ratio near 1; coverage at nominal 95 %</w:t>
                  </w:r>
                </w:p>
              </w:tc>
              <w:tc>
                <w:tcPr/>
                <w:p>
                  <w:pPr>
                    <w:pStyle w:val="Compact"/>
                    <w:jc w:val="center"/>
                  </w:pPr>
                  <w:r>
                    <w:rPr>
                      <w:b/>
                      <w:bCs/>
                    </w:rPr>
                    <w:t xml:space="preserve">GO</w:t>
                  </w:r>
                  <w:r>
                    <w:t xml:space="preserve">; same point estimate and CI as the traditional pipeline</w:t>
                  </w:r>
                </w:p>
              </w:tc>
              <w:tc>
                <w:tcPr/>
                <w:p>
                  <w:pPr>
                    <w:pStyle w:val="Compact"/>
                    <w:jc w:val="center"/>
                  </w:pPr>
                  <w:r>
                    <w:t xml:space="preserve">No practical difference</w:t>
                  </w:r>
                </w:p>
              </w:tc>
            </w:tr>
            <w:tr>
              <w:tc>
                <w:tcPr/>
                <w:p>
                  <w:pPr>
                    <w:pStyle w:val="Compact"/>
                    <w:jc w:val="center"/>
                  </w:pPr>
                  <w:r>
                    <w:rPr>
                      <w:b/>
                      <w:bCs/>
                    </w:rPr>
                    <w:t xml:space="preserve">B. Marginal overlap</w:t>
                  </w:r>
                </w:p>
              </w:tc>
              <w:tc>
                <w:tcPr/>
                <w:p>
                  <w:pPr>
                    <w:pStyle w:val="Compact"/>
                    <w:jc w:val="center"/>
                  </w:pPr>
                  <w:r>
                    <w:t xml:space="preserve">Run prespecified TMLE; report. IPTW IF-SE is conservative (SE/SD ≈ 1.23) because the PS is treated as known; matched-TMLE IF-SE is approximately calibrated (SE/SD ≈ 1.04) in this scenario. Many reviewers will not catch the IPTW over-coverage</w:t>
                  </w:r>
                </w:p>
              </w:tc>
              <w:tc>
                <w:tcPr/>
                <w:p>
                  <w:pPr>
                    <w:pStyle w:val="Compact"/>
                    <w:jc w:val="center"/>
                  </w:pPr>
                  <w:r>
                    <w:rPr>
                      <w:b/>
                      <w:bCs/>
                    </w:rPr>
                    <w:t xml:space="preserve">GO with FLAG</w:t>
                  </w:r>
                  <w:r>
                    <w:t xml:space="preserve"> </w:t>
                  </w:r>
                  <w:r>
                    <w:t xml:space="preserve">on IPTW variance calibration; the workflow surfaces this before unblinding and reports the matched-TMLE bootstrap coverage alongside the influence-function coverage so the better-calibrated method is chosen empirically</w:t>
                  </w:r>
                </w:p>
              </w:tc>
              <w:tc>
                <w:tcPr/>
                <w:p>
                  <w:pPr>
                    <w:pStyle w:val="Compact"/>
                    <w:jc w:val="center"/>
                  </w:pPr>
                  <w:r>
                    <w:t xml:space="preserve">The workflow surfaces the variance calibration issue as part of the dossier; the traditional pipeline relies on the reviewer to catch it</w:t>
                  </w:r>
                </w:p>
              </w:tc>
            </w:tr>
            <w:tr>
              <w:tc>
                <w:tcPr/>
                <w:p>
                  <w:pPr>
                    <w:pStyle w:val="Compact"/>
                    <w:jc w:val="center"/>
                  </w:pPr>
                  <w:r>
                    <w:rPr>
                      <w:b/>
                      <w:bCs/>
                    </w:rPr>
                    <w:t xml:space="preserve">C. Unmeasured confounding</w:t>
                  </w:r>
                </w:p>
              </w:tc>
              <w:tc>
                <w:tcPr/>
                <w:p>
                  <w:pPr>
                    <w:pStyle w:val="Compact"/>
                    <w:jc w:val="center"/>
                  </w:pPr>
                  <w:r>
                    <w:t xml:space="preserve">Run prespecified TMLE; report an estimate biased toward the null (mean bias about 0.037 toward zero, realised RD about -0.005 vs truth -0.042, coverage about 0.42), typically not significant. Without an external probe, this null that masks a real effect would be published</w:t>
                  </w:r>
                </w:p>
              </w:tc>
              <w:tc>
                <w:tcPr/>
                <w:p>
                  <w:pPr>
                    <w:pStyle w:val="Compact"/>
                    <w:jc w:val="center"/>
                  </w:pPr>
                  <w:r>
                    <w:rPr>
                      <w:b/>
                      <w:bCs/>
                    </w:rPr>
                    <w:t xml:space="preserve">STOP</w:t>
                  </w:r>
                  <w:r>
                    <w:t xml:space="preserve"> </w:t>
                  </w:r>
                  <w:r>
                    <w:t xml:space="preserve">under the prespecified unmeasured-U DQ scenario; the locked analysis does not run as planned</w:t>
                  </w:r>
                </w:p>
              </w:tc>
              <w:tc>
                <w:tcPr/>
                <w:p>
                  <w:pPr>
                    <w:pStyle w:val="Compact"/>
                    <w:jc w:val="center"/>
                  </w:pPr>
                  <w:r>
                    <w:t xml:space="preserve">The workflow blocks publication of the misleading null; the traditional pipeline does not</w:t>
                  </w:r>
                </w:p>
              </w:tc>
            </w:tr>
          </w:tbl>
          <w:bookmarkEnd w:id="95"/>
          <w:p/>
        </w:tc>
      </w:tr>
    </w:tbl>
    <w:p>
      <w:pPr>
        <w:pStyle w:val="BodyText"/>
      </w:pPr>
      <w:r>
        <w:t xml:space="preserve">The contrast is clearest in Scenario C: both pipelines have identical fits because the same nuisance models are used, but the workflow’s prespecified rule refuses to authorise the Stage 4 analysis once the unmeasured-U row of the DQ stress test exceeds the locked bias threshold. The traditional pipeline has no equivalent block.</w:t>
      </w:r>
    </w:p>
    <w:p>
      <w:pPr>
        <w:pStyle w:val="BodyText"/>
      </w:pPr>
      <w:r>
        <w:t xml:space="preserve">The workflow does</w:t>
      </w:r>
      <w:r>
        <w:t xml:space="preserve"> </w:t>
      </w:r>
      <w:r>
        <w:rPr>
          <w:i/>
          <w:iCs/>
        </w:rPr>
        <w:t xml:space="preserve">not</w:t>
      </w:r>
      <w:r>
        <w:t xml:space="preserve"> </w:t>
      </w:r>
      <w:r>
        <w:t xml:space="preserve">invent free bias reduction. In Scenario C the TMLE bias is the same under both pipelines (about 0.037, with coverage well below the 0.90 floor); the workflow’s contribution is the decision rule, not a different estimator.</w:t>
      </w:r>
    </w:p>
    <w:p>
      <w:pPr>
        <w:pStyle w:val="BodyText"/>
      </w:pPr>
      <w:r>
        <w:t xml:space="preserve">A note on what the simulation does</w:t>
      </w:r>
      <w:r>
        <w:t xml:space="preserve"> </w:t>
      </w:r>
      <w:r>
        <w:rPr>
          <w:b/>
          <w:bCs/>
        </w:rPr>
        <w:t xml:space="preserve">not</w:t>
      </w:r>
      <w:r>
        <w:t xml:space="preserve"> </w:t>
      </w:r>
      <w:r>
        <w:t xml:space="preserve">show: it does not compare a</w:t>
      </w:r>
      <w:r>
        <w:t xml:space="preserve"> </w:t>
      </w:r>
      <w:r>
        <w:t xml:space="preserve">“traditional”</w:t>
      </w:r>
      <w:r>
        <w:t xml:space="preserve"> </w:t>
      </w:r>
      <w:r>
        <w:t xml:space="preserve">fixed-library TMLE against a</w:t>
      </w:r>
      <w:r>
        <w:t xml:space="preserve"> </w:t>
      </w:r>
      <w:r>
        <w:rPr>
          <w:i/>
          <w:iCs/>
        </w:rPr>
        <w:t xml:space="preserve">plasmode-selected</w:t>
      </w:r>
      <w:r>
        <w:t xml:space="preserve"> </w:t>
      </w:r>
      <w:r>
        <w:t xml:space="preserve">TMLE under varied DGPs (the workflow-contrast-C question). That comparison is reported in a standalone analysis (see</w:t>
      </w:r>
      <w:r>
        <w:t xml:space="preserve"> </w:t>
      </w:r>
      <w:r>
        <w:rPr>
          <w:rStyle w:val="VerbatimChar"/>
        </w:rPr>
        <w:t xml:space="preserve">reports/workflow_contrast_c.qmd</w:t>
      </w:r>
      <w:r>
        <w:t xml:space="preserve"> </w:t>
      </w:r>
      <w:r>
        <w:t xml:space="preserve">in the project repository).</w:t>
      </w:r>
    </w:p>
    <w:bookmarkEnd w:id="96"/>
    <w:bookmarkEnd w:id="97"/>
    <w:bookmarkStart w:id="108" w:name="plasmode-dq-stress-test-results"/>
    <w:p>
      <w:pPr>
        <w:pStyle w:val="Heading2"/>
      </w:pPr>
      <w:r>
        <w:t xml:space="preserve">10.3 Plasmode DQ stress-test results</w:t>
      </w:r>
    </w:p>
    <w:bookmarkStart w:id="98" w:name="scenario-a-good-overlap"/>
    <w:p>
      <w:pPr>
        <w:pStyle w:val="Heading3"/>
      </w:pPr>
      <w:r>
        <w:t xml:space="preserve">10.3.1 Scenario A: Good Overlap</w:t>
      </w:r>
    </w:p>
    <w:p>
      <w:pPr>
        <w:pStyle w:val="FirstParagraph"/>
      </w:pPr>
      <w:r>
        <w:t xml:space="preserve">Selected candidate:</w:t>
      </w:r>
      <w:r>
        <w:t xml:space="preserve"> </w:t>
      </w:r>
      <w:r>
        <w:rPr>
          <w:rStyle w:val="VerbatimChar"/>
        </w:rPr>
        <w:t xml:space="preserve">aggressive</w:t>
      </w:r>
    </w:p>
    <w:p>
      <w:pPr>
        <w:pStyle w:val="TableCaption"/>
      </w:pPr>
      <w:r>
        <w:t xml:space="preserve">DQ degradation: Scenario A: Good Overlap (candidate: aggressive)</w:t>
      </w:r>
    </w:p>
    <w:tbl>
      <w:tblPr>
        <w:tblStyle w:val="Table"/>
        <w:tblW w:type="pct" w:w="5000"/>
        <w:tblLayout w:type="fixed"/>
        <w:tblLook w:firstRow="1" w:lastRow="0" w:firstColumn="0" w:lastColumn="0" w:noHBand="0" w:noVBand="0" w:val="0020"/>
        <w:tblCaption w:val="DQ degradation: Scenario A: Good Overlap (candidate: aggressive)"/>
      </w:tblPr>
      <w:tblGrid>
        <w:gridCol w:w="214"/>
        <w:gridCol w:w="1141"/>
        <w:gridCol w:w="1284"/>
        <w:gridCol w:w="998"/>
        <w:gridCol w:w="998"/>
        <w:gridCol w:w="784"/>
        <w:gridCol w:w="927"/>
        <w:gridCol w:w="927"/>
        <w:gridCol w:w="642"/>
      </w:tblGrid>
      <w:tr>
        <w:trPr>
          <w:tblHeader w:val="on"/>
        </w:trPr>
        <w:tc>
          <w:tcPr/>
          <w:p>
            <w:pPr>
              <w:pStyle w:val="Compact"/>
            </w:pPr>
          </w:p>
        </w:tc>
        <w:tc>
          <w:tcPr/>
          <w:p>
            <w:pPr>
              <w:pStyle w:val="Compact"/>
              <w:jc w:val="left"/>
            </w:pPr>
            <w:r>
              <w:t xml:space="preserve">scenario</w:t>
            </w:r>
          </w:p>
        </w:tc>
        <w:tc>
          <w:tcPr/>
          <w:p>
            <w:pPr>
              <w:pStyle w:val="Compact"/>
              <w:jc w:val="left"/>
            </w:pPr>
            <w:r>
              <w:t xml:space="preserve">level</w:t>
            </w:r>
          </w:p>
        </w:tc>
        <w:tc>
          <w:tcPr/>
          <w:p>
            <w:pPr>
              <w:pStyle w:val="Compact"/>
              <w:jc w:val="right"/>
            </w:pPr>
            <w:r>
              <w:t xml:space="preserve">bias_baseline</w:t>
            </w:r>
          </w:p>
        </w:tc>
        <w:tc>
          <w:tcPr/>
          <w:p>
            <w:pPr>
              <w:pStyle w:val="Compact"/>
              <w:jc w:val="right"/>
            </w:pPr>
            <w:r>
              <w:t xml:space="preserve">bias_degraded</w:t>
            </w:r>
          </w:p>
        </w:tc>
        <w:tc>
          <w:tcPr/>
          <w:p>
            <w:pPr>
              <w:pStyle w:val="Compact"/>
              <w:jc w:val="right"/>
            </w:pPr>
            <w:r>
              <w:t xml:space="preserve">rmse_ratio</w:t>
            </w:r>
          </w:p>
        </w:tc>
        <w:tc>
          <w:tcPr/>
          <w:p>
            <w:pPr>
              <w:pStyle w:val="Compact"/>
              <w:jc w:val="right"/>
            </w:pPr>
            <w:r>
              <w:t xml:space="preserve">cov_baseline</w:t>
            </w:r>
          </w:p>
        </w:tc>
        <w:tc>
          <w:tcPr/>
          <w:p>
            <w:pPr>
              <w:pStyle w:val="Compact"/>
              <w:jc w:val="right"/>
            </w:pPr>
            <w:r>
              <w:t xml:space="preserve">cov_degraded</w:t>
            </w:r>
          </w:p>
        </w:tc>
        <w:tc>
          <w:tcPr/>
          <w:p>
            <w:pPr>
              <w:pStyle w:val="Compact"/>
              <w:jc w:val="right"/>
            </w:pPr>
            <w:r>
              <w:t xml:space="preserve">cov_drop</w:t>
            </w:r>
          </w:p>
        </w:tc>
      </w:tr>
      <w:tr>
        <w:tc>
          <w:tcPr/>
          <w:p>
            <w:pPr>
              <w:pStyle w:val="Compact"/>
              <w:jc w:val="left"/>
            </w:pPr>
            <w:r>
              <w:t xml:space="preserve">1</w:t>
            </w:r>
          </w:p>
        </w:tc>
        <w:tc>
          <w:tcPr/>
          <w:p>
            <w:pPr>
              <w:pStyle w:val="Compact"/>
              <w:jc w:val="left"/>
            </w:pPr>
            <w:r>
              <w:t xml:space="preserve">cov_miss</w:t>
            </w:r>
          </w:p>
        </w:tc>
        <w:tc>
          <w:tcPr/>
          <w:p>
            <w:pPr>
              <w:pStyle w:val="Compact"/>
              <w:jc w:val="left"/>
            </w:pPr>
            <w:r>
              <w:t xml:space="preserve">0.05</w:t>
            </w:r>
          </w:p>
        </w:tc>
        <w:tc>
          <w:tcPr/>
          <w:p>
            <w:pPr>
              <w:pStyle w:val="Compact"/>
              <w:jc w:val="right"/>
            </w:pPr>
            <w:r>
              <w:t xml:space="preserve">0.0028</w:t>
            </w:r>
          </w:p>
        </w:tc>
        <w:tc>
          <w:tcPr/>
          <w:p>
            <w:pPr>
              <w:pStyle w:val="Compact"/>
              <w:jc w:val="right"/>
            </w:pPr>
            <w:r>
              <w:t xml:space="preserve">0.00031</w:t>
            </w:r>
          </w:p>
        </w:tc>
        <w:tc>
          <w:tcPr/>
          <w:p>
            <w:pPr>
              <w:pStyle w:val="Compact"/>
              <w:jc w:val="right"/>
            </w:pPr>
            <w:r>
              <w:t xml:space="preserve">0.755</w:t>
            </w:r>
          </w:p>
        </w:tc>
        <w:tc>
          <w:tcPr/>
          <w:p>
            <w:pPr>
              <w:pStyle w:val="Compact"/>
              <w:jc w:val="right"/>
            </w:pPr>
            <w:r>
              <w:t xml:space="preserve">0.933</w:t>
            </w:r>
          </w:p>
        </w:tc>
        <w:tc>
          <w:tcPr/>
          <w:p>
            <w:pPr>
              <w:pStyle w:val="Compact"/>
              <w:jc w:val="right"/>
            </w:pPr>
            <w:r>
              <w:t xml:space="preserve">0.933</w:t>
            </w:r>
          </w:p>
        </w:tc>
        <w:tc>
          <w:tcPr/>
          <w:p>
            <w:pPr>
              <w:pStyle w:val="Compact"/>
              <w:jc w:val="right"/>
            </w:pPr>
            <w:r>
              <w:t xml:space="preserve">0.000</w:t>
            </w:r>
          </w:p>
        </w:tc>
      </w:tr>
      <w:tr>
        <w:tc>
          <w:tcPr/>
          <w:p>
            <w:pPr>
              <w:pStyle w:val="Compact"/>
              <w:jc w:val="left"/>
            </w:pPr>
            <w:r>
              <w:t xml:space="preserve">4</w:t>
            </w:r>
          </w:p>
        </w:tc>
        <w:tc>
          <w:tcPr/>
          <w:p>
            <w:pPr>
              <w:pStyle w:val="Compact"/>
              <w:jc w:val="left"/>
            </w:pPr>
            <w:r>
              <w:t xml:space="preserve">cov_miss</w:t>
            </w:r>
          </w:p>
        </w:tc>
        <w:tc>
          <w:tcPr/>
          <w:p>
            <w:pPr>
              <w:pStyle w:val="Compact"/>
              <w:jc w:val="left"/>
            </w:pPr>
            <w:r>
              <w:t xml:space="preserve">0.1</w:t>
            </w:r>
          </w:p>
        </w:tc>
        <w:tc>
          <w:tcPr/>
          <w:p>
            <w:pPr>
              <w:pStyle w:val="Compact"/>
              <w:jc w:val="right"/>
            </w:pPr>
            <w:r>
              <w:t xml:space="preserve">0.0028</w:t>
            </w:r>
          </w:p>
        </w:tc>
        <w:tc>
          <w:tcPr/>
          <w:p>
            <w:pPr>
              <w:pStyle w:val="Compact"/>
              <w:jc w:val="right"/>
            </w:pPr>
            <w:r>
              <w:t xml:space="preserve">-0.00011</w:t>
            </w:r>
          </w:p>
        </w:tc>
        <w:tc>
          <w:tcPr/>
          <w:p>
            <w:pPr>
              <w:pStyle w:val="Compact"/>
              <w:jc w:val="right"/>
            </w:pPr>
            <w:r>
              <w:t xml:space="preserve">0.626</w:t>
            </w:r>
          </w:p>
        </w:tc>
        <w:tc>
          <w:tcPr/>
          <w:p>
            <w:pPr>
              <w:pStyle w:val="Compact"/>
              <w:jc w:val="right"/>
            </w:pPr>
            <w:r>
              <w:t xml:space="preserve">0.933</w:t>
            </w:r>
          </w:p>
        </w:tc>
        <w:tc>
          <w:tcPr/>
          <w:p>
            <w:pPr>
              <w:pStyle w:val="Compact"/>
              <w:jc w:val="right"/>
            </w:pPr>
            <w:r>
              <w:t xml:space="preserve">0.967</w:t>
            </w:r>
          </w:p>
        </w:tc>
        <w:tc>
          <w:tcPr/>
          <w:p>
            <w:pPr>
              <w:pStyle w:val="Compact"/>
              <w:jc w:val="right"/>
            </w:pPr>
            <w:r>
              <w:t xml:space="preserve">-0.034</w:t>
            </w:r>
          </w:p>
        </w:tc>
      </w:tr>
      <w:tr>
        <w:tc>
          <w:tcPr/>
          <w:p>
            <w:pPr>
              <w:pStyle w:val="Compact"/>
              <w:jc w:val="left"/>
            </w:pPr>
            <w:r>
              <w:t xml:space="preserve">7</w:t>
            </w:r>
          </w:p>
        </w:tc>
        <w:tc>
          <w:tcPr/>
          <w:p>
            <w:pPr>
              <w:pStyle w:val="Compact"/>
              <w:jc w:val="left"/>
            </w:pPr>
            <w:r>
              <w:t xml:space="preserve">cov_miss</w:t>
            </w:r>
          </w:p>
        </w:tc>
        <w:tc>
          <w:tcPr/>
          <w:p>
            <w:pPr>
              <w:pStyle w:val="Compact"/>
              <w:jc w:val="left"/>
            </w:pPr>
            <w:r>
              <w:t xml:space="preserve">0.2</w:t>
            </w:r>
          </w:p>
        </w:tc>
        <w:tc>
          <w:tcPr/>
          <w:p>
            <w:pPr>
              <w:pStyle w:val="Compact"/>
              <w:jc w:val="right"/>
            </w:pPr>
            <w:r>
              <w:t xml:space="preserve">0.0028</w:t>
            </w:r>
          </w:p>
        </w:tc>
        <w:tc>
          <w:tcPr/>
          <w:p>
            <w:pPr>
              <w:pStyle w:val="Compact"/>
              <w:jc w:val="right"/>
            </w:pPr>
            <w:r>
              <w:t xml:space="preserve">0.00284</w:t>
            </w:r>
          </w:p>
        </w:tc>
        <w:tc>
          <w:tcPr/>
          <w:p>
            <w:pPr>
              <w:pStyle w:val="Compact"/>
              <w:jc w:val="right"/>
            </w:pPr>
            <w:r>
              <w:t xml:space="preserve">0.721</w:t>
            </w:r>
          </w:p>
        </w:tc>
        <w:tc>
          <w:tcPr/>
          <w:p>
            <w:pPr>
              <w:pStyle w:val="Compact"/>
              <w:jc w:val="right"/>
            </w:pPr>
            <w:r>
              <w:t xml:space="preserve">0.933</w:t>
            </w:r>
          </w:p>
        </w:tc>
        <w:tc>
          <w:tcPr/>
          <w:p>
            <w:pPr>
              <w:pStyle w:val="Compact"/>
              <w:jc w:val="right"/>
            </w:pPr>
            <w:r>
              <w:t xml:space="preserve">0.967</w:t>
            </w:r>
          </w:p>
        </w:tc>
        <w:tc>
          <w:tcPr/>
          <w:p>
            <w:pPr>
              <w:pStyle w:val="Compact"/>
              <w:jc w:val="right"/>
            </w:pPr>
            <w:r>
              <w:t xml:space="preserve">-0.034</w:t>
            </w:r>
          </w:p>
        </w:tc>
      </w:tr>
      <w:tr>
        <w:tc>
          <w:tcPr/>
          <w:p>
            <w:pPr>
              <w:pStyle w:val="Compact"/>
              <w:jc w:val="left"/>
            </w:pPr>
            <w:r>
              <w:t xml:space="preserve">10</w:t>
            </w:r>
          </w:p>
        </w:tc>
        <w:tc>
          <w:tcPr/>
          <w:p>
            <w:pPr>
              <w:pStyle w:val="Compact"/>
              <w:jc w:val="left"/>
            </w:pPr>
            <w:r>
              <w:t xml:space="preserve">cov_miss_mar</w:t>
            </w:r>
          </w:p>
        </w:tc>
        <w:tc>
          <w:tcPr/>
          <w:p>
            <w:pPr>
              <w:pStyle w:val="Compact"/>
              <w:jc w:val="left"/>
            </w:pPr>
            <w:r>
              <w:t xml:space="preserve">0.1</w:t>
            </w:r>
          </w:p>
        </w:tc>
        <w:tc>
          <w:tcPr/>
          <w:p>
            <w:pPr>
              <w:pStyle w:val="Compact"/>
              <w:jc w:val="right"/>
            </w:pPr>
            <w:r>
              <w:t xml:space="preserve">0.0028</w:t>
            </w:r>
          </w:p>
        </w:tc>
        <w:tc>
          <w:tcPr/>
          <w:p>
            <w:pPr>
              <w:pStyle w:val="Compact"/>
              <w:jc w:val="right"/>
            </w:pPr>
            <w:r>
              <w:t xml:space="preserve">0.00493</w:t>
            </w:r>
          </w:p>
        </w:tc>
        <w:tc>
          <w:tcPr/>
          <w:p>
            <w:pPr>
              <w:pStyle w:val="Compact"/>
              <w:jc w:val="right"/>
            </w:pPr>
            <w:r>
              <w:t xml:space="preserve">0.801</w:t>
            </w:r>
          </w:p>
        </w:tc>
        <w:tc>
          <w:tcPr/>
          <w:p>
            <w:pPr>
              <w:pStyle w:val="Compact"/>
              <w:jc w:val="right"/>
            </w:pPr>
            <w:r>
              <w:t xml:space="preserve">0.933</w:t>
            </w:r>
          </w:p>
        </w:tc>
        <w:tc>
          <w:tcPr/>
          <w:p>
            <w:pPr>
              <w:pStyle w:val="Compact"/>
              <w:jc w:val="right"/>
            </w:pPr>
            <w:r>
              <w:t xml:space="preserve">0.933</w:t>
            </w:r>
          </w:p>
        </w:tc>
        <w:tc>
          <w:tcPr/>
          <w:p>
            <w:pPr>
              <w:pStyle w:val="Compact"/>
              <w:jc w:val="right"/>
            </w:pPr>
            <w:r>
              <w:t xml:space="preserve">0.000</w:t>
            </w:r>
          </w:p>
        </w:tc>
      </w:tr>
      <w:tr>
        <w:tc>
          <w:tcPr/>
          <w:p>
            <w:pPr>
              <w:pStyle w:val="Compact"/>
              <w:jc w:val="left"/>
            </w:pPr>
            <w:r>
              <w:t xml:space="preserve">13</w:t>
            </w:r>
          </w:p>
        </w:tc>
        <w:tc>
          <w:tcPr/>
          <w:p>
            <w:pPr>
              <w:pStyle w:val="Compact"/>
              <w:jc w:val="left"/>
            </w:pPr>
            <w:r>
              <w:t xml:space="preserve">cov_miss_mar</w:t>
            </w:r>
          </w:p>
        </w:tc>
        <w:tc>
          <w:tcPr/>
          <w:p>
            <w:pPr>
              <w:pStyle w:val="Compact"/>
              <w:jc w:val="left"/>
            </w:pPr>
            <w:r>
              <w:t xml:space="preserve">0.2</w:t>
            </w:r>
          </w:p>
        </w:tc>
        <w:tc>
          <w:tcPr/>
          <w:p>
            <w:pPr>
              <w:pStyle w:val="Compact"/>
              <w:jc w:val="right"/>
            </w:pPr>
            <w:r>
              <w:t xml:space="preserve">0.0028</w:t>
            </w:r>
          </w:p>
        </w:tc>
        <w:tc>
          <w:tcPr/>
          <w:p>
            <w:pPr>
              <w:pStyle w:val="Compact"/>
              <w:jc w:val="right"/>
            </w:pPr>
            <w:r>
              <w:t xml:space="preserve">0.01034</w:t>
            </w:r>
          </w:p>
        </w:tc>
        <w:tc>
          <w:tcPr/>
          <w:p>
            <w:pPr>
              <w:pStyle w:val="Compact"/>
              <w:jc w:val="right"/>
            </w:pPr>
            <w:r>
              <w:t xml:space="preserve">0.930</w:t>
            </w:r>
          </w:p>
        </w:tc>
        <w:tc>
          <w:tcPr/>
          <w:p>
            <w:pPr>
              <w:pStyle w:val="Compact"/>
              <w:jc w:val="right"/>
            </w:pPr>
            <w:r>
              <w:t xml:space="preserve">0.933</w:t>
            </w:r>
          </w:p>
        </w:tc>
        <w:tc>
          <w:tcPr/>
          <w:p>
            <w:pPr>
              <w:pStyle w:val="Compact"/>
              <w:jc w:val="right"/>
            </w:pPr>
            <w:r>
              <w:t xml:space="preserve">0.833</w:t>
            </w:r>
          </w:p>
        </w:tc>
        <w:tc>
          <w:tcPr/>
          <w:p>
            <w:pPr>
              <w:pStyle w:val="Compact"/>
              <w:jc w:val="right"/>
            </w:pPr>
            <w:r>
              <w:t xml:space="preserve">0.100</w:t>
            </w:r>
          </w:p>
        </w:tc>
      </w:tr>
      <w:tr>
        <w:tc>
          <w:tcPr/>
          <w:p>
            <w:pPr>
              <w:pStyle w:val="Compact"/>
              <w:jc w:val="left"/>
            </w:pPr>
            <w:r>
              <w:t xml:space="preserve">16</w:t>
            </w:r>
          </w:p>
        </w:tc>
        <w:tc>
          <w:tcPr/>
          <w:p>
            <w:pPr>
              <w:pStyle w:val="Compact"/>
              <w:jc w:val="left"/>
            </w:pPr>
            <w:r>
              <w:t xml:space="preserve">cov_miss_mnar</w:t>
            </w:r>
          </w:p>
        </w:tc>
        <w:tc>
          <w:tcPr/>
          <w:p>
            <w:pPr>
              <w:pStyle w:val="Compact"/>
              <w:jc w:val="left"/>
            </w:pPr>
            <w:r>
              <w:t xml:space="preserve">0.1</w:t>
            </w:r>
          </w:p>
        </w:tc>
        <w:tc>
          <w:tcPr/>
          <w:p>
            <w:pPr>
              <w:pStyle w:val="Compact"/>
              <w:jc w:val="right"/>
            </w:pPr>
            <w:r>
              <w:t xml:space="preserve">0.0028</w:t>
            </w:r>
          </w:p>
        </w:tc>
        <w:tc>
          <w:tcPr/>
          <w:p>
            <w:pPr>
              <w:pStyle w:val="Compact"/>
              <w:jc w:val="right"/>
            </w:pPr>
            <w:r>
              <w:t xml:space="preserve">0.00792</w:t>
            </w:r>
          </w:p>
        </w:tc>
        <w:tc>
          <w:tcPr/>
          <w:p>
            <w:pPr>
              <w:pStyle w:val="Compact"/>
              <w:jc w:val="right"/>
            </w:pPr>
            <w:r>
              <w:t xml:space="preserve">0.843</w:t>
            </w:r>
          </w:p>
        </w:tc>
        <w:tc>
          <w:tcPr/>
          <w:p>
            <w:pPr>
              <w:pStyle w:val="Compact"/>
              <w:jc w:val="right"/>
            </w:pPr>
            <w:r>
              <w:t xml:space="preserve">0.933</w:t>
            </w:r>
          </w:p>
        </w:tc>
        <w:tc>
          <w:tcPr/>
          <w:p>
            <w:pPr>
              <w:pStyle w:val="Compact"/>
              <w:jc w:val="right"/>
            </w:pPr>
            <w:r>
              <w:t xml:space="preserve">0.867</w:t>
            </w:r>
          </w:p>
        </w:tc>
        <w:tc>
          <w:tcPr/>
          <w:p>
            <w:pPr>
              <w:pStyle w:val="Compact"/>
              <w:jc w:val="right"/>
            </w:pPr>
            <w:r>
              <w:t xml:space="preserve">0.066</w:t>
            </w:r>
          </w:p>
        </w:tc>
      </w:tr>
      <w:tr>
        <w:tc>
          <w:tcPr/>
          <w:p>
            <w:pPr>
              <w:pStyle w:val="Compact"/>
              <w:jc w:val="left"/>
            </w:pPr>
            <w:r>
              <w:t xml:space="preserve">19</w:t>
            </w:r>
          </w:p>
        </w:tc>
        <w:tc>
          <w:tcPr/>
          <w:p>
            <w:pPr>
              <w:pStyle w:val="Compact"/>
              <w:jc w:val="left"/>
            </w:pPr>
            <w:r>
              <w:t xml:space="preserve">cov_miss_mnar</w:t>
            </w:r>
          </w:p>
        </w:tc>
        <w:tc>
          <w:tcPr/>
          <w:p>
            <w:pPr>
              <w:pStyle w:val="Compact"/>
              <w:jc w:val="left"/>
            </w:pPr>
            <w:r>
              <w:t xml:space="preserve">0.2</w:t>
            </w:r>
          </w:p>
        </w:tc>
        <w:tc>
          <w:tcPr/>
          <w:p>
            <w:pPr>
              <w:pStyle w:val="Compact"/>
              <w:jc w:val="right"/>
            </w:pPr>
            <w:r>
              <w:t xml:space="preserve">0.0028</w:t>
            </w:r>
          </w:p>
        </w:tc>
        <w:tc>
          <w:tcPr/>
          <w:p>
            <w:pPr>
              <w:pStyle w:val="Compact"/>
              <w:jc w:val="right"/>
            </w:pPr>
            <w:r>
              <w:t xml:space="preserve">0.01487</w:t>
            </w:r>
          </w:p>
        </w:tc>
        <w:tc>
          <w:tcPr/>
          <w:p>
            <w:pPr>
              <w:pStyle w:val="Compact"/>
              <w:jc w:val="right"/>
            </w:pPr>
            <w:r>
              <w:t xml:space="preserve">1.091</w:t>
            </w:r>
          </w:p>
        </w:tc>
        <w:tc>
          <w:tcPr/>
          <w:p>
            <w:pPr>
              <w:pStyle w:val="Compact"/>
              <w:jc w:val="right"/>
            </w:pPr>
            <w:r>
              <w:t xml:space="preserve">0.933</w:t>
            </w:r>
          </w:p>
        </w:tc>
        <w:tc>
          <w:tcPr/>
          <w:p>
            <w:pPr>
              <w:pStyle w:val="Compact"/>
              <w:jc w:val="right"/>
            </w:pPr>
            <w:r>
              <w:t xml:space="preserve">0.867</w:t>
            </w:r>
          </w:p>
        </w:tc>
        <w:tc>
          <w:tcPr/>
          <w:p>
            <w:pPr>
              <w:pStyle w:val="Compact"/>
              <w:jc w:val="right"/>
            </w:pPr>
            <w:r>
              <w:t xml:space="preserve">0.066</w:t>
            </w:r>
          </w:p>
        </w:tc>
      </w:tr>
      <w:tr>
        <w:tc>
          <w:tcPr/>
          <w:p>
            <w:pPr>
              <w:pStyle w:val="Compact"/>
              <w:jc w:val="left"/>
            </w:pPr>
            <w:r>
              <w:t xml:space="preserve">22</w:t>
            </w:r>
          </w:p>
        </w:tc>
        <w:tc>
          <w:tcPr/>
          <w:p>
            <w:pPr>
              <w:pStyle w:val="Compact"/>
              <w:jc w:val="left"/>
            </w:pPr>
            <w:r>
              <w:t xml:space="preserve">trt_misclass</w:t>
            </w:r>
          </w:p>
        </w:tc>
        <w:tc>
          <w:tcPr/>
          <w:p>
            <w:pPr>
              <w:pStyle w:val="Compact"/>
              <w:jc w:val="left"/>
            </w:pPr>
            <w:r>
              <w:t xml:space="preserve">sens0.95_spec0.99</w:t>
            </w:r>
          </w:p>
        </w:tc>
        <w:tc>
          <w:tcPr/>
          <w:p>
            <w:pPr>
              <w:pStyle w:val="Compact"/>
              <w:jc w:val="right"/>
            </w:pPr>
            <w:r>
              <w:t xml:space="preserve">0.0028</w:t>
            </w:r>
          </w:p>
        </w:tc>
        <w:tc>
          <w:tcPr/>
          <w:p>
            <w:pPr>
              <w:pStyle w:val="Compact"/>
              <w:jc w:val="right"/>
            </w:pPr>
            <w:r>
              <w:t xml:space="preserve">-0.00395</w:t>
            </w:r>
          </w:p>
        </w:tc>
        <w:tc>
          <w:tcPr/>
          <w:p>
            <w:pPr>
              <w:pStyle w:val="Compact"/>
              <w:jc w:val="right"/>
            </w:pPr>
            <w:r>
              <w:t xml:space="preserve">0.888</w:t>
            </w:r>
          </w:p>
        </w:tc>
        <w:tc>
          <w:tcPr/>
          <w:p>
            <w:pPr>
              <w:pStyle w:val="Compact"/>
              <w:jc w:val="right"/>
            </w:pPr>
            <w:r>
              <w:t xml:space="preserve">0.933</w:t>
            </w:r>
          </w:p>
        </w:tc>
        <w:tc>
          <w:tcPr/>
          <w:p>
            <w:pPr>
              <w:pStyle w:val="Compact"/>
              <w:jc w:val="right"/>
            </w:pPr>
            <w:r>
              <w:t xml:space="preserve">0.867</w:t>
            </w:r>
          </w:p>
        </w:tc>
        <w:tc>
          <w:tcPr/>
          <w:p>
            <w:pPr>
              <w:pStyle w:val="Compact"/>
              <w:jc w:val="right"/>
            </w:pPr>
            <w:r>
              <w:t xml:space="preserve">0.066</w:t>
            </w:r>
          </w:p>
        </w:tc>
      </w:tr>
      <w:tr>
        <w:tc>
          <w:tcPr/>
          <w:p>
            <w:pPr>
              <w:pStyle w:val="Compact"/>
              <w:jc w:val="left"/>
            </w:pPr>
            <w:r>
              <w:t xml:space="preserve">25</w:t>
            </w:r>
          </w:p>
        </w:tc>
        <w:tc>
          <w:tcPr/>
          <w:p>
            <w:pPr>
              <w:pStyle w:val="Compact"/>
              <w:jc w:val="left"/>
            </w:pPr>
            <w:r>
              <w:t xml:space="preserve">trt_misclass</w:t>
            </w:r>
          </w:p>
        </w:tc>
        <w:tc>
          <w:tcPr/>
          <w:p>
            <w:pPr>
              <w:pStyle w:val="Compact"/>
              <w:jc w:val="left"/>
            </w:pPr>
            <w:r>
              <w:t xml:space="preserve">sens0.90_spec0.95</w:t>
            </w:r>
          </w:p>
        </w:tc>
        <w:tc>
          <w:tcPr/>
          <w:p>
            <w:pPr>
              <w:pStyle w:val="Compact"/>
              <w:jc w:val="right"/>
            </w:pPr>
            <w:r>
              <w:t xml:space="preserve">0.0028</w:t>
            </w:r>
          </w:p>
        </w:tc>
        <w:tc>
          <w:tcPr/>
          <w:p>
            <w:pPr>
              <w:pStyle w:val="Compact"/>
              <w:jc w:val="right"/>
            </w:pPr>
            <w:r>
              <w:t xml:space="preserve">-0.00944</w:t>
            </w:r>
          </w:p>
        </w:tc>
        <w:tc>
          <w:tcPr/>
          <w:p>
            <w:pPr>
              <w:pStyle w:val="Compact"/>
              <w:jc w:val="right"/>
            </w:pPr>
            <w:r>
              <w:t xml:space="preserve">0.812</w:t>
            </w:r>
          </w:p>
        </w:tc>
        <w:tc>
          <w:tcPr/>
          <w:p>
            <w:pPr>
              <w:pStyle w:val="Compact"/>
              <w:jc w:val="right"/>
            </w:pPr>
            <w:r>
              <w:t xml:space="preserve">0.933</w:t>
            </w:r>
          </w:p>
        </w:tc>
        <w:tc>
          <w:tcPr/>
          <w:p>
            <w:pPr>
              <w:pStyle w:val="Compact"/>
              <w:jc w:val="right"/>
            </w:pPr>
            <w:r>
              <w:t xml:space="preserve">0.967</w:t>
            </w:r>
          </w:p>
        </w:tc>
        <w:tc>
          <w:tcPr/>
          <w:p>
            <w:pPr>
              <w:pStyle w:val="Compact"/>
              <w:jc w:val="right"/>
            </w:pPr>
            <w:r>
              <w:t xml:space="preserve">-0.034</w:t>
            </w:r>
          </w:p>
        </w:tc>
      </w:tr>
      <w:tr>
        <w:tc>
          <w:tcPr/>
          <w:p>
            <w:pPr>
              <w:pStyle w:val="Compact"/>
              <w:jc w:val="left"/>
            </w:pPr>
            <w:r>
              <w:t xml:space="preserve">28</w:t>
            </w:r>
          </w:p>
        </w:tc>
        <w:tc>
          <w:tcPr/>
          <w:p>
            <w:pPr>
              <w:pStyle w:val="Compact"/>
              <w:jc w:val="left"/>
            </w:pPr>
            <w:r>
              <w:t xml:space="preserve">out_misclass</w:t>
            </w:r>
          </w:p>
        </w:tc>
        <w:tc>
          <w:tcPr/>
          <w:p>
            <w:pPr>
              <w:pStyle w:val="Compact"/>
              <w:jc w:val="left"/>
            </w:pPr>
            <w:r>
              <w:t xml:space="preserve">sens0.95_spec0.99</w:t>
            </w:r>
          </w:p>
        </w:tc>
        <w:tc>
          <w:tcPr/>
          <w:p>
            <w:pPr>
              <w:pStyle w:val="Compact"/>
              <w:jc w:val="right"/>
            </w:pPr>
            <w:r>
              <w:t xml:space="preserve">0.0028</w:t>
            </w:r>
          </w:p>
        </w:tc>
        <w:tc>
          <w:tcPr/>
          <w:p>
            <w:pPr>
              <w:pStyle w:val="Compact"/>
              <w:jc w:val="right"/>
            </w:pPr>
            <w:r>
              <w:t xml:space="preserve">-0.00243</w:t>
            </w:r>
          </w:p>
        </w:tc>
        <w:tc>
          <w:tcPr/>
          <w:p>
            <w:pPr>
              <w:pStyle w:val="Compact"/>
              <w:jc w:val="right"/>
            </w:pPr>
            <w:r>
              <w:t xml:space="preserve">0.644</w:t>
            </w:r>
          </w:p>
        </w:tc>
        <w:tc>
          <w:tcPr/>
          <w:p>
            <w:pPr>
              <w:pStyle w:val="Compact"/>
              <w:jc w:val="right"/>
            </w:pPr>
            <w:r>
              <w:t xml:space="preserve">0.933</w:t>
            </w:r>
          </w:p>
        </w:tc>
        <w:tc>
          <w:tcPr/>
          <w:p>
            <w:pPr>
              <w:pStyle w:val="Compact"/>
              <w:jc w:val="right"/>
            </w:pPr>
            <w:r>
              <w:t xml:space="preserve">0.967</w:t>
            </w:r>
          </w:p>
        </w:tc>
        <w:tc>
          <w:tcPr/>
          <w:p>
            <w:pPr>
              <w:pStyle w:val="Compact"/>
              <w:jc w:val="right"/>
            </w:pPr>
            <w:r>
              <w:t xml:space="preserve">-0.034</w:t>
            </w:r>
          </w:p>
        </w:tc>
      </w:tr>
      <w:tr>
        <w:tc>
          <w:tcPr/>
          <w:p>
            <w:pPr>
              <w:pStyle w:val="Compact"/>
              <w:jc w:val="left"/>
            </w:pPr>
            <w:r>
              <w:t xml:space="preserve">31</w:t>
            </w:r>
          </w:p>
        </w:tc>
        <w:tc>
          <w:tcPr/>
          <w:p>
            <w:pPr>
              <w:pStyle w:val="Compact"/>
              <w:jc w:val="left"/>
            </w:pPr>
            <w:r>
              <w:t xml:space="preserve">out_misclass</w:t>
            </w:r>
          </w:p>
        </w:tc>
        <w:tc>
          <w:tcPr/>
          <w:p>
            <w:pPr>
              <w:pStyle w:val="Compact"/>
              <w:jc w:val="left"/>
            </w:pPr>
            <w:r>
              <w:t xml:space="preserve">sens0.90_spec0.95</w:t>
            </w:r>
          </w:p>
        </w:tc>
        <w:tc>
          <w:tcPr/>
          <w:p>
            <w:pPr>
              <w:pStyle w:val="Compact"/>
              <w:jc w:val="right"/>
            </w:pPr>
            <w:r>
              <w:t xml:space="preserve">0.0028</w:t>
            </w:r>
          </w:p>
        </w:tc>
        <w:tc>
          <w:tcPr/>
          <w:p>
            <w:pPr>
              <w:pStyle w:val="Compact"/>
              <w:jc w:val="right"/>
            </w:pPr>
            <w:r>
              <w:t xml:space="preserve">-0.01196</w:t>
            </w:r>
          </w:p>
        </w:tc>
        <w:tc>
          <w:tcPr/>
          <w:p>
            <w:pPr>
              <w:pStyle w:val="Compact"/>
              <w:jc w:val="right"/>
            </w:pPr>
            <w:r>
              <w:t xml:space="preserve">1.164</w:t>
            </w:r>
          </w:p>
        </w:tc>
        <w:tc>
          <w:tcPr/>
          <w:p>
            <w:pPr>
              <w:pStyle w:val="Compact"/>
              <w:jc w:val="right"/>
            </w:pPr>
            <w:r>
              <w:t xml:space="preserve">0.933</w:t>
            </w:r>
          </w:p>
        </w:tc>
        <w:tc>
          <w:tcPr/>
          <w:p>
            <w:pPr>
              <w:pStyle w:val="Compact"/>
              <w:jc w:val="right"/>
            </w:pPr>
            <w:r>
              <w:t xml:space="preserve">0.800</w:t>
            </w:r>
          </w:p>
        </w:tc>
        <w:tc>
          <w:tcPr/>
          <w:p>
            <w:pPr>
              <w:pStyle w:val="Compact"/>
              <w:jc w:val="right"/>
            </w:pPr>
            <w:r>
              <w:t xml:space="preserve">0.133</w:t>
            </w:r>
          </w:p>
        </w:tc>
      </w:tr>
      <w:tr>
        <w:tc>
          <w:tcPr/>
          <w:p>
            <w:pPr>
              <w:pStyle w:val="Compact"/>
              <w:jc w:val="left"/>
            </w:pPr>
            <w:r>
              <w:t xml:space="preserve">34</w:t>
            </w:r>
          </w:p>
        </w:tc>
        <w:tc>
          <w:tcPr/>
          <w:p>
            <w:pPr>
              <w:pStyle w:val="Compact"/>
              <w:jc w:val="left"/>
            </w:pPr>
            <w:r>
              <w:t xml:space="preserve">unmeasured_U</w:t>
            </w:r>
          </w:p>
        </w:tc>
        <w:tc>
          <w:tcPr/>
          <w:p>
            <w:pPr>
              <w:pStyle w:val="Compact"/>
              <w:jc w:val="left"/>
            </w:pPr>
            <w:r>
              <w:t xml:space="preserve">OR_trt2.0_out2.0</w:t>
            </w:r>
          </w:p>
        </w:tc>
        <w:tc>
          <w:tcPr/>
          <w:p>
            <w:pPr>
              <w:pStyle w:val="Compact"/>
              <w:jc w:val="right"/>
            </w:pPr>
            <w:r>
              <w:t xml:space="preserve">0.0028</w:t>
            </w:r>
          </w:p>
        </w:tc>
        <w:tc>
          <w:tcPr/>
          <w:p>
            <w:pPr>
              <w:pStyle w:val="Compact"/>
              <w:jc w:val="right"/>
            </w:pPr>
            <w:r>
              <w:t xml:space="preserve">0.01032</w:t>
            </w:r>
          </w:p>
        </w:tc>
        <w:tc>
          <w:tcPr/>
          <w:p>
            <w:pPr>
              <w:pStyle w:val="Compact"/>
              <w:jc w:val="right"/>
            </w:pPr>
            <w:r>
              <w:t xml:space="preserve">1.067</w:t>
            </w:r>
          </w:p>
        </w:tc>
        <w:tc>
          <w:tcPr/>
          <w:p>
            <w:pPr>
              <w:pStyle w:val="Compact"/>
              <w:jc w:val="right"/>
            </w:pPr>
            <w:r>
              <w:t xml:space="preserve">0.933</w:t>
            </w:r>
          </w:p>
        </w:tc>
        <w:tc>
          <w:tcPr/>
          <w:p>
            <w:pPr>
              <w:pStyle w:val="Compact"/>
              <w:jc w:val="right"/>
            </w:pPr>
            <w:r>
              <w:t xml:space="preserve">0.900</w:t>
            </w:r>
          </w:p>
        </w:tc>
        <w:tc>
          <w:tcPr/>
          <w:p>
            <w:pPr>
              <w:pStyle w:val="Compact"/>
              <w:jc w:val="right"/>
            </w:pPr>
            <w:r>
              <w:t xml:space="preserve">0.033</w:t>
            </w:r>
          </w:p>
        </w:tc>
      </w:tr>
      <w:tr>
        <w:tc>
          <w:tcPr/>
          <w:p>
            <w:pPr>
              <w:pStyle w:val="Compact"/>
              <w:jc w:val="left"/>
            </w:pPr>
            <w:r>
              <w:t xml:space="preserve">37</w:t>
            </w:r>
          </w:p>
        </w:tc>
        <w:tc>
          <w:tcPr/>
          <w:p>
            <w:pPr>
              <w:pStyle w:val="Compact"/>
              <w:jc w:val="left"/>
            </w:pPr>
            <w:r>
              <w:t xml:space="preserve">unmeasured_U</w:t>
            </w:r>
          </w:p>
        </w:tc>
        <w:tc>
          <w:tcPr/>
          <w:p>
            <w:pPr>
              <w:pStyle w:val="Compact"/>
              <w:jc w:val="left"/>
            </w:pPr>
            <w:r>
              <w:t xml:space="preserve">OR_trt3.0_out3.0</w:t>
            </w:r>
          </w:p>
        </w:tc>
        <w:tc>
          <w:tcPr/>
          <w:p>
            <w:pPr>
              <w:pStyle w:val="Compact"/>
              <w:jc w:val="right"/>
            </w:pPr>
            <w:r>
              <w:t xml:space="preserve">0.0028</w:t>
            </w:r>
          </w:p>
        </w:tc>
        <w:tc>
          <w:tcPr/>
          <w:p>
            <w:pPr>
              <w:pStyle w:val="Compact"/>
              <w:jc w:val="right"/>
            </w:pPr>
            <w:r>
              <w:t xml:space="preserve">0.02640</w:t>
            </w:r>
          </w:p>
        </w:tc>
        <w:tc>
          <w:tcPr/>
          <w:p>
            <w:pPr>
              <w:pStyle w:val="Compact"/>
              <w:jc w:val="right"/>
            </w:pPr>
            <w:r>
              <w:t xml:space="preserve">1.764</w:t>
            </w:r>
          </w:p>
        </w:tc>
        <w:tc>
          <w:tcPr/>
          <w:p>
            <w:pPr>
              <w:pStyle w:val="Compact"/>
              <w:jc w:val="right"/>
            </w:pPr>
            <w:r>
              <w:t xml:space="preserve">0.933</w:t>
            </w:r>
          </w:p>
        </w:tc>
        <w:tc>
          <w:tcPr/>
          <w:p>
            <w:pPr>
              <w:pStyle w:val="Compact"/>
              <w:jc w:val="right"/>
            </w:pPr>
            <w:r>
              <w:t xml:space="preserve">0.600</w:t>
            </w:r>
          </w:p>
        </w:tc>
        <w:tc>
          <w:tcPr/>
          <w:p>
            <w:pPr>
              <w:pStyle w:val="Compact"/>
              <w:jc w:val="right"/>
            </w:pPr>
            <w:r>
              <w:t xml:space="preserve">0.333</w:t>
            </w:r>
          </w:p>
        </w:tc>
      </w:tr>
      <w:tr>
        <w:tc>
          <w:tcPr/>
          <w:p>
            <w:pPr>
              <w:pStyle w:val="Compact"/>
              <w:jc w:val="left"/>
            </w:pPr>
            <w:r>
              <w:t xml:space="preserve">40</w:t>
            </w:r>
          </w:p>
        </w:tc>
        <w:tc>
          <w:tcPr/>
          <w:p>
            <w:pPr>
              <w:pStyle w:val="Compact"/>
              <w:jc w:val="left"/>
            </w:pPr>
            <w:r>
              <w:t xml:space="preserve">unmeasured_U</w:t>
            </w:r>
          </w:p>
        </w:tc>
        <w:tc>
          <w:tcPr/>
          <w:p>
            <w:pPr>
              <w:pStyle w:val="Compact"/>
              <w:jc w:val="left"/>
            </w:pPr>
            <w:r>
              <w:t xml:space="preserve">OR_trt4.0_out4.0</w:t>
            </w:r>
          </w:p>
        </w:tc>
        <w:tc>
          <w:tcPr/>
          <w:p>
            <w:pPr>
              <w:pStyle w:val="Compact"/>
              <w:jc w:val="right"/>
            </w:pPr>
            <w:r>
              <w:t xml:space="preserve">0.0028</w:t>
            </w:r>
          </w:p>
        </w:tc>
        <w:tc>
          <w:tcPr/>
          <w:p>
            <w:pPr>
              <w:pStyle w:val="Compact"/>
              <w:jc w:val="right"/>
            </w:pPr>
            <w:r>
              <w:t xml:space="preserve">0.04165</w:t>
            </w:r>
          </w:p>
        </w:tc>
        <w:tc>
          <w:tcPr/>
          <w:p>
            <w:pPr>
              <w:pStyle w:val="Compact"/>
              <w:jc w:val="right"/>
            </w:pPr>
            <w:r>
              <w:t xml:space="preserve">2.313</w:t>
            </w:r>
          </w:p>
        </w:tc>
        <w:tc>
          <w:tcPr/>
          <w:p>
            <w:pPr>
              <w:pStyle w:val="Compact"/>
              <w:jc w:val="right"/>
            </w:pPr>
            <w:r>
              <w:t xml:space="preserve">0.933</w:t>
            </w:r>
          </w:p>
        </w:tc>
        <w:tc>
          <w:tcPr/>
          <w:p>
            <w:pPr>
              <w:pStyle w:val="Compact"/>
              <w:jc w:val="right"/>
            </w:pPr>
            <w:r>
              <w:t xml:space="preserve">0.300</w:t>
            </w:r>
          </w:p>
        </w:tc>
        <w:tc>
          <w:tcPr/>
          <w:p>
            <w:pPr>
              <w:pStyle w:val="Compact"/>
              <w:jc w:val="right"/>
            </w:pPr>
            <w:r>
              <w:t xml:space="preserve">0.633</w:t>
            </w:r>
          </w:p>
        </w:tc>
      </w:tr>
      <w:tr>
        <w:tc>
          <w:tcPr/>
          <w:p>
            <w:pPr>
              <w:pStyle w:val="Compact"/>
              <w:jc w:val="left"/>
            </w:pPr>
            <w:r>
              <w:t xml:space="preserve">43</w:t>
            </w:r>
          </w:p>
        </w:tc>
        <w:tc>
          <w:tcPr/>
          <w:p>
            <w:pPr>
              <w:pStyle w:val="Compact"/>
              <w:jc w:val="left"/>
            </w:pPr>
            <w:r>
              <w:t xml:space="preserve">unmeasured_U</w:t>
            </w:r>
          </w:p>
        </w:tc>
        <w:tc>
          <w:tcPr/>
          <w:p>
            <w:pPr>
              <w:pStyle w:val="Compact"/>
              <w:jc w:val="left"/>
            </w:pPr>
            <w:r>
              <w:t xml:space="preserve">OR_trt6.0_out6.0</w:t>
            </w:r>
          </w:p>
        </w:tc>
        <w:tc>
          <w:tcPr/>
          <w:p>
            <w:pPr>
              <w:pStyle w:val="Compact"/>
              <w:jc w:val="right"/>
            </w:pPr>
            <w:r>
              <w:t xml:space="preserve">0.0028</w:t>
            </w:r>
          </w:p>
        </w:tc>
        <w:tc>
          <w:tcPr/>
          <w:p>
            <w:pPr>
              <w:pStyle w:val="Compact"/>
              <w:jc w:val="right"/>
            </w:pPr>
            <w:r>
              <w:t xml:space="preserve">0.07562</w:t>
            </w:r>
          </w:p>
        </w:tc>
        <w:tc>
          <w:tcPr/>
          <w:p>
            <w:pPr>
              <w:pStyle w:val="Compact"/>
              <w:jc w:val="right"/>
            </w:pPr>
            <w:r>
              <w:t xml:space="preserve">4.038</w:t>
            </w:r>
          </w:p>
        </w:tc>
        <w:tc>
          <w:tcPr/>
          <w:p>
            <w:pPr>
              <w:pStyle w:val="Compact"/>
              <w:jc w:val="right"/>
            </w:pPr>
            <w:r>
              <w:t xml:space="preserve">0.933</w:t>
            </w:r>
          </w:p>
        </w:tc>
        <w:tc>
          <w:tcPr/>
          <w:p>
            <w:pPr>
              <w:pStyle w:val="Compact"/>
              <w:jc w:val="right"/>
            </w:pPr>
            <w:r>
              <w:t xml:space="preserve">0.000</w:t>
            </w:r>
          </w:p>
        </w:tc>
        <w:tc>
          <w:tcPr/>
          <w:p>
            <w:pPr>
              <w:pStyle w:val="Compact"/>
              <w:jc w:val="right"/>
            </w:pPr>
            <w:r>
              <w:t xml:space="preserve">0.933</w:t>
            </w:r>
          </w:p>
        </w:tc>
      </w:tr>
      <w:tr>
        <w:tc>
          <w:tcPr/>
          <w:p>
            <w:pPr>
              <w:pStyle w:val="Compact"/>
              <w:jc w:val="left"/>
            </w:pPr>
            <w:r>
              <w:t xml:space="preserve">46</w:t>
            </w:r>
          </w:p>
        </w:tc>
        <w:tc>
          <w:tcPr/>
          <w:p>
            <w:pPr>
              <w:pStyle w:val="Compact"/>
              <w:jc w:val="left"/>
            </w:pPr>
            <w:r>
              <w:t xml:space="preserve">unmeasured_U</w:t>
            </w:r>
          </w:p>
        </w:tc>
        <w:tc>
          <w:tcPr/>
          <w:p>
            <w:pPr>
              <w:pStyle w:val="Compact"/>
              <w:jc w:val="left"/>
            </w:pPr>
            <w:r>
              <w:t xml:space="preserve">OR_trt8.0_out8.0</w:t>
            </w:r>
          </w:p>
        </w:tc>
        <w:tc>
          <w:tcPr/>
          <w:p>
            <w:pPr>
              <w:pStyle w:val="Compact"/>
              <w:jc w:val="right"/>
            </w:pPr>
            <w:r>
              <w:t xml:space="preserve">0.0028</w:t>
            </w:r>
          </w:p>
        </w:tc>
        <w:tc>
          <w:tcPr/>
          <w:p>
            <w:pPr>
              <w:pStyle w:val="Compact"/>
              <w:jc w:val="right"/>
            </w:pPr>
            <w:r>
              <w:t xml:space="preserve">0.09920</w:t>
            </w:r>
          </w:p>
        </w:tc>
        <w:tc>
          <w:tcPr/>
          <w:p>
            <w:pPr>
              <w:pStyle w:val="Compact"/>
              <w:jc w:val="right"/>
            </w:pPr>
            <w:r>
              <w:t xml:space="preserve">5.283</w:t>
            </w:r>
          </w:p>
        </w:tc>
        <w:tc>
          <w:tcPr/>
          <w:p>
            <w:pPr>
              <w:pStyle w:val="Compact"/>
              <w:jc w:val="right"/>
            </w:pPr>
            <w:r>
              <w:t xml:space="preserve">0.933</w:t>
            </w:r>
          </w:p>
        </w:tc>
        <w:tc>
          <w:tcPr/>
          <w:p>
            <w:pPr>
              <w:pStyle w:val="Compact"/>
              <w:jc w:val="right"/>
            </w:pPr>
            <w:r>
              <w:t xml:space="preserve">0.000</w:t>
            </w:r>
          </w:p>
        </w:tc>
        <w:tc>
          <w:tcPr/>
          <w:p>
            <w:pPr>
              <w:pStyle w:val="Compact"/>
              <w:jc w:val="right"/>
            </w:pPr>
            <w:r>
              <w:t xml:space="preserve">0.933</w:t>
            </w:r>
          </w:p>
        </w:tc>
      </w:tr>
      <w:tr>
        <w:tc>
          <w:tcPr/>
          <w:p>
            <w:pPr>
              <w:pStyle w:val="Compact"/>
              <w:jc w:val="left"/>
            </w:pPr>
            <w:r>
              <w:t xml:space="preserve">49</w:t>
            </w:r>
          </w:p>
        </w:tc>
        <w:tc>
          <w:tcPr/>
          <w:p>
            <w:pPr>
              <w:pStyle w:val="Compact"/>
              <w:jc w:val="left"/>
            </w:pPr>
            <w:r>
              <w:t xml:space="preserve">near_positivity</w:t>
            </w:r>
          </w:p>
        </w:tc>
        <w:tc>
          <w:tcPr/>
          <w:p>
            <w:pPr>
              <w:pStyle w:val="Compact"/>
              <w:jc w:val="left"/>
            </w:pPr>
            <w:r>
              <w:t xml:space="preserve">slope_x2.0</w:t>
            </w:r>
          </w:p>
        </w:tc>
        <w:tc>
          <w:tcPr/>
          <w:p>
            <w:pPr>
              <w:pStyle w:val="Compact"/>
              <w:jc w:val="right"/>
            </w:pPr>
            <w:r>
              <w:t xml:space="preserve">0.0028</w:t>
            </w:r>
          </w:p>
        </w:tc>
        <w:tc>
          <w:tcPr/>
          <w:p>
            <w:pPr>
              <w:pStyle w:val="Compact"/>
              <w:jc w:val="right"/>
            </w:pPr>
            <w:r>
              <w:t xml:space="preserve">0.00293</w:t>
            </w:r>
          </w:p>
        </w:tc>
        <w:tc>
          <w:tcPr/>
          <w:p>
            <w:pPr>
              <w:pStyle w:val="Compact"/>
              <w:jc w:val="right"/>
            </w:pPr>
            <w:r>
              <w:t xml:space="preserve">1.002</w:t>
            </w:r>
          </w:p>
        </w:tc>
        <w:tc>
          <w:tcPr/>
          <w:p>
            <w:pPr>
              <w:pStyle w:val="Compact"/>
              <w:jc w:val="right"/>
            </w:pPr>
            <w:r>
              <w:t xml:space="preserve">0.933</w:t>
            </w:r>
          </w:p>
        </w:tc>
        <w:tc>
          <w:tcPr/>
          <w:p>
            <w:pPr>
              <w:pStyle w:val="Compact"/>
              <w:jc w:val="right"/>
            </w:pPr>
            <w:r>
              <w:t xml:space="preserve">0.867</w:t>
            </w:r>
          </w:p>
        </w:tc>
        <w:tc>
          <w:tcPr/>
          <w:p>
            <w:pPr>
              <w:pStyle w:val="Compact"/>
              <w:jc w:val="right"/>
            </w:pPr>
            <w:r>
              <w:t xml:space="preserve">0.066</w:t>
            </w:r>
          </w:p>
        </w:tc>
      </w:tr>
      <w:tr>
        <w:tc>
          <w:tcPr/>
          <w:p>
            <w:pPr>
              <w:pStyle w:val="Compact"/>
              <w:jc w:val="left"/>
            </w:pPr>
            <w:r>
              <w:t xml:space="preserve">52</w:t>
            </w:r>
          </w:p>
        </w:tc>
        <w:tc>
          <w:tcPr/>
          <w:p>
            <w:pPr>
              <w:pStyle w:val="Compact"/>
              <w:jc w:val="left"/>
            </w:pPr>
            <w:r>
              <w:t xml:space="preserve">near_positivity</w:t>
            </w:r>
          </w:p>
        </w:tc>
        <w:tc>
          <w:tcPr/>
          <w:p>
            <w:pPr>
              <w:pStyle w:val="Compact"/>
              <w:jc w:val="left"/>
            </w:pPr>
            <w:r>
              <w:t xml:space="preserve">slope_x3.0</w:t>
            </w:r>
          </w:p>
        </w:tc>
        <w:tc>
          <w:tcPr/>
          <w:p>
            <w:pPr>
              <w:pStyle w:val="Compact"/>
              <w:jc w:val="right"/>
            </w:pPr>
            <w:r>
              <w:t xml:space="preserve">0.0028</w:t>
            </w:r>
          </w:p>
        </w:tc>
        <w:tc>
          <w:tcPr/>
          <w:p>
            <w:pPr>
              <w:pStyle w:val="Compact"/>
              <w:jc w:val="right"/>
            </w:pPr>
            <w:r>
              <w:t xml:space="preserve">-0.00103</w:t>
            </w:r>
          </w:p>
        </w:tc>
        <w:tc>
          <w:tcPr/>
          <w:p>
            <w:pPr>
              <w:pStyle w:val="Compact"/>
              <w:jc w:val="right"/>
            </w:pPr>
            <w:r>
              <w:t xml:space="preserve">0.855</w:t>
            </w:r>
          </w:p>
        </w:tc>
        <w:tc>
          <w:tcPr/>
          <w:p>
            <w:pPr>
              <w:pStyle w:val="Compact"/>
              <w:jc w:val="right"/>
            </w:pPr>
            <w:r>
              <w:t xml:space="preserve">0.933</w:t>
            </w:r>
          </w:p>
        </w:tc>
        <w:tc>
          <w:tcPr/>
          <w:p>
            <w:pPr>
              <w:pStyle w:val="Compact"/>
              <w:jc w:val="right"/>
            </w:pPr>
            <w:r>
              <w:t xml:space="preserve">0.967</w:t>
            </w:r>
          </w:p>
        </w:tc>
        <w:tc>
          <w:tcPr/>
          <w:p>
            <w:pPr>
              <w:pStyle w:val="Compact"/>
              <w:jc w:val="right"/>
            </w:pPr>
            <w:r>
              <w:t xml:space="preserve">-0.034</w:t>
            </w:r>
          </w:p>
        </w:tc>
      </w:tr>
      <w:tr>
        <w:tc>
          <w:tcPr/>
          <w:p>
            <w:pPr>
              <w:pStyle w:val="Compact"/>
              <w:jc w:val="left"/>
            </w:pPr>
            <w:r>
              <w:t xml:space="preserve">55</w:t>
            </w:r>
          </w:p>
        </w:tc>
        <w:tc>
          <w:tcPr/>
          <w:p>
            <w:pPr>
              <w:pStyle w:val="Compact"/>
              <w:jc w:val="left"/>
            </w:pPr>
            <w:r>
              <w:t xml:space="preserve">near_positivity</w:t>
            </w:r>
          </w:p>
        </w:tc>
        <w:tc>
          <w:tcPr/>
          <w:p>
            <w:pPr>
              <w:pStyle w:val="Compact"/>
              <w:jc w:val="left"/>
            </w:pPr>
            <w:r>
              <w:t xml:space="preserve">slope_x4.0</w:t>
            </w:r>
          </w:p>
        </w:tc>
        <w:tc>
          <w:tcPr/>
          <w:p>
            <w:pPr>
              <w:pStyle w:val="Compact"/>
              <w:jc w:val="right"/>
            </w:pPr>
            <w:r>
              <w:t xml:space="preserve">0.0028</w:t>
            </w:r>
          </w:p>
        </w:tc>
        <w:tc>
          <w:tcPr/>
          <w:p>
            <w:pPr>
              <w:pStyle w:val="Compact"/>
              <w:jc w:val="right"/>
            </w:pPr>
            <w:r>
              <w:t xml:space="preserve">-0.00279</w:t>
            </w:r>
          </w:p>
        </w:tc>
        <w:tc>
          <w:tcPr/>
          <w:p>
            <w:pPr>
              <w:pStyle w:val="Compact"/>
              <w:jc w:val="right"/>
            </w:pPr>
            <w:r>
              <w:t xml:space="preserve">1.013</w:t>
            </w:r>
          </w:p>
        </w:tc>
        <w:tc>
          <w:tcPr/>
          <w:p>
            <w:pPr>
              <w:pStyle w:val="Compact"/>
              <w:jc w:val="right"/>
            </w:pPr>
            <w:r>
              <w:t xml:space="preserve">0.933</w:t>
            </w:r>
          </w:p>
        </w:tc>
        <w:tc>
          <w:tcPr/>
          <w:p>
            <w:pPr>
              <w:pStyle w:val="Compact"/>
              <w:jc w:val="right"/>
            </w:pPr>
            <w:r>
              <w:t xml:space="preserve">0.933</w:t>
            </w:r>
          </w:p>
        </w:tc>
        <w:tc>
          <w:tcPr/>
          <w:p>
            <w:pPr>
              <w:pStyle w:val="Compact"/>
              <w:jc w:val="right"/>
            </w:pPr>
            <w:r>
              <w:t xml:space="preserve">0.000</w:t>
            </w:r>
          </w:p>
        </w:tc>
      </w:tr>
    </w:tbl>
    <w:bookmarkEnd w:id="98"/>
    <w:bookmarkStart w:id="99" w:name="scenario-b-marginal-overlap"/>
    <w:p>
      <w:pPr>
        <w:pStyle w:val="Heading3"/>
      </w:pPr>
      <w:r>
        <w:t xml:space="preserve">10.3.2 Scenario B: Marginal Overlap</w:t>
      </w:r>
    </w:p>
    <w:p>
      <w:pPr>
        <w:pStyle w:val="FirstParagraph"/>
      </w:pPr>
      <w:r>
        <w:t xml:space="preserve">Selected candidate:</w:t>
      </w:r>
      <w:r>
        <w:t xml:space="preserve"> </w:t>
      </w:r>
      <w:r>
        <w:rPr>
          <w:rStyle w:val="VerbatimChar"/>
        </w:rPr>
        <w:t xml:space="preserve">robust</w:t>
      </w:r>
    </w:p>
    <w:p>
      <w:pPr>
        <w:pStyle w:val="TableCaption"/>
      </w:pPr>
      <w:r>
        <w:t xml:space="preserve">DQ degradation: Scenario B: Marginal Overlap (candidate: robust)</w:t>
      </w:r>
    </w:p>
    <w:tbl>
      <w:tblPr>
        <w:tblStyle w:val="Table"/>
        <w:tblW w:type="pct" w:w="5000"/>
        <w:tblLayout w:type="fixed"/>
        <w:tblLook w:firstRow="1" w:lastRow="0" w:firstColumn="0" w:lastColumn="0" w:noHBand="0" w:noVBand="0" w:val="0020"/>
        <w:tblCaption w:val="DQ degradation: Scenario B: Marginal Overlap (candidate: robust)"/>
      </w:tblPr>
      <w:tblGrid>
        <w:gridCol w:w="214"/>
        <w:gridCol w:w="1141"/>
        <w:gridCol w:w="1284"/>
        <w:gridCol w:w="998"/>
        <w:gridCol w:w="998"/>
        <w:gridCol w:w="784"/>
        <w:gridCol w:w="927"/>
        <w:gridCol w:w="927"/>
        <w:gridCol w:w="642"/>
      </w:tblGrid>
      <w:tr>
        <w:trPr>
          <w:tblHeader w:val="on"/>
        </w:trPr>
        <w:tc>
          <w:tcPr/>
          <w:p>
            <w:pPr>
              <w:pStyle w:val="Compact"/>
            </w:pPr>
          </w:p>
        </w:tc>
        <w:tc>
          <w:tcPr/>
          <w:p>
            <w:pPr>
              <w:pStyle w:val="Compact"/>
              <w:jc w:val="left"/>
            </w:pPr>
            <w:r>
              <w:t xml:space="preserve">scenario</w:t>
            </w:r>
          </w:p>
        </w:tc>
        <w:tc>
          <w:tcPr/>
          <w:p>
            <w:pPr>
              <w:pStyle w:val="Compact"/>
              <w:jc w:val="left"/>
            </w:pPr>
            <w:r>
              <w:t xml:space="preserve">level</w:t>
            </w:r>
          </w:p>
        </w:tc>
        <w:tc>
          <w:tcPr/>
          <w:p>
            <w:pPr>
              <w:pStyle w:val="Compact"/>
              <w:jc w:val="right"/>
            </w:pPr>
            <w:r>
              <w:t xml:space="preserve">bias_baseline</w:t>
            </w:r>
          </w:p>
        </w:tc>
        <w:tc>
          <w:tcPr/>
          <w:p>
            <w:pPr>
              <w:pStyle w:val="Compact"/>
              <w:jc w:val="right"/>
            </w:pPr>
            <w:r>
              <w:t xml:space="preserve">bias_degraded</w:t>
            </w:r>
          </w:p>
        </w:tc>
        <w:tc>
          <w:tcPr/>
          <w:p>
            <w:pPr>
              <w:pStyle w:val="Compact"/>
              <w:jc w:val="right"/>
            </w:pPr>
            <w:r>
              <w:t xml:space="preserve">rmse_ratio</w:t>
            </w:r>
          </w:p>
        </w:tc>
        <w:tc>
          <w:tcPr/>
          <w:p>
            <w:pPr>
              <w:pStyle w:val="Compact"/>
              <w:jc w:val="right"/>
            </w:pPr>
            <w:r>
              <w:t xml:space="preserve">cov_baseline</w:t>
            </w:r>
          </w:p>
        </w:tc>
        <w:tc>
          <w:tcPr/>
          <w:p>
            <w:pPr>
              <w:pStyle w:val="Compact"/>
              <w:jc w:val="right"/>
            </w:pPr>
            <w:r>
              <w:t xml:space="preserve">cov_degraded</w:t>
            </w:r>
          </w:p>
        </w:tc>
        <w:tc>
          <w:tcPr/>
          <w:p>
            <w:pPr>
              <w:pStyle w:val="Compact"/>
              <w:jc w:val="right"/>
            </w:pPr>
            <w:r>
              <w:t xml:space="preserve">cov_drop</w:t>
            </w:r>
          </w:p>
        </w:tc>
      </w:tr>
      <w:tr>
        <w:tc>
          <w:tcPr/>
          <w:p>
            <w:pPr>
              <w:pStyle w:val="Compact"/>
              <w:jc w:val="left"/>
            </w:pPr>
            <w:r>
              <w:t xml:space="preserve">3</w:t>
            </w:r>
          </w:p>
        </w:tc>
        <w:tc>
          <w:tcPr/>
          <w:p>
            <w:pPr>
              <w:pStyle w:val="Compact"/>
              <w:jc w:val="left"/>
            </w:pPr>
            <w:r>
              <w:t xml:space="preserve">cov_miss</w:t>
            </w:r>
          </w:p>
        </w:tc>
        <w:tc>
          <w:tcPr/>
          <w:p>
            <w:pPr>
              <w:pStyle w:val="Compact"/>
              <w:jc w:val="left"/>
            </w:pPr>
            <w:r>
              <w:t xml:space="preserve">0.05</w:t>
            </w:r>
          </w:p>
        </w:tc>
        <w:tc>
          <w:tcPr/>
          <w:p>
            <w:pPr>
              <w:pStyle w:val="Compact"/>
              <w:jc w:val="right"/>
            </w:pPr>
            <w:r>
              <w:t xml:space="preserve">-0.00038</w:t>
            </w:r>
          </w:p>
        </w:tc>
        <w:tc>
          <w:tcPr/>
          <w:p>
            <w:pPr>
              <w:pStyle w:val="Compact"/>
              <w:jc w:val="right"/>
            </w:pPr>
            <w:r>
              <w:t xml:space="preserve">0.00514</w:t>
            </w:r>
          </w:p>
        </w:tc>
        <w:tc>
          <w:tcPr/>
          <w:p>
            <w:pPr>
              <w:pStyle w:val="Compact"/>
              <w:jc w:val="right"/>
            </w:pPr>
            <w:r>
              <w:t xml:space="preserve">0.965</w:t>
            </w:r>
          </w:p>
        </w:tc>
        <w:tc>
          <w:tcPr/>
          <w:p>
            <w:pPr>
              <w:pStyle w:val="Compact"/>
              <w:jc w:val="right"/>
            </w:pPr>
            <w:r>
              <w:t xml:space="preserve">0.967</w:t>
            </w:r>
          </w:p>
        </w:tc>
        <w:tc>
          <w:tcPr/>
          <w:p>
            <w:pPr>
              <w:pStyle w:val="Compact"/>
              <w:jc w:val="right"/>
            </w:pPr>
            <w:r>
              <w:t xml:space="preserve">0.933</w:t>
            </w:r>
          </w:p>
        </w:tc>
        <w:tc>
          <w:tcPr/>
          <w:p>
            <w:pPr>
              <w:pStyle w:val="Compact"/>
              <w:jc w:val="right"/>
            </w:pPr>
            <w:r>
              <w:t xml:space="preserve">0.034</w:t>
            </w:r>
          </w:p>
        </w:tc>
      </w:tr>
      <w:tr>
        <w:tc>
          <w:tcPr/>
          <w:p>
            <w:pPr>
              <w:pStyle w:val="Compact"/>
              <w:jc w:val="left"/>
            </w:pPr>
            <w:r>
              <w:t xml:space="preserve">6</w:t>
            </w:r>
          </w:p>
        </w:tc>
        <w:tc>
          <w:tcPr/>
          <w:p>
            <w:pPr>
              <w:pStyle w:val="Compact"/>
              <w:jc w:val="left"/>
            </w:pPr>
            <w:r>
              <w:t xml:space="preserve">cov_miss</w:t>
            </w:r>
          </w:p>
        </w:tc>
        <w:tc>
          <w:tcPr/>
          <w:p>
            <w:pPr>
              <w:pStyle w:val="Compact"/>
              <w:jc w:val="left"/>
            </w:pPr>
            <w:r>
              <w:t xml:space="preserve">0.1</w:t>
            </w:r>
          </w:p>
        </w:tc>
        <w:tc>
          <w:tcPr/>
          <w:p>
            <w:pPr>
              <w:pStyle w:val="Compact"/>
              <w:jc w:val="right"/>
            </w:pPr>
            <w:r>
              <w:t xml:space="preserve">-0.00038</w:t>
            </w:r>
          </w:p>
        </w:tc>
        <w:tc>
          <w:tcPr/>
          <w:p>
            <w:pPr>
              <w:pStyle w:val="Compact"/>
              <w:jc w:val="right"/>
            </w:pPr>
            <w:r>
              <w:t xml:space="preserve">0.00631</w:t>
            </w:r>
          </w:p>
        </w:tc>
        <w:tc>
          <w:tcPr/>
          <w:p>
            <w:pPr>
              <w:pStyle w:val="Compact"/>
              <w:jc w:val="right"/>
            </w:pPr>
            <w:r>
              <w:t xml:space="preserve">1.274</w:t>
            </w:r>
          </w:p>
        </w:tc>
        <w:tc>
          <w:tcPr/>
          <w:p>
            <w:pPr>
              <w:pStyle w:val="Compact"/>
              <w:jc w:val="right"/>
            </w:pPr>
            <w:r>
              <w:t xml:space="preserve">0.967</w:t>
            </w:r>
          </w:p>
        </w:tc>
        <w:tc>
          <w:tcPr/>
          <w:p>
            <w:pPr>
              <w:pStyle w:val="Compact"/>
              <w:jc w:val="right"/>
            </w:pPr>
            <w:r>
              <w:t xml:space="preserve">0.867</w:t>
            </w:r>
          </w:p>
        </w:tc>
        <w:tc>
          <w:tcPr/>
          <w:p>
            <w:pPr>
              <w:pStyle w:val="Compact"/>
              <w:jc w:val="right"/>
            </w:pPr>
            <w:r>
              <w:t xml:space="preserve">0.100</w:t>
            </w:r>
          </w:p>
        </w:tc>
      </w:tr>
      <w:tr>
        <w:tc>
          <w:tcPr/>
          <w:p>
            <w:pPr>
              <w:pStyle w:val="Compact"/>
              <w:jc w:val="left"/>
            </w:pPr>
            <w:r>
              <w:t xml:space="preserve">9</w:t>
            </w:r>
          </w:p>
        </w:tc>
        <w:tc>
          <w:tcPr/>
          <w:p>
            <w:pPr>
              <w:pStyle w:val="Compact"/>
              <w:jc w:val="left"/>
            </w:pPr>
            <w:r>
              <w:t xml:space="preserve">cov_miss</w:t>
            </w:r>
          </w:p>
        </w:tc>
        <w:tc>
          <w:tcPr/>
          <w:p>
            <w:pPr>
              <w:pStyle w:val="Compact"/>
              <w:jc w:val="left"/>
            </w:pPr>
            <w:r>
              <w:t xml:space="preserve">0.2</w:t>
            </w:r>
          </w:p>
        </w:tc>
        <w:tc>
          <w:tcPr/>
          <w:p>
            <w:pPr>
              <w:pStyle w:val="Compact"/>
              <w:jc w:val="right"/>
            </w:pPr>
            <w:r>
              <w:t xml:space="preserve">-0.00038</w:t>
            </w:r>
          </w:p>
        </w:tc>
        <w:tc>
          <w:tcPr/>
          <w:p>
            <w:pPr>
              <w:pStyle w:val="Compact"/>
              <w:jc w:val="right"/>
            </w:pPr>
            <w:r>
              <w:t xml:space="preserve">0.00978</w:t>
            </w:r>
          </w:p>
        </w:tc>
        <w:tc>
          <w:tcPr/>
          <w:p>
            <w:pPr>
              <w:pStyle w:val="Compact"/>
              <w:jc w:val="right"/>
            </w:pPr>
            <w:r>
              <w:t xml:space="preserve">1.395</w:t>
            </w:r>
          </w:p>
        </w:tc>
        <w:tc>
          <w:tcPr/>
          <w:p>
            <w:pPr>
              <w:pStyle w:val="Compact"/>
              <w:jc w:val="right"/>
            </w:pPr>
            <w:r>
              <w:t xml:space="preserve">0.967</w:t>
            </w:r>
          </w:p>
        </w:tc>
        <w:tc>
          <w:tcPr/>
          <w:p>
            <w:pPr>
              <w:pStyle w:val="Compact"/>
              <w:jc w:val="right"/>
            </w:pPr>
            <w:r>
              <w:t xml:space="preserve">0.867</w:t>
            </w:r>
          </w:p>
        </w:tc>
        <w:tc>
          <w:tcPr/>
          <w:p>
            <w:pPr>
              <w:pStyle w:val="Compact"/>
              <w:jc w:val="right"/>
            </w:pPr>
            <w:r>
              <w:t xml:space="preserve">0.100</w:t>
            </w:r>
          </w:p>
        </w:tc>
      </w:tr>
      <w:tr>
        <w:tc>
          <w:tcPr/>
          <w:p>
            <w:pPr>
              <w:pStyle w:val="Compact"/>
              <w:jc w:val="left"/>
            </w:pPr>
            <w:r>
              <w:t xml:space="preserve">12</w:t>
            </w:r>
          </w:p>
        </w:tc>
        <w:tc>
          <w:tcPr/>
          <w:p>
            <w:pPr>
              <w:pStyle w:val="Compact"/>
              <w:jc w:val="left"/>
            </w:pPr>
            <w:r>
              <w:t xml:space="preserve">cov_miss_mar</w:t>
            </w:r>
          </w:p>
        </w:tc>
        <w:tc>
          <w:tcPr/>
          <w:p>
            <w:pPr>
              <w:pStyle w:val="Compact"/>
              <w:jc w:val="left"/>
            </w:pPr>
            <w:r>
              <w:t xml:space="preserve">0.1</w:t>
            </w:r>
          </w:p>
        </w:tc>
        <w:tc>
          <w:tcPr/>
          <w:p>
            <w:pPr>
              <w:pStyle w:val="Compact"/>
              <w:jc w:val="right"/>
            </w:pPr>
            <w:r>
              <w:t xml:space="preserve">-0.00038</w:t>
            </w:r>
          </w:p>
        </w:tc>
        <w:tc>
          <w:tcPr/>
          <w:p>
            <w:pPr>
              <w:pStyle w:val="Compact"/>
              <w:jc w:val="right"/>
            </w:pPr>
            <w:r>
              <w:t xml:space="preserve">0.01368</w:t>
            </w:r>
          </w:p>
        </w:tc>
        <w:tc>
          <w:tcPr/>
          <w:p>
            <w:pPr>
              <w:pStyle w:val="Compact"/>
              <w:jc w:val="right"/>
            </w:pPr>
            <w:r>
              <w:t xml:space="preserve">1.289</w:t>
            </w:r>
          </w:p>
        </w:tc>
        <w:tc>
          <w:tcPr/>
          <w:p>
            <w:pPr>
              <w:pStyle w:val="Compact"/>
              <w:jc w:val="right"/>
            </w:pPr>
            <w:r>
              <w:t xml:space="preserve">0.967</w:t>
            </w:r>
          </w:p>
        </w:tc>
        <w:tc>
          <w:tcPr/>
          <w:p>
            <w:pPr>
              <w:pStyle w:val="Compact"/>
              <w:jc w:val="right"/>
            </w:pPr>
            <w:r>
              <w:t xml:space="preserve">0.833</w:t>
            </w:r>
          </w:p>
        </w:tc>
        <w:tc>
          <w:tcPr/>
          <w:p>
            <w:pPr>
              <w:pStyle w:val="Compact"/>
              <w:jc w:val="right"/>
            </w:pPr>
            <w:r>
              <w:t xml:space="preserve">0.134</w:t>
            </w:r>
          </w:p>
        </w:tc>
      </w:tr>
      <w:tr>
        <w:tc>
          <w:tcPr/>
          <w:p>
            <w:pPr>
              <w:pStyle w:val="Compact"/>
              <w:jc w:val="left"/>
            </w:pPr>
            <w:r>
              <w:t xml:space="preserve">15</w:t>
            </w:r>
          </w:p>
        </w:tc>
        <w:tc>
          <w:tcPr/>
          <w:p>
            <w:pPr>
              <w:pStyle w:val="Compact"/>
              <w:jc w:val="left"/>
            </w:pPr>
            <w:r>
              <w:t xml:space="preserve">cov_miss_mar</w:t>
            </w:r>
          </w:p>
        </w:tc>
        <w:tc>
          <w:tcPr/>
          <w:p>
            <w:pPr>
              <w:pStyle w:val="Compact"/>
              <w:jc w:val="left"/>
            </w:pPr>
            <w:r>
              <w:t xml:space="preserve">0.2</w:t>
            </w:r>
          </w:p>
        </w:tc>
        <w:tc>
          <w:tcPr/>
          <w:p>
            <w:pPr>
              <w:pStyle w:val="Compact"/>
              <w:jc w:val="right"/>
            </w:pPr>
            <w:r>
              <w:t xml:space="preserve">-0.00038</w:t>
            </w:r>
          </w:p>
        </w:tc>
        <w:tc>
          <w:tcPr/>
          <w:p>
            <w:pPr>
              <w:pStyle w:val="Compact"/>
              <w:jc w:val="right"/>
            </w:pPr>
            <w:r>
              <w:t xml:space="preserve">0.01438</w:t>
            </w:r>
          </w:p>
        </w:tc>
        <w:tc>
          <w:tcPr/>
          <w:p>
            <w:pPr>
              <w:pStyle w:val="Compact"/>
              <w:jc w:val="right"/>
            </w:pPr>
            <w:r>
              <w:t xml:space="preserve">1.486</w:t>
            </w:r>
          </w:p>
        </w:tc>
        <w:tc>
          <w:tcPr/>
          <w:p>
            <w:pPr>
              <w:pStyle w:val="Compact"/>
              <w:jc w:val="right"/>
            </w:pPr>
            <w:r>
              <w:t xml:space="preserve">0.967</w:t>
            </w:r>
          </w:p>
        </w:tc>
        <w:tc>
          <w:tcPr/>
          <w:p>
            <w:pPr>
              <w:pStyle w:val="Compact"/>
              <w:jc w:val="right"/>
            </w:pPr>
            <w:r>
              <w:t xml:space="preserve">0.833</w:t>
            </w:r>
          </w:p>
        </w:tc>
        <w:tc>
          <w:tcPr/>
          <w:p>
            <w:pPr>
              <w:pStyle w:val="Compact"/>
              <w:jc w:val="right"/>
            </w:pPr>
            <w:r>
              <w:t xml:space="preserve">0.134</w:t>
            </w:r>
          </w:p>
        </w:tc>
      </w:tr>
      <w:tr>
        <w:tc>
          <w:tcPr/>
          <w:p>
            <w:pPr>
              <w:pStyle w:val="Compact"/>
              <w:jc w:val="left"/>
            </w:pPr>
            <w:r>
              <w:t xml:space="preserve">18</w:t>
            </w:r>
          </w:p>
        </w:tc>
        <w:tc>
          <w:tcPr/>
          <w:p>
            <w:pPr>
              <w:pStyle w:val="Compact"/>
              <w:jc w:val="left"/>
            </w:pPr>
            <w:r>
              <w:t xml:space="preserve">cov_miss_mnar</w:t>
            </w:r>
          </w:p>
        </w:tc>
        <w:tc>
          <w:tcPr/>
          <w:p>
            <w:pPr>
              <w:pStyle w:val="Compact"/>
              <w:jc w:val="left"/>
            </w:pPr>
            <w:r>
              <w:t xml:space="preserve">0.1</w:t>
            </w:r>
          </w:p>
        </w:tc>
        <w:tc>
          <w:tcPr/>
          <w:p>
            <w:pPr>
              <w:pStyle w:val="Compact"/>
              <w:jc w:val="right"/>
            </w:pPr>
            <w:r>
              <w:t xml:space="preserve">-0.00038</w:t>
            </w:r>
          </w:p>
        </w:tc>
        <w:tc>
          <w:tcPr/>
          <w:p>
            <w:pPr>
              <w:pStyle w:val="Compact"/>
              <w:jc w:val="right"/>
            </w:pPr>
            <w:r>
              <w:t xml:space="preserve">0.00882</w:t>
            </w:r>
          </w:p>
        </w:tc>
        <w:tc>
          <w:tcPr/>
          <w:p>
            <w:pPr>
              <w:pStyle w:val="Compact"/>
              <w:jc w:val="right"/>
            </w:pPr>
            <w:r>
              <w:t xml:space="preserve">1.052</w:t>
            </w:r>
          </w:p>
        </w:tc>
        <w:tc>
          <w:tcPr/>
          <w:p>
            <w:pPr>
              <w:pStyle w:val="Compact"/>
              <w:jc w:val="right"/>
            </w:pPr>
            <w:r>
              <w:t xml:space="preserve">0.967</w:t>
            </w:r>
          </w:p>
        </w:tc>
        <w:tc>
          <w:tcPr/>
          <w:p>
            <w:pPr>
              <w:pStyle w:val="Compact"/>
              <w:jc w:val="right"/>
            </w:pPr>
            <w:r>
              <w:t xml:space="preserve">0.967</w:t>
            </w:r>
          </w:p>
        </w:tc>
        <w:tc>
          <w:tcPr/>
          <w:p>
            <w:pPr>
              <w:pStyle w:val="Compact"/>
              <w:jc w:val="right"/>
            </w:pPr>
            <w:r>
              <w:t xml:space="preserve">0.000</w:t>
            </w:r>
          </w:p>
        </w:tc>
      </w:tr>
      <w:tr>
        <w:tc>
          <w:tcPr/>
          <w:p>
            <w:pPr>
              <w:pStyle w:val="Compact"/>
              <w:jc w:val="left"/>
            </w:pPr>
            <w:r>
              <w:t xml:space="preserve">21</w:t>
            </w:r>
          </w:p>
        </w:tc>
        <w:tc>
          <w:tcPr/>
          <w:p>
            <w:pPr>
              <w:pStyle w:val="Compact"/>
              <w:jc w:val="left"/>
            </w:pPr>
            <w:r>
              <w:t xml:space="preserve">cov_miss_mnar</w:t>
            </w:r>
          </w:p>
        </w:tc>
        <w:tc>
          <w:tcPr/>
          <w:p>
            <w:pPr>
              <w:pStyle w:val="Compact"/>
              <w:jc w:val="left"/>
            </w:pPr>
            <w:r>
              <w:t xml:space="preserve">0.2</w:t>
            </w:r>
          </w:p>
        </w:tc>
        <w:tc>
          <w:tcPr/>
          <w:p>
            <w:pPr>
              <w:pStyle w:val="Compact"/>
              <w:jc w:val="right"/>
            </w:pPr>
            <w:r>
              <w:t xml:space="preserve">-0.00038</w:t>
            </w:r>
          </w:p>
        </w:tc>
        <w:tc>
          <w:tcPr/>
          <w:p>
            <w:pPr>
              <w:pStyle w:val="Compact"/>
              <w:jc w:val="right"/>
            </w:pPr>
            <w:r>
              <w:t xml:space="preserve">0.02017</w:t>
            </w:r>
          </w:p>
        </w:tc>
        <w:tc>
          <w:tcPr/>
          <w:p>
            <w:pPr>
              <w:pStyle w:val="Compact"/>
              <w:jc w:val="right"/>
            </w:pPr>
            <w:r>
              <w:t xml:space="preserve">1.679</w:t>
            </w:r>
          </w:p>
        </w:tc>
        <w:tc>
          <w:tcPr/>
          <w:p>
            <w:pPr>
              <w:pStyle w:val="Compact"/>
              <w:jc w:val="right"/>
            </w:pPr>
            <w:r>
              <w:t xml:space="preserve">0.967</w:t>
            </w:r>
          </w:p>
        </w:tc>
        <w:tc>
          <w:tcPr/>
          <w:p>
            <w:pPr>
              <w:pStyle w:val="Compact"/>
              <w:jc w:val="right"/>
            </w:pPr>
            <w:r>
              <w:t xml:space="preserve">0.667</w:t>
            </w:r>
          </w:p>
        </w:tc>
        <w:tc>
          <w:tcPr/>
          <w:p>
            <w:pPr>
              <w:pStyle w:val="Compact"/>
              <w:jc w:val="right"/>
            </w:pPr>
            <w:r>
              <w:t xml:space="preserve">0.300</w:t>
            </w:r>
          </w:p>
        </w:tc>
      </w:tr>
      <w:tr>
        <w:tc>
          <w:tcPr/>
          <w:p>
            <w:pPr>
              <w:pStyle w:val="Compact"/>
              <w:jc w:val="left"/>
            </w:pPr>
            <w:r>
              <w:t xml:space="preserve">24</w:t>
            </w:r>
          </w:p>
        </w:tc>
        <w:tc>
          <w:tcPr/>
          <w:p>
            <w:pPr>
              <w:pStyle w:val="Compact"/>
              <w:jc w:val="left"/>
            </w:pPr>
            <w:r>
              <w:t xml:space="preserve">trt_misclass</w:t>
            </w:r>
          </w:p>
        </w:tc>
        <w:tc>
          <w:tcPr/>
          <w:p>
            <w:pPr>
              <w:pStyle w:val="Compact"/>
              <w:jc w:val="left"/>
            </w:pPr>
            <w:r>
              <w:t xml:space="preserve">sens0.95_spec0.99</w:t>
            </w:r>
          </w:p>
        </w:tc>
        <w:tc>
          <w:tcPr/>
          <w:p>
            <w:pPr>
              <w:pStyle w:val="Compact"/>
              <w:jc w:val="right"/>
            </w:pPr>
            <w:r>
              <w:t xml:space="preserve">-0.00038</w:t>
            </w:r>
          </w:p>
        </w:tc>
        <w:tc>
          <w:tcPr/>
          <w:p>
            <w:pPr>
              <w:pStyle w:val="Compact"/>
              <w:jc w:val="right"/>
            </w:pPr>
            <w:r>
              <w:t xml:space="preserve">-0.00239</w:t>
            </w:r>
          </w:p>
        </w:tc>
        <w:tc>
          <w:tcPr/>
          <w:p>
            <w:pPr>
              <w:pStyle w:val="Compact"/>
              <w:jc w:val="right"/>
            </w:pPr>
            <w:r>
              <w:t xml:space="preserve">1.074</w:t>
            </w:r>
          </w:p>
        </w:tc>
        <w:tc>
          <w:tcPr/>
          <w:p>
            <w:pPr>
              <w:pStyle w:val="Compact"/>
              <w:jc w:val="right"/>
            </w:pPr>
            <w:r>
              <w:t xml:space="preserve">0.967</w:t>
            </w:r>
          </w:p>
        </w:tc>
        <w:tc>
          <w:tcPr/>
          <w:p>
            <w:pPr>
              <w:pStyle w:val="Compact"/>
              <w:jc w:val="right"/>
            </w:pPr>
            <w:r>
              <w:t xml:space="preserve">0.967</w:t>
            </w:r>
          </w:p>
        </w:tc>
        <w:tc>
          <w:tcPr/>
          <w:p>
            <w:pPr>
              <w:pStyle w:val="Compact"/>
              <w:jc w:val="right"/>
            </w:pPr>
            <w:r>
              <w:t xml:space="preserve">0.000</w:t>
            </w:r>
          </w:p>
        </w:tc>
      </w:tr>
      <w:tr>
        <w:tc>
          <w:tcPr/>
          <w:p>
            <w:pPr>
              <w:pStyle w:val="Compact"/>
              <w:jc w:val="left"/>
            </w:pPr>
            <w:r>
              <w:t xml:space="preserve">27</w:t>
            </w:r>
          </w:p>
        </w:tc>
        <w:tc>
          <w:tcPr/>
          <w:p>
            <w:pPr>
              <w:pStyle w:val="Compact"/>
              <w:jc w:val="left"/>
            </w:pPr>
            <w:r>
              <w:t xml:space="preserve">trt_misclass</w:t>
            </w:r>
          </w:p>
        </w:tc>
        <w:tc>
          <w:tcPr/>
          <w:p>
            <w:pPr>
              <w:pStyle w:val="Compact"/>
              <w:jc w:val="left"/>
            </w:pPr>
            <w:r>
              <w:t xml:space="preserve">sens0.90_spec0.95</w:t>
            </w:r>
          </w:p>
        </w:tc>
        <w:tc>
          <w:tcPr/>
          <w:p>
            <w:pPr>
              <w:pStyle w:val="Compact"/>
              <w:jc w:val="right"/>
            </w:pPr>
            <w:r>
              <w:t xml:space="preserve">-0.00038</w:t>
            </w:r>
          </w:p>
        </w:tc>
        <w:tc>
          <w:tcPr/>
          <w:p>
            <w:pPr>
              <w:pStyle w:val="Compact"/>
              <w:jc w:val="right"/>
            </w:pPr>
            <w:r>
              <w:t xml:space="preserve">-0.01166</w:t>
            </w:r>
          </w:p>
        </w:tc>
        <w:tc>
          <w:tcPr/>
          <w:p>
            <w:pPr>
              <w:pStyle w:val="Compact"/>
              <w:jc w:val="right"/>
            </w:pPr>
            <w:r>
              <w:t xml:space="preserve">1.269</w:t>
            </w:r>
          </w:p>
        </w:tc>
        <w:tc>
          <w:tcPr/>
          <w:p>
            <w:pPr>
              <w:pStyle w:val="Compact"/>
              <w:jc w:val="right"/>
            </w:pPr>
            <w:r>
              <w:t xml:space="preserve">0.967</w:t>
            </w:r>
          </w:p>
        </w:tc>
        <w:tc>
          <w:tcPr/>
          <w:p>
            <w:pPr>
              <w:pStyle w:val="Compact"/>
              <w:jc w:val="right"/>
            </w:pPr>
            <w:r>
              <w:t xml:space="preserve">0.933</w:t>
            </w:r>
          </w:p>
        </w:tc>
        <w:tc>
          <w:tcPr/>
          <w:p>
            <w:pPr>
              <w:pStyle w:val="Compact"/>
              <w:jc w:val="right"/>
            </w:pPr>
            <w:r>
              <w:t xml:space="preserve">0.034</w:t>
            </w:r>
          </w:p>
        </w:tc>
      </w:tr>
      <w:tr>
        <w:tc>
          <w:tcPr/>
          <w:p>
            <w:pPr>
              <w:pStyle w:val="Compact"/>
              <w:jc w:val="left"/>
            </w:pPr>
            <w:r>
              <w:t xml:space="preserve">30</w:t>
            </w:r>
          </w:p>
        </w:tc>
        <w:tc>
          <w:tcPr/>
          <w:p>
            <w:pPr>
              <w:pStyle w:val="Compact"/>
              <w:jc w:val="left"/>
            </w:pPr>
            <w:r>
              <w:t xml:space="preserve">out_misclass</w:t>
            </w:r>
          </w:p>
        </w:tc>
        <w:tc>
          <w:tcPr/>
          <w:p>
            <w:pPr>
              <w:pStyle w:val="Compact"/>
              <w:jc w:val="left"/>
            </w:pPr>
            <w:r>
              <w:t xml:space="preserve">sens0.95_spec0.99</w:t>
            </w:r>
          </w:p>
        </w:tc>
        <w:tc>
          <w:tcPr/>
          <w:p>
            <w:pPr>
              <w:pStyle w:val="Compact"/>
              <w:jc w:val="right"/>
            </w:pPr>
            <w:r>
              <w:t xml:space="preserve">-0.00038</w:t>
            </w:r>
          </w:p>
        </w:tc>
        <w:tc>
          <w:tcPr/>
          <w:p>
            <w:pPr>
              <w:pStyle w:val="Compact"/>
              <w:jc w:val="right"/>
            </w:pPr>
            <w:r>
              <w:t xml:space="preserve">-0.00035</w:t>
            </w:r>
          </w:p>
        </w:tc>
        <w:tc>
          <w:tcPr/>
          <w:p>
            <w:pPr>
              <w:pStyle w:val="Compact"/>
              <w:jc w:val="right"/>
            </w:pPr>
            <w:r>
              <w:t xml:space="preserve">1.202</w:t>
            </w:r>
          </w:p>
        </w:tc>
        <w:tc>
          <w:tcPr/>
          <w:p>
            <w:pPr>
              <w:pStyle w:val="Compact"/>
              <w:jc w:val="right"/>
            </w:pPr>
            <w:r>
              <w:t xml:space="preserve">0.967</w:t>
            </w:r>
          </w:p>
        </w:tc>
        <w:tc>
          <w:tcPr/>
          <w:p>
            <w:pPr>
              <w:pStyle w:val="Compact"/>
              <w:jc w:val="right"/>
            </w:pPr>
            <w:r>
              <w:t xml:space="preserve">0.900</w:t>
            </w:r>
          </w:p>
        </w:tc>
        <w:tc>
          <w:tcPr/>
          <w:p>
            <w:pPr>
              <w:pStyle w:val="Compact"/>
              <w:jc w:val="right"/>
            </w:pPr>
            <w:r>
              <w:t xml:space="preserve">0.067</w:t>
            </w:r>
          </w:p>
        </w:tc>
      </w:tr>
      <w:tr>
        <w:tc>
          <w:tcPr/>
          <w:p>
            <w:pPr>
              <w:pStyle w:val="Compact"/>
              <w:jc w:val="left"/>
            </w:pPr>
            <w:r>
              <w:t xml:space="preserve">33</w:t>
            </w:r>
          </w:p>
        </w:tc>
        <w:tc>
          <w:tcPr/>
          <w:p>
            <w:pPr>
              <w:pStyle w:val="Compact"/>
              <w:jc w:val="left"/>
            </w:pPr>
            <w:r>
              <w:t xml:space="preserve">out_misclass</w:t>
            </w:r>
          </w:p>
        </w:tc>
        <w:tc>
          <w:tcPr/>
          <w:p>
            <w:pPr>
              <w:pStyle w:val="Compact"/>
              <w:jc w:val="left"/>
            </w:pPr>
            <w:r>
              <w:t xml:space="preserve">sens0.90_spec0.95</w:t>
            </w:r>
          </w:p>
        </w:tc>
        <w:tc>
          <w:tcPr/>
          <w:p>
            <w:pPr>
              <w:pStyle w:val="Compact"/>
              <w:jc w:val="right"/>
            </w:pPr>
            <w:r>
              <w:t xml:space="preserve">-0.00038</w:t>
            </w:r>
          </w:p>
        </w:tc>
        <w:tc>
          <w:tcPr/>
          <w:p>
            <w:pPr>
              <w:pStyle w:val="Compact"/>
              <w:jc w:val="right"/>
            </w:pPr>
            <w:r>
              <w:t xml:space="preserve">-0.00271</w:t>
            </w:r>
          </w:p>
        </w:tc>
        <w:tc>
          <w:tcPr/>
          <w:p>
            <w:pPr>
              <w:pStyle w:val="Compact"/>
              <w:jc w:val="right"/>
            </w:pPr>
            <w:r>
              <w:t xml:space="preserve">1.165</w:t>
            </w:r>
          </w:p>
        </w:tc>
        <w:tc>
          <w:tcPr/>
          <w:p>
            <w:pPr>
              <w:pStyle w:val="Compact"/>
              <w:jc w:val="right"/>
            </w:pPr>
            <w:r>
              <w:t xml:space="preserve">0.967</w:t>
            </w:r>
          </w:p>
        </w:tc>
        <w:tc>
          <w:tcPr/>
          <w:p>
            <w:pPr>
              <w:pStyle w:val="Compact"/>
              <w:jc w:val="right"/>
            </w:pPr>
            <w:r>
              <w:t xml:space="preserve">1.000</w:t>
            </w:r>
          </w:p>
        </w:tc>
        <w:tc>
          <w:tcPr/>
          <w:p>
            <w:pPr>
              <w:pStyle w:val="Compact"/>
              <w:jc w:val="right"/>
            </w:pPr>
            <w:r>
              <w:t xml:space="preserve">-0.033</w:t>
            </w:r>
          </w:p>
        </w:tc>
      </w:tr>
      <w:tr>
        <w:tc>
          <w:tcPr/>
          <w:p>
            <w:pPr>
              <w:pStyle w:val="Compact"/>
              <w:jc w:val="left"/>
            </w:pPr>
            <w:r>
              <w:t xml:space="preserve">36</w:t>
            </w:r>
          </w:p>
        </w:tc>
        <w:tc>
          <w:tcPr/>
          <w:p>
            <w:pPr>
              <w:pStyle w:val="Compact"/>
              <w:jc w:val="left"/>
            </w:pPr>
            <w:r>
              <w:t xml:space="preserve">unmeasured_U</w:t>
            </w:r>
          </w:p>
        </w:tc>
        <w:tc>
          <w:tcPr/>
          <w:p>
            <w:pPr>
              <w:pStyle w:val="Compact"/>
              <w:jc w:val="left"/>
            </w:pPr>
            <w:r>
              <w:t xml:space="preserve">OR_trt2.0_out2.0</w:t>
            </w:r>
          </w:p>
        </w:tc>
        <w:tc>
          <w:tcPr/>
          <w:p>
            <w:pPr>
              <w:pStyle w:val="Compact"/>
              <w:jc w:val="right"/>
            </w:pPr>
            <w:r>
              <w:t xml:space="preserve">-0.00038</w:t>
            </w:r>
          </w:p>
        </w:tc>
        <w:tc>
          <w:tcPr/>
          <w:p>
            <w:pPr>
              <w:pStyle w:val="Compact"/>
              <w:jc w:val="right"/>
            </w:pPr>
            <w:r>
              <w:t xml:space="preserve">0.00822</w:t>
            </w:r>
          </w:p>
        </w:tc>
        <w:tc>
          <w:tcPr/>
          <w:p>
            <w:pPr>
              <w:pStyle w:val="Compact"/>
              <w:jc w:val="right"/>
            </w:pPr>
            <w:r>
              <w:t xml:space="preserve">1.270</w:t>
            </w:r>
          </w:p>
        </w:tc>
        <w:tc>
          <w:tcPr/>
          <w:p>
            <w:pPr>
              <w:pStyle w:val="Compact"/>
              <w:jc w:val="right"/>
            </w:pPr>
            <w:r>
              <w:t xml:space="preserve">0.967</w:t>
            </w:r>
          </w:p>
        </w:tc>
        <w:tc>
          <w:tcPr/>
          <w:p>
            <w:pPr>
              <w:pStyle w:val="Compact"/>
              <w:jc w:val="right"/>
            </w:pPr>
            <w:r>
              <w:t xml:space="preserve">0.900</w:t>
            </w:r>
          </w:p>
        </w:tc>
        <w:tc>
          <w:tcPr/>
          <w:p>
            <w:pPr>
              <w:pStyle w:val="Compact"/>
              <w:jc w:val="right"/>
            </w:pPr>
            <w:r>
              <w:t xml:space="preserve">0.067</w:t>
            </w:r>
          </w:p>
        </w:tc>
      </w:tr>
      <w:tr>
        <w:tc>
          <w:tcPr/>
          <w:p>
            <w:pPr>
              <w:pStyle w:val="Compact"/>
              <w:jc w:val="left"/>
            </w:pPr>
            <w:r>
              <w:t xml:space="preserve">39</w:t>
            </w:r>
          </w:p>
        </w:tc>
        <w:tc>
          <w:tcPr/>
          <w:p>
            <w:pPr>
              <w:pStyle w:val="Compact"/>
              <w:jc w:val="left"/>
            </w:pPr>
            <w:r>
              <w:t xml:space="preserve">unmeasured_U</w:t>
            </w:r>
          </w:p>
        </w:tc>
        <w:tc>
          <w:tcPr/>
          <w:p>
            <w:pPr>
              <w:pStyle w:val="Compact"/>
              <w:jc w:val="left"/>
            </w:pPr>
            <w:r>
              <w:t xml:space="preserve">OR_trt3.0_out3.0</w:t>
            </w:r>
          </w:p>
        </w:tc>
        <w:tc>
          <w:tcPr/>
          <w:p>
            <w:pPr>
              <w:pStyle w:val="Compact"/>
              <w:jc w:val="right"/>
            </w:pPr>
            <w:r>
              <w:t xml:space="preserve">-0.00038</w:t>
            </w:r>
          </w:p>
        </w:tc>
        <w:tc>
          <w:tcPr/>
          <w:p>
            <w:pPr>
              <w:pStyle w:val="Compact"/>
              <w:jc w:val="right"/>
            </w:pPr>
            <w:r>
              <w:t xml:space="preserve">0.02492</w:t>
            </w:r>
          </w:p>
        </w:tc>
        <w:tc>
          <w:tcPr/>
          <w:p>
            <w:pPr>
              <w:pStyle w:val="Compact"/>
              <w:jc w:val="right"/>
            </w:pPr>
            <w:r>
              <w:t xml:space="preserve">2.058</w:t>
            </w:r>
          </w:p>
        </w:tc>
        <w:tc>
          <w:tcPr/>
          <w:p>
            <w:pPr>
              <w:pStyle w:val="Compact"/>
              <w:jc w:val="right"/>
            </w:pPr>
            <w:r>
              <w:t xml:space="preserve">0.967</w:t>
            </w:r>
          </w:p>
        </w:tc>
        <w:tc>
          <w:tcPr/>
          <w:p>
            <w:pPr>
              <w:pStyle w:val="Compact"/>
              <w:jc w:val="right"/>
            </w:pPr>
            <w:r>
              <w:t xml:space="preserve">0.633</w:t>
            </w:r>
          </w:p>
        </w:tc>
        <w:tc>
          <w:tcPr/>
          <w:p>
            <w:pPr>
              <w:pStyle w:val="Compact"/>
              <w:jc w:val="right"/>
            </w:pPr>
            <w:r>
              <w:t xml:space="preserve">0.334</w:t>
            </w:r>
          </w:p>
        </w:tc>
      </w:tr>
      <w:tr>
        <w:tc>
          <w:tcPr/>
          <w:p>
            <w:pPr>
              <w:pStyle w:val="Compact"/>
              <w:jc w:val="left"/>
            </w:pPr>
            <w:r>
              <w:t xml:space="preserve">42</w:t>
            </w:r>
          </w:p>
        </w:tc>
        <w:tc>
          <w:tcPr/>
          <w:p>
            <w:pPr>
              <w:pStyle w:val="Compact"/>
              <w:jc w:val="left"/>
            </w:pPr>
            <w:r>
              <w:t xml:space="preserve">unmeasured_U</w:t>
            </w:r>
          </w:p>
        </w:tc>
        <w:tc>
          <w:tcPr/>
          <w:p>
            <w:pPr>
              <w:pStyle w:val="Compact"/>
              <w:jc w:val="left"/>
            </w:pPr>
            <w:r>
              <w:t xml:space="preserve">OR_trt4.0_out4.0</w:t>
            </w:r>
          </w:p>
        </w:tc>
        <w:tc>
          <w:tcPr/>
          <w:p>
            <w:pPr>
              <w:pStyle w:val="Compact"/>
              <w:jc w:val="right"/>
            </w:pPr>
            <w:r>
              <w:t xml:space="preserve">-0.00038</w:t>
            </w:r>
          </w:p>
        </w:tc>
        <w:tc>
          <w:tcPr/>
          <w:p>
            <w:pPr>
              <w:pStyle w:val="Compact"/>
              <w:jc w:val="right"/>
            </w:pPr>
            <w:r>
              <w:t xml:space="preserve">0.04532</w:t>
            </w:r>
          </w:p>
        </w:tc>
        <w:tc>
          <w:tcPr/>
          <w:p>
            <w:pPr>
              <w:pStyle w:val="Compact"/>
              <w:jc w:val="right"/>
            </w:pPr>
            <w:r>
              <w:t xml:space="preserve">3.277</w:t>
            </w:r>
          </w:p>
        </w:tc>
        <w:tc>
          <w:tcPr/>
          <w:p>
            <w:pPr>
              <w:pStyle w:val="Compact"/>
              <w:jc w:val="right"/>
            </w:pPr>
            <w:r>
              <w:t xml:space="preserve">0.967</w:t>
            </w:r>
          </w:p>
        </w:tc>
        <w:tc>
          <w:tcPr/>
          <w:p>
            <w:pPr>
              <w:pStyle w:val="Compact"/>
              <w:jc w:val="right"/>
            </w:pPr>
            <w:r>
              <w:t xml:space="preserve">0.267</w:t>
            </w:r>
          </w:p>
        </w:tc>
        <w:tc>
          <w:tcPr/>
          <w:p>
            <w:pPr>
              <w:pStyle w:val="Compact"/>
              <w:jc w:val="right"/>
            </w:pPr>
            <w:r>
              <w:t xml:space="preserve">0.700</w:t>
            </w:r>
          </w:p>
        </w:tc>
      </w:tr>
      <w:tr>
        <w:tc>
          <w:tcPr/>
          <w:p>
            <w:pPr>
              <w:pStyle w:val="Compact"/>
              <w:jc w:val="left"/>
            </w:pPr>
            <w:r>
              <w:t xml:space="preserve">45</w:t>
            </w:r>
          </w:p>
        </w:tc>
        <w:tc>
          <w:tcPr/>
          <w:p>
            <w:pPr>
              <w:pStyle w:val="Compact"/>
              <w:jc w:val="left"/>
            </w:pPr>
            <w:r>
              <w:t xml:space="preserve">unmeasured_U</w:t>
            </w:r>
          </w:p>
        </w:tc>
        <w:tc>
          <w:tcPr/>
          <w:p>
            <w:pPr>
              <w:pStyle w:val="Compact"/>
              <w:jc w:val="left"/>
            </w:pPr>
            <w:r>
              <w:t xml:space="preserve">OR_trt6.0_out6.0</w:t>
            </w:r>
          </w:p>
        </w:tc>
        <w:tc>
          <w:tcPr/>
          <w:p>
            <w:pPr>
              <w:pStyle w:val="Compact"/>
              <w:jc w:val="right"/>
            </w:pPr>
            <w:r>
              <w:t xml:space="preserve">-0.00038</w:t>
            </w:r>
          </w:p>
        </w:tc>
        <w:tc>
          <w:tcPr/>
          <w:p>
            <w:pPr>
              <w:pStyle w:val="Compact"/>
              <w:jc w:val="right"/>
            </w:pPr>
            <w:r>
              <w:t xml:space="preserve">0.07011</w:t>
            </w:r>
          </w:p>
        </w:tc>
        <w:tc>
          <w:tcPr/>
          <w:p>
            <w:pPr>
              <w:pStyle w:val="Compact"/>
              <w:jc w:val="right"/>
            </w:pPr>
            <w:r>
              <w:t xml:space="preserve">4.887</w:t>
            </w:r>
          </w:p>
        </w:tc>
        <w:tc>
          <w:tcPr/>
          <w:p>
            <w:pPr>
              <w:pStyle w:val="Compact"/>
              <w:jc w:val="right"/>
            </w:pPr>
            <w:r>
              <w:t xml:space="preserve">0.967</w:t>
            </w:r>
          </w:p>
        </w:tc>
        <w:tc>
          <w:tcPr/>
          <w:p>
            <w:pPr>
              <w:pStyle w:val="Compact"/>
              <w:jc w:val="right"/>
            </w:pPr>
            <w:r>
              <w:t xml:space="preserve">0.000</w:t>
            </w:r>
          </w:p>
        </w:tc>
        <w:tc>
          <w:tcPr/>
          <w:p>
            <w:pPr>
              <w:pStyle w:val="Compact"/>
              <w:jc w:val="right"/>
            </w:pPr>
            <w:r>
              <w:t xml:space="preserve">0.967</w:t>
            </w:r>
          </w:p>
        </w:tc>
      </w:tr>
      <w:tr>
        <w:tc>
          <w:tcPr/>
          <w:p>
            <w:pPr>
              <w:pStyle w:val="Compact"/>
              <w:jc w:val="left"/>
            </w:pPr>
            <w:r>
              <w:t xml:space="preserve">48</w:t>
            </w:r>
          </w:p>
        </w:tc>
        <w:tc>
          <w:tcPr/>
          <w:p>
            <w:pPr>
              <w:pStyle w:val="Compact"/>
              <w:jc w:val="left"/>
            </w:pPr>
            <w:r>
              <w:t xml:space="preserve">unmeasured_U</w:t>
            </w:r>
          </w:p>
        </w:tc>
        <w:tc>
          <w:tcPr/>
          <w:p>
            <w:pPr>
              <w:pStyle w:val="Compact"/>
              <w:jc w:val="left"/>
            </w:pPr>
            <w:r>
              <w:t xml:space="preserve">OR_trt8.0_out8.0</w:t>
            </w:r>
          </w:p>
        </w:tc>
        <w:tc>
          <w:tcPr/>
          <w:p>
            <w:pPr>
              <w:pStyle w:val="Compact"/>
              <w:jc w:val="right"/>
            </w:pPr>
            <w:r>
              <w:t xml:space="preserve">-0.00038</w:t>
            </w:r>
          </w:p>
        </w:tc>
        <w:tc>
          <w:tcPr/>
          <w:p>
            <w:pPr>
              <w:pStyle w:val="Compact"/>
              <w:jc w:val="right"/>
            </w:pPr>
            <w:r>
              <w:t xml:space="preserve">0.08688</w:t>
            </w:r>
          </w:p>
        </w:tc>
        <w:tc>
          <w:tcPr/>
          <w:p>
            <w:pPr>
              <w:pStyle w:val="Compact"/>
              <w:jc w:val="right"/>
            </w:pPr>
            <w:r>
              <w:t xml:space="preserve">6.051</w:t>
            </w:r>
          </w:p>
        </w:tc>
        <w:tc>
          <w:tcPr/>
          <w:p>
            <w:pPr>
              <w:pStyle w:val="Compact"/>
              <w:jc w:val="right"/>
            </w:pPr>
            <w:r>
              <w:t xml:space="preserve">0.967</w:t>
            </w:r>
          </w:p>
        </w:tc>
        <w:tc>
          <w:tcPr/>
          <w:p>
            <w:pPr>
              <w:pStyle w:val="Compact"/>
              <w:jc w:val="right"/>
            </w:pPr>
            <w:r>
              <w:t xml:space="preserve">0.000</w:t>
            </w:r>
          </w:p>
        </w:tc>
        <w:tc>
          <w:tcPr/>
          <w:p>
            <w:pPr>
              <w:pStyle w:val="Compact"/>
              <w:jc w:val="right"/>
            </w:pPr>
            <w:r>
              <w:t xml:space="preserve">0.967</w:t>
            </w:r>
          </w:p>
        </w:tc>
      </w:tr>
      <w:tr>
        <w:tc>
          <w:tcPr/>
          <w:p>
            <w:pPr>
              <w:pStyle w:val="Compact"/>
              <w:jc w:val="left"/>
            </w:pPr>
            <w:r>
              <w:t xml:space="preserve">51</w:t>
            </w:r>
          </w:p>
        </w:tc>
        <w:tc>
          <w:tcPr/>
          <w:p>
            <w:pPr>
              <w:pStyle w:val="Compact"/>
              <w:jc w:val="left"/>
            </w:pPr>
            <w:r>
              <w:t xml:space="preserve">near_positivity</w:t>
            </w:r>
          </w:p>
        </w:tc>
        <w:tc>
          <w:tcPr/>
          <w:p>
            <w:pPr>
              <w:pStyle w:val="Compact"/>
              <w:jc w:val="left"/>
            </w:pPr>
            <w:r>
              <w:t xml:space="preserve">slope_x2.0</w:t>
            </w:r>
          </w:p>
        </w:tc>
        <w:tc>
          <w:tcPr/>
          <w:p>
            <w:pPr>
              <w:pStyle w:val="Compact"/>
              <w:jc w:val="right"/>
            </w:pPr>
            <w:r>
              <w:t xml:space="preserve">-0.00038</w:t>
            </w:r>
          </w:p>
        </w:tc>
        <w:tc>
          <w:tcPr/>
          <w:p>
            <w:pPr>
              <w:pStyle w:val="Compact"/>
              <w:jc w:val="right"/>
            </w:pPr>
            <w:r>
              <w:t xml:space="preserve">0.00328</w:t>
            </w:r>
          </w:p>
        </w:tc>
        <w:tc>
          <w:tcPr/>
          <w:p>
            <w:pPr>
              <w:pStyle w:val="Compact"/>
              <w:jc w:val="right"/>
            </w:pPr>
            <w:r>
              <w:t xml:space="preserve">1.147</w:t>
            </w:r>
          </w:p>
        </w:tc>
        <w:tc>
          <w:tcPr/>
          <w:p>
            <w:pPr>
              <w:pStyle w:val="Compact"/>
              <w:jc w:val="right"/>
            </w:pPr>
            <w:r>
              <w:t xml:space="preserve">0.967</w:t>
            </w:r>
          </w:p>
        </w:tc>
        <w:tc>
          <w:tcPr/>
          <w:p>
            <w:pPr>
              <w:pStyle w:val="Compact"/>
              <w:jc w:val="right"/>
            </w:pPr>
            <w:r>
              <w:t xml:space="preserve">0.867</w:t>
            </w:r>
          </w:p>
        </w:tc>
        <w:tc>
          <w:tcPr/>
          <w:p>
            <w:pPr>
              <w:pStyle w:val="Compact"/>
              <w:jc w:val="right"/>
            </w:pPr>
            <w:r>
              <w:t xml:space="preserve">0.100</w:t>
            </w:r>
          </w:p>
        </w:tc>
      </w:tr>
      <w:tr>
        <w:tc>
          <w:tcPr/>
          <w:p>
            <w:pPr>
              <w:pStyle w:val="Compact"/>
              <w:jc w:val="left"/>
            </w:pPr>
            <w:r>
              <w:t xml:space="preserve">54</w:t>
            </w:r>
          </w:p>
        </w:tc>
        <w:tc>
          <w:tcPr/>
          <w:p>
            <w:pPr>
              <w:pStyle w:val="Compact"/>
              <w:jc w:val="left"/>
            </w:pPr>
            <w:r>
              <w:t xml:space="preserve">near_positivity</w:t>
            </w:r>
          </w:p>
        </w:tc>
        <w:tc>
          <w:tcPr/>
          <w:p>
            <w:pPr>
              <w:pStyle w:val="Compact"/>
              <w:jc w:val="left"/>
            </w:pPr>
            <w:r>
              <w:t xml:space="preserve">slope_x3.0</w:t>
            </w:r>
          </w:p>
        </w:tc>
        <w:tc>
          <w:tcPr/>
          <w:p>
            <w:pPr>
              <w:pStyle w:val="Compact"/>
              <w:jc w:val="right"/>
            </w:pPr>
            <w:r>
              <w:t xml:space="preserve">-0.00038</w:t>
            </w:r>
          </w:p>
        </w:tc>
        <w:tc>
          <w:tcPr/>
          <w:p>
            <w:pPr>
              <w:pStyle w:val="Compact"/>
              <w:jc w:val="right"/>
            </w:pPr>
            <w:r>
              <w:t xml:space="preserve">-0.00091</w:t>
            </w:r>
          </w:p>
        </w:tc>
        <w:tc>
          <w:tcPr/>
          <w:p>
            <w:pPr>
              <w:pStyle w:val="Compact"/>
              <w:jc w:val="right"/>
            </w:pPr>
            <w:r>
              <w:t xml:space="preserve">1.433</w:t>
            </w:r>
          </w:p>
        </w:tc>
        <w:tc>
          <w:tcPr/>
          <w:p>
            <w:pPr>
              <w:pStyle w:val="Compact"/>
              <w:jc w:val="right"/>
            </w:pPr>
            <w:r>
              <w:t xml:space="preserve">0.967</w:t>
            </w:r>
          </w:p>
        </w:tc>
        <w:tc>
          <w:tcPr/>
          <w:p>
            <w:pPr>
              <w:pStyle w:val="Compact"/>
              <w:jc w:val="right"/>
            </w:pPr>
            <w:r>
              <w:t xml:space="preserve">0.733</w:t>
            </w:r>
          </w:p>
        </w:tc>
        <w:tc>
          <w:tcPr/>
          <w:p>
            <w:pPr>
              <w:pStyle w:val="Compact"/>
              <w:jc w:val="right"/>
            </w:pPr>
            <w:r>
              <w:t xml:space="preserve">0.234</w:t>
            </w:r>
          </w:p>
        </w:tc>
      </w:tr>
      <w:tr>
        <w:tc>
          <w:tcPr/>
          <w:p>
            <w:pPr>
              <w:pStyle w:val="Compact"/>
              <w:jc w:val="left"/>
            </w:pPr>
            <w:r>
              <w:t xml:space="preserve">57</w:t>
            </w:r>
          </w:p>
        </w:tc>
        <w:tc>
          <w:tcPr/>
          <w:p>
            <w:pPr>
              <w:pStyle w:val="Compact"/>
              <w:jc w:val="left"/>
            </w:pPr>
            <w:r>
              <w:t xml:space="preserve">near_positivity</w:t>
            </w:r>
          </w:p>
        </w:tc>
        <w:tc>
          <w:tcPr/>
          <w:p>
            <w:pPr>
              <w:pStyle w:val="Compact"/>
              <w:jc w:val="left"/>
            </w:pPr>
            <w:r>
              <w:t xml:space="preserve">slope_x4.0</w:t>
            </w:r>
          </w:p>
        </w:tc>
        <w:tc>
          <w:tcPr/>
          <w:p>
            <w:pPr>
              <w:pStyle w:val="Compact"/>
              <w:jc w:val="right"/>
            </w:pPr>
            <w:r>
              <w:t xml:space="preserve">-0.00038</w:t>
            </w:r>
          </w:p>
        </w:tc>
        <w:tc>
          <w:tcPr/>
          <w:p>
            <w:pPr>
              <w:pStyle w:val="Compact"/>
              <w:jc w:val="right"/>
            </w:pPr>
            <w:r>
              <w:t xml:space="preserve">0.00595</w:t>
            </w:r>
          </w:p>
        </w:tc>
        <w:tc>
          <w:tcPr/>
          <w:p>
            <w:pPr>
              <w:pStyle w:val="Compact"/>
              <w:jc w:val="right"/>
            </w:pPr>
            <w:r>
              <w:t xml:space="preserve">1.384</w:t>
            </w:r>
          </w:p>
        </w:tc>
        <w:tc>
          <w:tcPr/>
          <w:p>
            <w:pPr>
              <w:pStyle w:val="Compact"/>
              <w:jc w:val="right"/>
            </w:pPr>
            <w:r>
              <w:t xml:space="preserve">0.967</w:t>
            </w:r>
          </w:p>
        </w:tc>
        <w:tc>
          <w:tcPr/>
          <w:p>
            <w:pPr>
              <w:pStyle w:val="Compact"/>
              <w:jc w:val="right"/>
            </w:pPr>
            <w:r>
              <w:t xml:space="preserve">0.700</w:t>
            </w:r>
          </w:p>
        </w:tc>
        <w:tc>
          <w:tcPr/>
          <w:p>
            <w:pPr>
              <w:pStyle w:val="Compact"/>
              <w:jc w:val="right"/>
            </w:pPr>
            <w:r>
              <w:t xml:space="preserve">0.267</w:t>
            </w:r>
          </w:p>
        </w:tc>
      </w:tr>
    </w:tbl>
    <w:bookmarkEnd w:id="99"/>
    <w:bookmarkStart w:id="100" w:name="scenario-d-misspecified-surface"/>
    <w:p>
      <w:pPr>
        <w:pStyle w:val="Heading3"/>
      </w:pPr>
      <w:r>
        <w:t xml:space="preserve">10.3.3 Scenario D: Misspecified Surface</w:t>
      </w:r>
    </w:p>
    <w:p>
      <w:pPr>
        <w:pStyle w:val="FirstParagraph"/>
      </w:pPr>
      <w:r>
        <w:t xml:space="preserve">Selected candidate:</w:t>
      </w:r>
      <w:r>
        <w:t xml:space="preserve"> </w:t>
      </w:r>
      <w:r>
        <w:rPr>
          <w:rStyle w:val="VerbatimChar"/>
        </w:rPr>
        <w:t xml:space="preserve">aggressive</w:t>
      </w:r>
    </w:p>
    <w:p>
      <w:pPr>
        <w:pStyle w:val="TableCaption"/>
      </w:pPr>
      <w:r>
        <w:t xml:space="preserve">DQ degradation: Scenario D: Misspecified Surface (candidate: aggressive)</w:t>
      </w:r>
    </w:p>
    <w:tbl>
      <w:tblPr>
        <w:tblStyle w:val="Table"/>
        <w:tblW w:type="pct" w:w="5000"/>
        <w:tblLayout w:type="fixed"/>
        <w:tblLook w:firstRow="1" w:lastRow="0" w:firstColumn="0" w:lastColumn="0" w:noHBand="0" w:noVBand="0" w:val="0020"/>
        <w:tblCaption w:val="DQ degradation: Scenario D: Misspecified Surface (candidate: aggressive)"/>
      </w:tblPr>
      <w:tblGrid>
        <w:gridCol w:w="214"/>
        <w:gridCol w:w="1141"/>
        <w:gridCol w:w="1284"/>
        <w:gridCol w:w="998"/>
        <w:gridCol w:w="998"/>
        <w:gridCol w:w="784"/>
        <w:gridCol w:w="927"/>
        <w:gridCol w:w="927"/>
        <w:gridCol w:w="642"/>
      </w:tblGrid>
      <w:tr>
        <w:trPr>
          <w:tblHeader w:val="on"/>
        </w:trPr>
        <w:tc>
          <w:tcPr/>
          <w:p>
            <w:pPr>
              <w:pStyle w:val="Compact"/>
            </w:pPr>
          </w:p>
        </w:tc>
        <w:tc>
          <w:tcPr/>
          <w:p>
            <w:pPr>
              <w:pStyle w:val="Compact"/>
              <w:jc w:val="left"/>
            </w:pPr>
            <w:r>
              <w:t xml:space="preserve">scenario</w:t>
            </w:r>
          </w:p>
        </w:tc>
        <w:tc>
          <w:tcPr/>
          <w:p>
            <w:pPr>
              <w:pStyle w:val="Compact"/>
              <w:jc w:val="left"/>
            </w:pPr>
            <w:r>
              <w:t xml:space="preserve">level</w:t>
            </w:r>
          </w:p>
        </w:tc>
        <w:tc>
          <w:tcPr/>
          <w:p>
            <w:pPr>
              <w:pStyle w:val="Compact"/>
              <w:jc w:val="right"/>
            </w:pPr>
            <w:r>
              <w:t xml:space="preserve">bias_baseline</w:t>
            </w:r>
          </w:p>
        </w:tc>
        <w:tc>
          <w:tcPr/>
          <w:p>
            <w:pPr>
              <w:pStyle w:val="Compact"/>
              <w:jc w:val="right"/>
            </w:pPr>
            <w:r>
              <w:t xml:space="preserve">bias_degraded</w:t>
            </w:r>
          </w:p>
        </w:tc>
        <w:tc>
          <w:tcPr/>
          <w:p>
            <w:pPr>
              <w:pStyle w:val="Compact"/>
              <w:jc w:val="right"/>
            </w:pPr>
            <w:r>
              <w:t xml:space="preserve">rmse_ratio</w:t>
            </w:r>
          </w:p>
        </w:tc>
        <w:tc>
          <w:tcPr/>
          <w:p>
            <w:pPr>
              <w:pStyle w:val="Compact"/>
              <w:jc w:val="right"/>
            </w:pPr>
            <w:r>
              <w:t xml:space="preserve">cov_baseline</w:t>
            </w:r>
          </w:p>
        </w:tc>
        <w:tc>
          <w:tcPr/>
          <w:p>
            <w:pPr>
              <w:pStyle w:val="Compact"/>
              <w:jc w:val="right"/>
            </w:pPr>
            <w:r>
              <w:t xml:space="preserve">cov_degraded</w:t>
            </w:r>
          </w:p>
        </w:tc>
        <w:tc>
          <w:tcPr/>
          <w:p>
            <w:pPr>
              <w:pStyle w:val="Compact"/>
              <w:jc w:val="right"/>
            </w:pPr>
            <w:r>
              <w:t xml:space="preserve">cov_drop</w:t>
            </w:r>
          </w:p>
        </w:tc>
      </w:tr>
      <w:tr>
        <w:tc>
          <w:tcPr/>
          <w:p>
            <w:pPr>
              <w:pStyle w:val="Compact"/>
              <w:jc w:val="left"/>
            </w:pPr>
            <w:r>
              <w:t xml:space="preserve">1</w:t>
            </w:r>
          </w:p>
        </w:tc>
        <w:tc>
          <w:tcPr/>
          <w:p>
            <w:pPr>
              <w:pStyle w:val="Compact"/>
              <w:jc w:val="left"/>
            </w:pPr>
            <w:r>
              <w:t xml:space="preserve">cov_miss</w:t>
            </w:r>
          </w:p>
        </w:tc>
        <w:tc>
          <w:tcPr/>
          <w:p>
            <w:pPr>
              <w:pStyle w:val="Compact"/>
              <w:jc w:val="left"/>
            </w:pPr>
            <w:r>
              <w:t xml:space="preserve">0.05</w:t>
            </w:r>
          </w:p>
        </w:tc>
        <w:tc>
          <w:tcPr/>
          <w:p>
            <w:pPr>
              <w:pStyle w:val="Compact"/>
              <w:jc w:val="right"/>
            </w:pPr>
            <w:r>
              <w:t xml:space="preserve">-0.00056</w:t>
            </w:r>
          </w:p>
        </w:tc>
        <w:tc>
          <w:tcPr/>
          <w:p>
            <w:pPr>
              <w:pStyle w:val="Compact"/>
              <w:jc w:val="right"/>
            </w:pPr>
            <w:r>
              <w:t xml:space="preserve">0.00799</w:t>
            </w:r>
          </w:p>
        </w:tc>
        <w:tc>
          <w:tcPr/>
          <w:p>
            <w:pPr>
              <w:pStyle w:val="Compact"/>
              <w:jc w:val="right"/>
            </w:pPr>
            <w:r>
              <w:t xml:space="preserve">0.870</w:t>
            </w:r>
          </w:p>
        </w:tc>
        <w:tc>
          <w:tcPr/>
          <w:p>
            <w:pPr>
              <w:pStyle w:val="Compact"/>
              <w:jc w:val="right"/>
            </w:pPr>
            <w:r>
              <w:t xml:space="preserve">0.867</w:t>
            </w:r>
          </w:p>
        </w:tc>
        <w:tc>
          <w:tcPr/>
          <w:p>
            <w:pPr>
              <w:pStyle w:val="Compact"/>
              <w:jc w:val="right"/>
            </w:pPr>
            <w:r>
              <w:t xml:space="preserve">0.933</w:t>
            </w:r>
          </w:p>
        </w:tc>
        <w:tc>
          <w:tcPr/>
          <w:p>
            <w:pPr>
              <w:pStyle w:val="Compact"/>
              <w:jc w:val="right"/>
            </w:pPr>
            <w:r>
              <w:t xml:space="preserve">-0.066</w:t>
            </w:r>
          </w:p>
        </w:tc>
      </w:tr>
      <w:tr>
        <w:tc>
          <w:tcPr/>
          <w:p>
            <w:pPr>
              <w:pStyle w:val="Compact"/>
              <w:jc w:val="left"/>
            </w:pPr>
            <w:r>
              <w:t xml:space="preserve">4</w:t>
            </w:r>
          </w:p>
        </w:tc>
        <w:tc>
          <w:tcPr/>
          <w:p>
            <w:pPr>
              <w:pStyle w:val="Compact"/>
              <w:jc w:val="left"/>
            </w:pPr>
            <w:r>
              <w:t xml:space="preserve">cov_miss</w:t>
            </w:r>
          </w:p>
        </w:tc>
        <w:tc>
          <w:tcPr/>
          <w:p>
            <w:pPr>
              <w:pStyle w:val="Compact"/>
              <w:jc w:val="left"/>
            </w:pPr>
            <w:r>
              <w:t xml:space="preserve">0.1</w:t>
            </w:r>
          </w:p>
        </w:tc>
        <w:tc>
          <w:tcPr/>
          <w:p>
            <w:pPr>
              <w:pStyle w:val="Compact"/>
              <w:jc w:val="right"/>
            </w:pPr>
            <w:r>
              <w:t xml:space="preserve">-0.00056</w:t>
            </w:r>
          </w:p>
        </w:tc>
        <w:tc>
          <w:tcPr/>
          <w:p>
            <w:pPr>
              <w:pStyle w:val="Compact"/>
              <w:jc w:val="right"/>
            </w:pPr>
            <w:r>
              <w:t xml:space="preserve">0.00734</w:t>
            </w:r>
          </w:p>
        </w:tc>
        <w:tc>
          <w:tcPr/>
          <w:p>
            <w:pPr>
              <w:pStyle w:val="Compact"/>
              <w:jc w:val="right"/>
            </w:pPr>
            <w:r>
              <w:t xml:space="preserve">0.743</w:t>
            </w:r>
          </w:p>
        </w:tc>
        <w:tc>
          <w:tcPr/>
          <w:p>
            <w:pPr>
              <w:pStyle w:val="Compact"/>
              <w:jc w:val="right"/>
            </w:pPr>
            <w:r>
              <w:t xml:space="preserve">0.867</w:t>
            </w:r>
          </w:p>
        </w:tc>
        <w:tc>
          <w:tcPr/>
          <w:p>
            <w:pPr>
              <w:pStyle w:val="Compact"/>
              <w:jc w:val="right"/>
            </w:pPr>
            <w:r>
              <w:t xml:space="preserve">0.967</w:t>
            </w:r>
          </w:p>
        </w:tc>
        <w:tc>
          <w:tcPr/>
          <w:p>
            <w:pPr>
              <w:pStyle w:val="Compact"/>
              <w:jc w:val="right"/>
            </w:pPr>
            <w:r>
              <w:t xml:space="preserve">-0.100</w:t>
            </w:r>
          </w:p>
        </w:tc>
      </w:tr>
      <w:tr>
        <w:tc>
          <w:tcPr/>
          <w:p>
            <w:pPr>
              <w:pStyle w:val="Compact"/>
              <w:jc w:val="left"/>
            </w:pPr>
            <w:r>
              <w:t xml:space="preserve">7</w:t>
            </w:r>
          </w:p>
        </w:tc>
        <w:tc>
          <w:tcPr/>
          <w:p>
            <w:pPr>
              <w:pStyle w:val="Compact"/>
              <w:jc w:val="left"/>
            </w:pPr>
            <w:r>
              <w:t xml:space="preserve">cov_miss</w:t>
            </w:r>
          </w:p>
        </w:tc>
        <w:tc>
          <w:tcPr/>
          <w:p>
            <w:pPr>
              <w:pStyle w:val="Compact"/>
              <w:jc w:val="left"/>
            </w:pPr>
            <w:r>
              <w:t xml:space="preserve">0.2</w:t>
            </w:r>
          </w:p>
        </w:tc>
        <w:tc>
          <w:tcPr/>
          <w:p>
            <w:pPr>
              <w:pStyle w:val="Compact"/>
              <w:jc w:val="right"/>
            </w:pPr>
            <w:r>
              <w:t xml:space="preserve">-0.00056</w:t>
            </w:r>
          </w:p>
        </w:tc>
        <w:tc>
          <w:tcPr/>
          <w:p>
            <w:pPr>
              <w:pStyle w:val="Compact"/>
              <w:jc w:val="right"/>
            </w:pPr>
            <w:r>
              <w:t xml:space="preserve">0.01006</w:t>
            </w:r>
          </w:p>
        </w:tc>
        <w:tc>
          <w:tcPr/>
          <w:p>
            <w:pPr>
              <w:pStyle w:val="Compact"/>
              <w:jc w:val="right"/>
            </w:pPr>
            <w:r>
              <w:t xml:space="preserve">0.814</w:t>
            </w:r>
          </w:p>
        </w:tc>
        <w:tc>
          <w:tcPr/>
          <w:p>
            <w:pPr>
              <w:pStyle w:val="Compact"/>
              <w:jc w:val="right"/>
            </w:pPr>
            <w:r>
              <w:t xml:space="preserve">0.867</w:t>
            </w:r>
          </w:p>
        </w:tc>
        <w:tc>
          <w:tcPr/>
          <w:p>
            <w:pPr>
              <w:pStyle w:val="Compact"/>
              <w:jc w:val="right"/>
            </w:pPr>
            <w:r>
              <w:t xml:space="preserve">0.933</w:t>
            </w:r>
          </w:p>
        </w:tc>
        <w:tc>
          <w:tcPr/>
          <w:p>
            <w:pPr>
              <w:pStyle w:val="Compact"/>
              <w:jc w:val="right"/>
            </w:pPr>
            <w:r>
              <w:t xml:space="preserve">-0.066</w:t>
            </w:r>
          </w:p>
        </w:tc>
      </w:tr>
      <w:tr>
        <w:tc>
          <w:tcPr/>
          <w:p>
            <w:pPr>
              <w:pStyle w:val="Compact"/>
              <w:jc w:val="left"/>
            </w:pPr>
            <w:r>
              <w:t xml:space="preserve">10</w:t>
            </w:r>
          </w:p>
        </w:tc>
        <w:tc>
          <w:tcPr/>
          <w:p>
            <w:pPr>
              <w:pStyle w:val="Compact"/>
              <w:jc w:val="left"/>
            </w:pPr>
            <w:r>
              <w:t xml:space="preserve">cov_miss_mar</w:t>
            </w:r>
          </w:p>
        </w:tc>
        <w:tc>
          <w:tcPr/>
          <w:p>
            <w:pPr>
              <w:pStyle w:val="Compact"/>
              <w:jc w:val="left"/>
            </w:pPr>
            <w:r>
              <w:t xml:space="preserve">0.1</w:t>
            </w:r>
          </w:p>
        </w:tc>
        <w:tc>
          <w:tcPr/>
          <w:p>
            <w:pPr>
              <w:pStyle w:val="Compact"/>
              <w:jc w:val="right"/>
            </w:pPr>
            <w:r>
              <w:t xml:space="preserve">-0.00056</w:t>
            </w:r>
          </w:p>
        </w:tc>
        <w:tc>
          <w:tcPr/>
          <w:p>
            <w:pPr>
              <w:pStyle w:val="Compact"/>
              <w:jc w:val="right"/>
            </w:pPr>
            <w:r>
              <w:t xml:space="preserve">0.02431</w:t>
            </w:r>
          </w:p>
        </w:tc>
        <w:tc>
          <w:tcPr/>
          <w:p>
            <w:pPr>
              <w:pStyle w:val="Compact"/>
              <w:jc w:val="right"/>
            </w:pPr>
            <w:r>
              <w:t xml:space="preserve">1.105</w:t>
            </w:r>
          </w:p>
        </w:tc>
        <w:tc>
          <w:tcPr/>
          <w:p>
            <w:pPr>
              <w:pStyle w:val="Compact"/>
              <w:jc w:val="right"/>
            </w:pPr>
            <w:r>
              <w:t xml:space="preserve">0.867</w:t>
            </w:r>
          </w:p>
        </w:tc>
        <w:tc>
          <w:tcPr/>
          <w:p>
            <w:pPr>
              <w:pStyle w:val="Compact"/>
              <w:jc w:val="right"/>
            </w:pPr>
            <w:r>
              <w:t xml:space="preserve">0.833</w:t>
            </w:r>
          </w:p>
        </w:tc>
        <w:tc>
          <w:tcPr/>
          <w:p>
            <w:pPr>
              <w:pStyle w:val="Compact"/>
              <w:jc w:val="right"/>
            </w:pPr>
            <w:r>
              <w:t xml:space="preserve">0.034</w:t>
            </w:r>
          </w:p>
        </w:tc>
      </w:tr>
      <w:tr>
        <w:tc>
          <w:tcPr/>
          <w:p>
            <w:pPr>
              <w:pStyle w:val="Compact"/>
              <w:jc w:val="left"/>
            </w:pPr>
            <w:r>
              <w:t xml:space="preserve">13</w:t>
            </w:r>
          </w:p>
        </w:tc>
        <w:tc>
          <w:tcPr/>
          <w:p>
            <w:pPr>
              <w:pStyle w:val="Compact"/>
              <w:jc w:val="left"/>
            </w:pPr>
            <w:r>
              <w:t xml:space="preserve">cov_miss_mar</w:t>
            </w:r>
          </w:p>
        </w:tc>
        <w:tc>
          <w:tcPr/>
          <w:p>
            <w:pPr>
              <w:pStyle w:val="Compact"/>
              <w:jc w:val="left"/>
            </w:pPr>
            <w:r>
              <w:t xml:space="preserve">0.2</w:t>
            </w:r>
          </w:p>
        </w:tc>
        <w:tc>
          <w:tcPr/>
          <w:p>
            <w:pPr>
              <w:pStyle w:val="Compact"/>
              <w:jc w:val="right"/>
            </w:pPr>
            <w:r>
              <w:t xml:space="preserve">-0.00056</w:t>
            </w:r>
          </w:p>
        </w:tc>
        <w:tc>
          <w:tcPr/>
          <w:p>
            <w:pPr>
              <w:pStyle w:val="Compact"/>
              <w:jc w:val="right"/>
            </w:pPr>
            <w:r>
              <w:t xml:space="preserve">0.03814</w:t>
            </w:r>
          </w:p>
        </w:tc>
        <w:tc>
          <w:tcPr/>
          <w:p>
            <w:pPr>
              <w:pStyle w:val="Compact"/>
              <w:jc w:val="right"/>
            </w:pPr>
            <w:r>
              <w:t xml:space="preserve">1.599</w:t>
            </w:r>
          </w:p>
        </w:tc>
        <w:tc>
          <w:tcPr/>
          <w:p>
            <w:pPr>
              <w:pStyle w:val="Compact"/>
              <w:jc w:val="right"/>
            </w:pPr>
            <w:r>
              <w:t xml:space="preserve">0.867</w:t>
            </w:r>
          </w:p>
        </w:tc>
        <w:tc>
          <w:tcPr/>
          <w:p>
            <w:pPr>
              <w:pStyle w:val="Compact"/>
              <w:jc w:val="right"/>
            </w:pPr>
            <w:r>
              <w:t xml:space="preserve">0.533</w:t>
            </w:r>
          </w:p>
        </w:tc>
        <w:tc>
          <w:tcPr/>
          <w:p>
            <w:pPr>
              <w:pStyle w:val="Compact"/>
              <w:jc w:val="right"/>
            </w:pPr>
            <w:r>
              <w:t xml:space="preserve">0.334</w:t>
            </w:r>
          </w:p>
        </w:tc>
      </w:tr>
      <w:tr>
        <w:tc>
          <w:tcPr/>
          <w:p>
            <w:pPr>
              <w:pStyle w:val="Compact"/>
              <w:jc w:val="left"/>
            </w:pPr>
            <w:r>
              <w:t xml:space="preserve">16</w:t>
            </w:r>
          </w:p>
        </w:tc>
        <w:tc>
          <w:tcPr/>
          <w:p>
            <w:pPr>
              <w:pStyle w:val="Compact"/>
              <w:jc w:val="left"/>
            </w:pPr>
            <w:r>
              <w:t xml:space="preserve">cov_miss_mnar</w:t>
            </w:r>
          </w:p>
        </w:tc>
        <w:tc>
          <w:tcPr/>
          <w:p>
            <w:pPr>
              <w:pStyle w:val="Compact"/>
              <w:jc w:val="left"/>
            </w:pPr>
            <w:r>
              <w:t xml:space="preserve">0.1</w:t>
            </w:r>
          </w:p>
        </w:tc>
        <w:tc>
          <w:tcPr/>
          <w:p>
            <w:pPr>
              <w:pStyle w:val="Compact"/>
              <w:jc w:val="right"/>
            </w:pPr>
            <w:r>
              <w:t xml:space="preserve">-0.00056</w:t>
            </w:r>
          </w:p>
        </w:tc>
        <w:tc>
          <w:tcPr/>
          <w:p>
            <w:pPr>
              <w:pStyle w:val="Compact"/>
              <w:jc w:val="right"/>
            </w:pPr>
            <w:r>
              <w:t xml:space="preserve">0.03748</w:t>
            </w:r>
          </w:p>
        </w:tc>
        <w:tc>
          <w:tcPr/>
          <w:p>
            <w:pPr>
              <w:pStyle w:val="Compact"/>
              <w:jc w:val="right"/>
            </w:pPr>
            <w:r>
              <w:t xml:space="preserve">1.490</w:t>
            </w:r>
          </w:p>
        </w:tc>
        <w:tc>
          <w:tcPr/>
          <w:p>
            <w:pPr>
              <w:pStyle w:val="Compact"/>
              <w:jc w:val="right"/>
            </w:pPr>
            <w:r>
              <w:t xml:space="preserve">0.867</w:t>
            </w:r>
          </w:p>
        </w:tc>
        <w:tc>
          <w:tcPr/>
          <w:p>
            <w:pPr>
              <w:pStyle w:val="Compact"/>
              <w:jc w:val="right"/>
            </w:pPr>
            <w:r>
              <w:t xml:space="preserve">0.667</w:t>
            </w:r>
          </w:p>
        </w:tc>
        <w:tc>
          <w:tcPr/>
          <w:p>
            <w:pPr>
              <w:pStyle w:val="Compact"/>
              <w:jc w:val="right"/>
            </w:pPr>
            <w:r>
              <w:t xml:space="preserve">0.200</w:t>
            </w:r>
          </w:p>
        </w:tc>
      </w:tr>
      <w:tr>
        <w:tc>
          <w:tcPr/>
          <w:p>
            <w:pPr>
              <w:pStyle w:val="Compact"/>
              <w:jc w:val="left"/>
            </w:pPr>
            <w:r>
              <w:t xml:space="preserve">19</w:t>
            </w:r>
          </w:p>
        </w:tc>
        <w:tc>
          <w:tcPr/>
          <w:p>
            <w:pPr>
              <w:pStyle w:val="Compact"/>
              <w:jc w:val="left"/>
            </w:pPr>
            <w:r>
              <w:t xml:space="preserve">cov_miss_mnar</w:t>
            </w:r>
          </w:p>
        </w:tc>
        <w:tc>
          <w:tcPr/>
          <w:p>
            <w:pPr>
              <w:pStyle w:val="Compact"/>
              <w:jc w:val="left"/>
            </w:pPr>
            <w:r>
              <w:t xml:space="preserve">0.2</w:t>
            </w:r>
          </w:p>
        </w:tc>
        <w:tc>
          <w:tcPr/>
          <w:p>
            <w:pPr>
              <w:pStyle w:val="Compact"/>
              <w:jc w:val="right"/>
            </w:pPr>
            <w:r>
              <w:t xml:space="preserve">-0.00056</w:t>
            </w:r>
          </w:p>
        </w:tc>
        <w:tc>
          <w:tcPr/>
          <w:p>
            <w:pPr>
              <w:pStyle w:val="Compact"/>
              <w:jc w:val="right"/>
            </w:pPr>
            <w:r>
              <w:t xml:space="preserve">0.04234</w:t>
            </w:r>
          </w:p>
        </w:tc>
        <w:tc>
          <w:tcPr/>
          <w:p>
            <w:pPr>
              <w:pStyle w:val="Compact"/>
              <w:jc w:val="right"/>
            </w:pPr>
            <w:r>
              <w:t xml:space="preserve">1.684</w:t>
            </w:r>
          </w:p>
        </w:tc>
        <w:tc>
          <w:tcPr/>
          <w:p>
            <w:pPr>
              <w:pStyle w:val="Compact"/>
              <w:jc w:val="right"/>
            </w:pPr>
            <w:r>
              <w:t xml:space="preserve">0.867</w:t>
            </w:r>
          </w:p>
        </w:tc>
        <w:tc>
          <w:tcPr/>
          <w:p>
            <w:pPr>
              <w:pStyle w:val="Compact"/>
              <w:jc w:val="right"/>
            </w:pPr>
            <w:r>
              <w:t xml:space="preserve">0.533</w:t>
            </w:r>
          </w:p>
        </w:tc>
        <w:tc>
          <w:tcPr/>
          <w:p>
            <w:pPr>
              <w:pStyle w:val="Compact"/>
              <w:jc w:val="right"/>
            </w:pPr>
            <w:r>
              <w:t xml:space="preserve">0.334</w:t>
            </w:r>
          </w:p>
        </w:tc>
      </w:tr>
      <w:tr>
        <w:tc>
          <w:tcPr/>
          <w:p>
            <w:pPr>
              <w:pStyle w:val="Compact"/>
              <w:jc w:val="left"/>
            </w:pPr>
            <w:r>
              <w:t xml:space="preserve">22</w:t>
            </w:r>
          </w:p>
        </w:tc>
        <w:tc>
          <w:tcPr/>
          <w:p>
            <w:pPr>
              <w:pStyle w:val="Compact"/>
              <w:jc w:val="left"/>
            </w:pPr>
            <w:r>
              <w:t xml:space="preserve">trt_misclass</w:t>
            </w:r>
          </w:p>
        </w:tc>
        <w:tc>
          <w:tcPr/>
          <w:p>
            <w:pPr>
              <w:pStyle w:val="Compact"/>
              <w:jc w:val="left"/>
            </w:pPr>
            <w:r>
              <w:t xml:space="preserve">sens0.95_spec0.99</w:t>
            </w:r>
          </w:p>
        </w:tc>
        <w:tc>
          <w:tcPr/>
          <w:p>
            <w:pPr>
              <w:pStyle w:val="Compact"/>
              <w:jc w:val="right"/>
            </w:pPr>
            <w:r>
              <w:t xml:space="preserve">-0.00056</w:t>
            </w:r>
          </w:p>
        </w:tc>
        <w:tc>
          <w:tcPr/>
          <w:p>
            <w:pPr>
              <w:pStyle w:val="Compact"/>
              <w:jc w:val="right"/>
            </w:pPr>
            <w:r>
              <w:t xml:space="preserve">-0.00534</w:t>
            </w:r>
          </w:p>
        </w:tc>
        <w:tc>
          <w:tcPr/>
          <w:p>
            <w:pPr>
              <w:pStyle w:val="Compact"/>
              <w:jc w:val="right"/>
            </w:pPr>
            <w:r>
              <w:t xml:space="preserve">0.744</w:t>
            </w:r>
          </w:p>
        </w:tc>
        <w:tc>
          <w:tcPr/>
          <w:p>
            <w:pPr>
              <w:pStyle w:val="Compact"/>
              <w:jc w:val="right"/>
            </w:pPr>
            <w:r>
              <w:t xml:space="preserve">0.867</w:t>
            </w:r>
          </w:p>
        </w:tc>
        <w:tc>
          <w:tcPr/>
          <w:p>
            <w:pPr>
              <w:pStyle w:val="Compact"/>
              <w:jc w:val="right"/>
            </w:pPr>
            <w:r>
              <w:t xml:space="preserve">0.967</w:t>
            </w:r>
          </w:p>
        </w:tc>
        <w:tc>
          <w:tcPr/>
          <w:p>
            <w:pPr>
              <w:pStyle w:val="Compact"/>
              <w:jc w:val="right"/>
            </w:pPr>
            <w:r>
              <w:t xml:space="preserve">-0.100</w:t>
            </w:r>
          </w:p>
        </w:tc>
      </w:tr>
      <w:tr>
        <w:tc>
          <w:tcPr/>
          <w:p>
            <w:pPr>
              <w:pStyle w:val="Compact"/>
              <w:jc w:val="left"/>
            </w:pPr>
            <w:r>
              <w:t xml:space="preserve">25</w:t>
            </w:r>
          </w:p>
        </w:tc>
        <w:tc>
          <w:tcPr/>
          <w:p>
            <w:pPr>
              <w:pStyle w:val="Compact"/>
              <w:jc w:val="left"/>
            </w:pPr>
            <w:r>
              <w:t xml:space="preserve">trt_misclass</w:t>
            </w:r>
          </w:p>
        </w:tc>
        <w:tc>
          <w:tcPr/>
          <w:p>
            <w:pPr>
              <w:pStyle w:val="Compact"/>
              <w:jc w:val="left"/>
            </w:pPr>
            <w:r>
              <w:t xml:space="preserve">sens0.90_spec0.95</w:t>
            </w:r>
          </w:p>
        </w:tc>
        <w:tc>
          <w:tcPr/>
          <w:p>
            <w:pPr>
              <w:pStyle w:val="Compact"/>
              <w:jc w:val="right"/>
            </w:pPr>
            <w:r>
              <w:t xml:space="preserve">-0.00056</w:t>
            </w:r>
          </w:p>
        </w:tc>
        <w:tc>
          <w:tcPr/>
          <w:p>
            <w:pPr>
              <w:pStyle w:val="Compact"/>
              <w:jc w:val="right"/>
            </w:pPr>
            <w:r>
              <w:t xml:space="preserve">-0.01672</w:t>
            </w:r>
          </w:p>
        </w:tc>
        <w:tc>
          <w:tcPr/>
          <w:p>
            <w:pPr>
              <w:pStyle w:val="Compact"/>
              <w:jc w:val="right"/>
            </w:pPr>
            <w:r>
              <w:t xml:space="preserve">0.903</w:t>
            </w:r>
          </w:p>
        </w:tc>
        <w:tc>
          <w:tcPr/>
          <w:p>
            <w:pPr>
              <w:pStyle w:val="Compact"/>
              <w:jc w:val="right"/>
            </w:pPr>
            <w:r>
              <w:t xml:space="preserve">0.867</w:t>
            </w:r>
          </w:p>
        </w:tc>
        <w:tc>
          <w:tcPr/>
          <w:p>
            <w:pPr>
              <w:pStyle w:val="Compact"/>
              <w:jc w:val="right"/>
            </w:pPr>
            <w:r>
              <w:t xml:space="preserve">0.900</w:t>
            </w:r>
          </w:p>
        </w:tc>
        <w:tc>
          <w:tcPr/>
          <w:p>
            <w:pPr>
              <w:pStyle w:val="Compact"/>
              <w:jc w:val="right"/>
            </w:pPr>
            <w:r>
              <w:t xml:space="preserve">-0.033</w:t>
            </w:r>
          </w:p>
        </w:tc>
      </w:tr>
      <w:tr>
        <w:tc>
          <w:tcPr/>
          <w:p>
            <w:pPr>
              <w:pStyle w:val="Compact"/>
              <w:jc w:val="left"/>
            </w:pPr>
            <w:r>
              <w:t xml:space="preserve">28</w:t>
            </w:r>
          </w:p>
        </w:tc>
        <w:tc>
          <w:tcPr/>
          <w:p>
            <w:pPr>
              <w:pStyle w:val="Compact"/>
              <w:jc w:val="left"/>
            </w:pPr>
            <w:r>
              <w:t xml:space="preserve">out_misclass</w:t>
            </w:r>
          </w:p>
        </w:tc>
        <w:tc>
          <w:tcPr/>
          <w:p>
            <w:pPr>
              <w:pStyle w:val="Compact"/>
              <w:jc w:val="left"/>
            </w:pPr>
            <w:r>
              <w:t xml:space="preserve">sens0.95_spec0.99</w:t>
            </w:r>
          </w:p>
        </w:tc>
        <w:tc>
          <w:tcPr/>
          <w:p>
            <w:pPr>
              <w:pStyle w:val="Compact"/>
              <w:jc w:val="right"/>
            </w:pPr>
            <w:r>
              <w:t xml:space="preserve">-0.00056</w:t>
            </w:r>
          </w:p>
        </w:tc>
        <w:tc>
          <w:tcPr/>
          <w:p>
            <w:pPr>
              <w:pStyle w:val="Compact"/>
              <w:jc w:val="right"/>
            </w:pPr>
            <w:r>
              <w:t xml:space="preserve">0.00469</w:t>
            </w:r>
          </w:p>
        </w:tc>
        <w:tc>
          <w:tcPr/>
          <w:p>
            <w:pPr>
              <w:pStyle w:val="Compact"/>
              <w:jc w:val="right"/>
            </w:pPr>
            <w:r>
              <w:t xml:space="preserve">0.784</w:t>
            </w:r>
          </w:p>
        </w:tc>
        <w:tc>
          <w:tcPr/>
          <w:p>
            <w:pPr>
              <w:pStyle w:val="Compact"/>
              <w:jc w:val="right"/>
            </w:pPr>
            <w:r>
              <w:t xml:space="preserve">0.867</w:t>
            </w:r>
          </w:p>
        </w:tc>
        <w:tc>
          <w:tcPr/>
          <w:p>
            <w:pPr>
              <w:pStyle w:val="Compact"/>
              <w:jc w:val="right"/>
            </w:pPr>
            <w:r>
              <w:t xml:space="preserve">1.000</w:t>
            </w:r>
          </w:p>
        </w:tc>
        <w:tc>
          <w:tcPr/>
          <w:p>
            <w:pPr>
              <w:pStyle w:val="Compact"/>
              <w:jc w:val="right"/>
            </w:pPr>
            <w:r>
              <w:t xml:space="preserve">-0.133</w:t>
            </w:r>
          </w:p>
        </w:tc>
      </w:tr>
      <w:tr>
        <w:tc>
          <w:tcPr/>
          <w:p>
            <w:pPr>
              <w:pStyle w:val="Compact"/>
              <w:jc w:val="left"/>
            </w:pPr>
            <w:r>
              <w:t xml:space="preserve">31</w:t>
            </w:r>
          </w:p>
        </w:tc>
        <w:tc>
          <w:tcPr/>
          <w:p>
            <w:pPr>
              <w:pStyle w:val="Compact"/>
              <w:jc w:val="left"/>
            </w:pPr>
            <w:r>
              <w:t xml:space="preserve">out_misclass</w:t>
            </w:r>
          </w:p>
        </w:tc>
        <w:tc>
          <w:tcPr/>
          <w:p>
            <w:pPr>
              <w:pStyle w:val="Compact"/>
              <w:jc w:val="left"/>
            </w:pPr>
            <w:r>
              <w:t xml:space="preserve">sens0.90_spec0.95</w:t>
            </w:r>
          </w:p>
        </w:tc>
        <w:tc>
          <w:tcPr/>
          <w:p>
            <w:pPr>
              <w:pStyle w:val="Compact"/>
              <w:jc w:val="right"/>
            </w:pPr>
            <w:r>
              <w:t xml:space="preserve">-0.00056</w:t>
            </w:r>
          </w:p>
        </w:tc>
        <w:tc>
          <w:tcPr/>
          <w:p>
            <w:pPr>
              <w:pStyle w:val="Compact"/>
              <w:jc w:val="right"/>
            </w:pPr>
            <w:r>
              <w:t xml:space="preserve">-0.00878</w:t>
            </w:r>
          </w:p>
        </w:tc>
        <w:tc>
          <w:tcPr/>
          <w:p>
            <w:pPr>
              <w:pStyle w:val="Compact"/>
              <w:jc w:val="right"/>
            </w:pPr>
            <w:r>
              <w:t xml:space="preserve">1.074</w:t>
            </w:r>
          </w:p>
        </w:tc>
        <w:tc>
          <w:tcPr/>
          <w:p>
            <w:pPr>
              <w:pStyle w:val="Compact"/>
              <w:jc w:val="right"/>
            </w:pPr>
            <w:r>
              <w:t xml:space="preserve">0.867</w:t>
            </w:r>
          </w:p>
        </w:tc>
        <w:tc>
          <w:tcPr/>
          <w:p>
            <w:pPr>
              <w:pStyle w:val="Compact"/>
              <w:jc w:val="right"/>
            </w:pPr>
            <w:r>
              <w:t xml:space="preserve">0.867</w:t>
            </w:r>
          </w:p>
        </w:tc>
        <w:tc>
          <w:tcPr/>
          <w:p>
            <w:pPr>
              <w:pStyle w:val="Compact"/>
              <w:jc w:val="right"/>
            </w:pPr>
            <w:r>
              <w:t xml:space="preserve">0.000</w:t>
            </w:r>
          </w:p>
        </w:tc>
      </w:tr>
      <w:tr>
        <w:tc>
          <w:tcPr/>
          <w:p>
            <w:pPr>
              <w:pStyle w:val="Compact"/>
              <w:jc w:val="left"/>
            </w:pPr>
            <w:r>
              <w:t xml:space="preserve">34</w:t>
            </w:r>
          </w:p>
        </w:tc>
        <w:tc>
          <w:tcPr/>
          <w:p>
            <w:pPr>
              <w:pStyle w:val="Compact"/>
              <w:jc w:val="left"/>
            </w:pPr>
            <w:r>
              <w:t xml:space="preserve">unmeasured_U</w:t>
            </w:r>
          </w:p>
        </w:tc>
        <w:tc>
          <w:tcPr/>
          <w:p>
            <w:pPr>
              <w:pStyle w:val="Compact"/>
              <w:jc w:val="left"/>
            </w:pPr>
            <w:r>
              <w:t xml:space="preserve">OR_trt2.0_out2.0</w:t>
            </w:r>
          </w:p>
        </w:tc>
        <w:tc>
          <w:tcPr/>
          <w:p>
            <w:pPr>
              <w:pStyle w:val="Compact"/>
              <w:jc w:val="right"/>
            </w:pPr>
            <w:r>
              <w:t xml:space="preserve">-0.00056</w:t>
            </w:r>
          </w:p>
        </w:tc>
        <w:tc>
          <w:tcPr/>
          <w:p>
            <w:pPr>
              <w:pStyle w:val="Compact"/>
              <w:jc w:val="right"/>
            </w:pPr>
            <w:r>
              <w:t xml:space="preserve">0.01665</w:t>
            </w:r>
          </w:p>
        </w:tc>
        <w:tc>
          <w:tcPr/>
          <w:p>
            <w:pPr>
              <w:pStyle w:val="Compact"/>
              <w:jc w:val="right"/>
            </w:pPr>
            <w:r>
              <w:t xml:space="preserve">1.029</w:t>
            </w:r>
          </w:p>
        </w:tc>
        <w:tc>
          <w:tcPr/>
          <w:p>
            <w:pPr>
              <w:pStyle w:val="Compact"/>
              <w:jc w:val="right"/>
            </w:pPr>
            <w:r>
              <w:t xml:space="preserve">0.867</w:t>
            </w:r>
          </w:p>
        </w:tc>
        <w:tc>
          <w:tcPr/>
          <w:p>
            <w:pPr>
              <w:pStyle w:val="Compact"/>
              <w:jc w:val="right"/>
            </w:pPr>
            <w:r>
              <w:t xml:space="preserve">0.867</w:t>
            </w:r>
          </w:p>
        </w:tc>
        <w:tc>
          <w:tcPr/>
          <w:p>
            <w:pPr>
              <w:pStyle w:val="Compact"/>
              <w:jc w:val="right"/>
            </w:pPr>
            <w:r>
              <w:t xml:space="preserve">0.000</w:t>
            </w:r>
          </w:p>
        </w:tc>
      </w:tr>
      <w:tr>
        <w:tc>
          <w:tcPr/>
          <w:p>
            <w:pPr>
              <w:pStyle w:val="Compact"/>
              <w:jc w:val="left"/>
            </w:pPr>
            <w:r>
              <w:t xml:space="preserve">37</w:t>
            </w:r>
          </w:p>
        </w:tc>
        <w:tc>
          <w:tcPr/>
          <w:p>
            <w:pPr>
              <w:pStyle w:val="Compact"/>
              <w:jc w:val="left"/>
            </w:pPr>
            <w:r>
              <w:t xml:space="preserve">unmeasured_U</w:t>
            </w:r>
          </w:p>
        </w:tc>
        <w:tc>
          <w:tcPr/>
          <w:p>
            <w:pPr>
              <w:pStyle w:val="Compact"/>
              <w:jc w:val="left"/>
            </w:pPr>
            <w:r>
              <w:t xml:space="preserve">OR_trt3.0_out3.0</w:t>
            </w:r>
          </w:p>
        </w:tc>
        <w:tc>
          <w:tcPr/>
          <w:p>
            <w:pPr>
              <w:pStyle w:val="Compact"/>
              <w:jc w:val="right"/>
            </w:pPr>
            <w:r>
              <w:t xml:space="preserve">-0.00056</w:t>
            </w:r>
          </w:p>
        </w:tc>
        <w:tc>
          <w:tcPr/>
          <w:p>
            <w:pPr>
              <w:pStyle w:val="Compact"/>
              <w:jc w:val="right"/>
            </w:pPr>
            <w:r>
              <w:t xml:space="preserve">0.03179</w:t>
            </w:r>
          </w:p>
        </w:tc>
        <w:tc>
          <w:tcPr/>
          <w:p>
            <w:pPr>
              <w:pStyle w:val="Compact"/>
              <w:jc w:val="right"/>
            </w:pPr>
            <w:r>
              <w:t xml:space="preserve">1.331</w:t>
            </w:r>
          </w:p>
        </w:tc>
        <w:tc>
          <w:tcPr/>
          <w:p>
            <w:pPr>
              <w:pStyle w:val="Compact"/>
              <w:jc w:val="right"/>
            </w:pPr>
            <w:r>
              <w:t xml:space="preserve">0.867</w:t>
            </w:r>
          </w:p>
        </w:tc>
        <w:tc>
          <w:tcPr/>
          <w:p>
            <w:pPr>
              <w:pStyle w:val="Compact"/>
              <w:jc w:val="right"/>
            </w:pPr>
            <w:r>
              <w:t xml:space="preserve">0.767</w:t>
            </w:r>
          </w:p>
        </w:tc>
        <w:tc>
          <w:tcPr/>
          <w:p>
            <w:pPr>
              <w:pStyle w:val="Compact"/>
              <w:jc w:val="right"/>
            </w:pPr>
            <w:r>
              <w:t xml:space="preserve">0.100</w:t>
            </w:r>
          </w:p>
        </w:tc>
      </w:tr>
      <w:tr>
        <w:tc>
          <w:tcPr/>
          <w:p>
            <w:pPr>
              <w:pStyle w:val="Compact"/>
              <w:jc w:val="left"/>
            </w:pPr>
            <w:r>
              <w:t xml:space="preserve">40</w:t>
            </w:r>
          </w:p>
        </w:tc>
        <w:tc>
          <w:tcPr/>
          <w:p>
            <w:pPr>
              <w:pStyle w:val="Compact"/>
              <w:jc w:val="left"/>
            </w:pPr>
            <w:r>
              <w:t xml:space="preserve">unmeasured_U</w:t>
            </w:r>
          </w:p>
        </w:tc>
        <w:tc>
          <w:tcPr/>
          <w:p>
            <w:pPr>
              <w:pStyle w:val="Compact"/>
              <w:jc w:val="left"/>
            </w:pPr>
            <w:r>
              <w:t xml:space="preserve">OR_trt4.0_out4.0</w:t>
            </w:r>
          </w:p>
        </w:tc>
        <w:tc>
          <w:tcPr/>
          <w:p>
            <w:pPr>
              <w:pStyle w:val="Compact"/>
              <w:jc w:val="right"/>
            </w:pPr>
            <w:r>
              <w:t xml:space="preserve">-0.00056</w:t>
            </w:r>
          </w:p>
        </w:tc>
        <w:tc>
          <w:tcPr/>
          <w:p>
            <w:pPr>
              <w:pStyle w:val="Compact"/>
              <w:jc w:val="right"/>
            </w:pPr>
            <w:r>
              <w:t xml:space="preserve">0.05762</w:t>
            </w:r>
          </w:p>
        </w:tc>
        <w:tc>
          <w:tcPr/>
          <w:p>
            <w:pPr>
              <w:pStyle w:val="Compact"/>
              <w:jc w:val="right"/>
            </w:pPr>
            <w:r>
              <w:t xml:space="preserve">2.161</w:t>
            </w:r>
          </w:p>
        </w:tc>
        <w:tc>
          <w:tcPr/>
          <w:p>
            <w:pPr>
              <w:pStyle w:val="Compact"/>
              <w:jc w:val="right"/>
            </w:pPr>
            <w:r>
              <w:t xml:space="preserve">0.867</w:t>
            </w:r>
          </w:p>
        </w:tc>
        <w:tc>
          <w:tcPr/>
          <w:p>
            <w:pPr>
              <w:pStyle w:val="Compact"/>
              <w:jc w:val="right"/>
            </w:pPr>
            <w:r>
              <w:t xml:space="preserve">0.300</w:t>
            </w:r>
          </w:p>
        </w:tc>
        <w:tc>
          <w:tcPr/>
          <w:p>
            <w:pPr>
              <w:pStyle w:val="Compact"/>
              <w:jc w:val="right"/>
            </w:pPr>
            <w:r>
              <w:t xml:space="preserve">0.567</w:t>
            </w:r>
          </w:p>
        </w:tc>
      </w:tr>
      <w:tr>
        <w:tc>
          <w:tcPr/>
          <w:p>
            <w:pPr>
              <w:pStyle w:val="Compact"/>
              <w:jc w:val="left"/>
            </w:pPr>
            <w:r>
              <w:t xml:space="preserve">43</w:t>
            </w:r>
          </w:p>
        </w:tc>
        <w:tc>
          <w:tcPr/>
          <w:p>
            <w:pPr>
              <w:pStyle w:val="Compact"/>
              <w:jc w:val="left"/>
            </w:pPr>
            <w:r>
              <w:t xml:space="preserve">unmeasured_U</w:t>
            </w:r>
          </w:p>
        </w:tc>
        <w:tc>
          <w:tcPr/>
          <w:p>
            <w:pPr>
              <w:pStyle w:val="Compact"/>
              <w:jc w:val="left"/>
            </w:pPr>
            <w:r>
              <w:t xml:space="preserve">OR_trt6.0_out6.0</w:t>
            </w:r>
          </w:p>
        </w:tc>
        <w:tc>
          <w:tcPr/>
          <w:p>
            <w:pPr>
              <w:pStyle w:val="Compact"/>
              <w:jc w:val="right"/>
            </w:pPr>
            <w:r>
              <w:t xml:space="preserve">-0.00056</w:t>
            </w:r>
          </w:p>
        </w:tc>
        <w:tc>
          <w:tcPr/>
          <w:p>
            <w:pPr>
              <w:pStyle w:val="Compact"/>
              <w:jc w:val="right"/>
            </w:pPr>
            <w:r>
              <w:t xml:space="preserve">0.07546</w:t>
            </w:r>
          </w:p>
        </w:tc>
        <w:tc>
          <w:tcPr/>
          <w:p>
            <w:pPr>
              <w:pStyle w:val="Compact"/>
              <w:jc w:val="right"/>
            </w:pPr>
            <w:r>
              <w:t xml:space="preserve">2.763</w:t>
            </w:r>
          </w:p>
        </w:tc>
        <w:tc>
          <w:tcPr/>
          <w:p>
            <w:pPr>
              <w:pStyle w:val="Compact"/>
              <w:jc w:val="right"/>
            </w:pPr>
            <w:r>
              <w:t xml:space="preserve">0.867</w:t>
            </w:r>
          </w:p>
        </w:tc>
        <w:tc>
          <w:tcPr/>
          <w:p>
            <w:pPr>
              <w:pStyle w:val="Compact"/>
              <w:jc w:val="right"/>
            </w:pPr>
            <w:r>
              <w:t xml:space="preserve">0.067</w:t>
            </w:r>
          </w:p>
        </w:tc>
        <w:tc>
          <w:tcPr/>
          <w:p>
            <w:pPr>
              <w:pStyle w:val="Compact"/>
              <w:jc w:val="right"/>
            </w:pPr>
            <w:r>
              <w:t xml:space="preserve">0.800</w:t>
            </w:r>
          </w:p>
        </w:tc>
      </w:tr>
      <w:tr>
        <w:tc>
          <w:tcPr/>
          <w:p>
            <w:pPr>
              <w:pStyle w:val="Compact"/>
              <w:jc w:val="left"/>
            </w:pPr>
            <w:r>
              <w:t xml:space="preserve">46</w:t>
            </w:r>
          </w:p>
        </w:tc>
        <w:tc>
          <w:tcPr/>
          <w:p>
            <w:pPr>
              <w:pStyle w:val="Compact"/>
              <w:jc w:val="left"/>
            </w:pPr>
            <w:r>
              <w:t xml:space="preserve">unmeasured_U</w:t>
            </w:r>
          </w:p>
        </w:tc>
        <w:tc>
          <w:tcPr/>
          <w:p>
            <w:pPr>
              <w:pStyle w:val="Compact"/>
              <w:jc w:val="left"/>
            </w:pPr>
            <w:r>
              <w:t xml:space="preserve">OR_trt8.0_out8.0</w:t>
            </w:r>
          </w:p>
        </w:tc>
        <w:tc>
          <w:tcPr/>
          <w:p>
            <w:pPr>
              <w:pStyle w:val="Compact"/>
              <w:jc w:val="right"/>
            </w:pPr>
            <w:r>
              <w:t xml:space="preserve">-0.00056</w:t>
            </w:r>
          </w:p>
        </w:tc>
        <w:tc>
          <w:tcPr/>
          <w:p>
            <w:pPr>
              <w:pStyle w:val="Compact"/>
              <w:jc w:val="right"/>
            </w:pPr>
            <w:r>
              <w:t xml:space="preserve">0.10177</w:t>
            </w:r>
          </w:p>
        </w:tc>
        <w:tc>
          <w:tcPr/>
          <w:p>
            <w:pPr>
              <w:pStyle w:val="Compact"/>
              <w:jc w:val="right"/>
            </w:pPr>
            <w:r>
              <w:t xml:space="preserve">3.674</w:t>
            </w:r>
          </w:p>
        </w:tc>
        <w:tc>
          <w:tcPr/>
          <w:p>
            <w:pPr>
              <w:pStyle w:val="Compact"/>
              <w:jc w:val="right"/>
            </w:pPr>
            <w:r>
              <w:t xml:space="preserve">0.867</w:t>
            </w:r>
          </w:p>
        </w:tc>
        <w:tc>
          <w:tcPr/>
          <w:p>
            <w:pPr>
              <w:pStyle w:val="Compact"/>
              <w:jc w:val="right"/>
            </w:pPr>
            <w:r>
              <w:t xml:space="preserve">0.033</w:t>
            </w:r>
          </w:p>
        </w:tc>
        <w:tc>
          <w:tcPr/>
          <w:p>
            <w:pPr>
              <w:pStyle w:val="Compact"/>
              <w:jc w:val="right"/>
            </w:pPr>
            <w:r>
              <w:t xml:space="preserve">0.834</w:t>
            </w:r>
          </w:p>
        </w:tc>
      </w:tr>
      <w:tr>
        <w:tc>
          <w:tcPr/>
          <w:p>
            <w:pPr>
              <w:pStyle w:val="Compact"/>
              <w:jc w:val="left"/>
            </w:pPr>
            <w:r>
              <w:t xml:space="preserve">49</w:t>
            </w:r>
          </w:p>
        </w:tc>
        <w:tc>
          <w:tcPr/>
          <w:p>
            <w:pPr>
              <w:pStyle w:val="Compact"/>
              <w:jc w:val="left"/>
            </w:pPr>
            <w:r>
              <w:t xml:space="preserve">near_positivity</w:t>
            </w:r>
          </w:p>
        </w:tc>
        <w:tc>
          <w:tcPr/>
          <w:p>
            <w:pPr>
              <w:pStyle w:val="Compact"/>
              <w:jc w:val="left"/>
            </w:pPr>
            <w:r>
              <w:t xml:space="preserve">slope_x2.0</w:t>
            </w:r>
          </w:p>
        </w:tc>
        <w:tc>
          <w:tcPr/>
          <w:p>
            <w:pPr>
              <w:pStyle w:val="Compact"/>
              <w:jc w:val="right"/>
            </w:pPr>
            <w:r>
              <w:t xml:space="preserve">-0.00056</w:t>
            </w:r>
          </w:p>
        </w:tc>
        <w:tc>
          <w:tcPr/>
          <w:p>
            <w:pPr>
              <w:pStyle w:val="Compact"/>
              <w:jc w:val="right"/>
            </w:pPr>
            <w:r>
              <w:t xml:space="preserve">0.00281</w:t>
            </w:r>
          </w:p>
        </w:tc>
        <w:tc>
          <w:tcPr/>
          <w:p>
            <w:pPr>
              <w:pStyle w:val="Compact"/>
              <w:jc w:val="right"/>
            </w:pPr>
            <w:r>
              <w:t xml:space="preserve">1.012</w:t>
            </w:r>
          </w:p>
        </w:tc>
        <w:tc>
          <w:tcPr/>
          <w:p>
            <w:pPr>
              <w:pStyle w:val="Compact"/>
              <w:jc w:val="right"/>
            </w:pPr>
            <w:r>
              <w:t xml:space="preserve">0.867</w:t>
            </w:r>
          </w:p>
        </w:tc>
        <w:tc>
          <w:tcPr/>
          <w:p>
            <w:pPr>
              <w:pStyle w:val="Compact"/>
              <w:jc w:val="right"/>
            </w:pPr>
            <w:r>
              <w:t xml:space="preserve">1.000</w:t>
            </w:r>
          </w:p>
        </w:tc>
        <w:tc>
          <w:tcPr/>
          <w:p>
            <w:pPr>
              <w:pStyle w:val="Compact"/>
              <w:jc w:val="right"/>
            </w:pPr>
            <w:r>
              <w:t xml:space="preserve">-0.133</w:t>
            </w:r>
          </w:p>
        </w:tc>
      </w:tr>
      <w:tr>
        <w:tc>
          <w:tcPr/>
          <w:p>
            <w:pPr>
              <w:pStyle w:val="Compact"/>
              <w:jc w:val="left"/>
            </w:pPr>
            <w:r>
              <w:t xml:space="preserve">52</w:t>
            </w:r>
          </w:p>
        </w:tc>
        <w:tc>
          <w:tcPr/>
          <w:p>
            <w:pPr>
              <w:pStyle w:val="Compact"/>
              <w:jc w:val="left"/>
            </w:pPr>
            <w:r>
              <w:t xml:space="preserve">near_positivity</w:t>
            </w:r>
          </w:p>
        </w:tc>
        <w:tc>
          <w:tcPr/>
          <w:p>
            <w:pPr>
              <w:pStyle w:val="Compact"/>
              <w:jc w:val="left"/>
            </w:pPr>
            <w:r>
              <w:t xml:space="preserve">slope_x3.0</w:t>
            </w:r>
          </w:p>
        </w:tc>
        <w:tc>
          <w:tcPr/>
          <w:p>
            <w:pPr>
              <w:pStyle w:val="Compact"/>
              <w:jc w:val="right"/>
            </w:pPr>
            <w:r>
              <w:t xml:space="preserve">-0.00056</w:t>
            </w:r>
          </w:p>
        </w:tc>
        <w:tc>
          <w:tcPr/>
          <w:p>
            <w:pPr>
              <w:pStyle w:val="Compact"/>
              <w:jc w:val="right"/>
            </w:pPr>
            <w:r>
              <w:t xml:space="preserve">-0.01195</w:t>
            </w:r>
          </w:p>
        </w:tc>
        <w:tc>
          <w:tcPr/>
          <w:p>
            <w:pPr>
              <w:pStyle w:val="Compact"/>
              <w:jc w:val="right"/>
            </w:pPr>
            <w:r>
              <w:t xml:space="preserve">1.440</w:t>
            </w:r>
          </w:p>
        </w:tc>
        <w:tc>
          <w:tcPr/>
          <w:p>
            <w:pPr>
              <w:pStyle w:val="Compact"/>
              <w:jc w:val="right"/>
            </w:pPr>
            <w:r>
              <w:t xml:space="preserve">0.867</w:t>
            </w:r>
          </w:p>
        </w:tc>
        <w:tc>
          <w:tcPr/>
          <w:p>
            <w:pPr>
              <w:pStyle w:val="Compact"/>
              <w:jc w:val="right"/>
            </w:pPr>
            <w:r>
              <w:t xml:space="preserve">0.867</w:t>
            </w:r>
          </w:p>
        </w:tc>
        <w:tc>
          <w:tcPr/>
          <w:p>
            <w:pPr>
              <w:pStyle w:val="Compact"/>
              <w:jc w:val="right"/>
            </w:pPr>
            <w:r>
              <w:t xml:space="preserve">0.000</w:t>
            </w:r>
          </w:p>
        </w:tc>
      </w:tr>
      <w:tr>
        <w:tc>
          <w:tcPr/>
          <w:p>
            <w:pPr>
              <w:pStyle w:val="Compact"/>
              <w:jc w:val="left"/>
            </w:pPr>
            <w:r>
              <w:t xml:space="preserve">55</w:t>
            </w:r>
          </w:p>
        </w:tc>
        <w:tc>
          <w:tcPr/>
          <w:p>
            <w:pPr>
              <w:pStyle w:val="Compact"/>
              <w:jc w:val="left"/>
            </w:pPr>
            <w:r>
              <w:t xml:space="preserve">near_positivity</w:t>
            </w:r>
          </w:p>
        </w:tc>
        <w:tc>
          <w:tcPr/>
          <w:p>
            <w:pPr>
              <w:pStyle w:val="Compact"/>
              <w:jc w:val="left"/>
            </w:pPr>
            <w:r>
              <w:t xml:space="preserve">slope_x4.0</w:t>
            </w:r>
          </w:p>
        </w:tc>
        <w:tc>
          <w:tcPr/>
          <w:p>
            <w:pPr>
              <w:pStyle w:val="Compact"/>
              <w:jc w:val="right"/>
            </w:pPr>
            <w:r>
              <w:t xml:space="preserve">-0.00056</w:t>
            </w:r>
          </w:p>
        </w:tc>
        <w:tc>
          <w:tcPr/>
          <w:p>
            <w:pPr>
              <w:pStyle w:val="Compact"/>
              <w:jc w:val="right"/>
            </w:pPr>
            <w:r>
              <w:t xml:space="preserve">0.02097</w:t>
            </w:r>
          </w:p>
        </w:tc>
        <w:tc>
          <w:tcPr/>
          <w:p>
            <w:pPr>
              <w:pStyle w:val="Compact"/>
              <w:jc w:val="right"/>
            </w:pPr>
            <w:r>
              <w:t xml:space="preserve">2.438</w:t>
            </w:r>
          </w:p>
        </w:tc>
        <w:tc>
          <w:tcPr/>
          <w:p>
            <w:pPr>
              <w:pStyle w:val="Compact"/>
              <w:jc w:val="right"/>
            </w:pPr>
            <w:r>
              <w:t xml:space="preserve">0.867</w:t>
            </w:r>
          </w:p>
        </w:tc>
        <w:tc>
          <w:tcPr/>
          <w:p>
            <w:pPr>
              <w:pStyle w:val="Compact"/>
              <w:jc w:val="right"/>
            </w:pPr>
            <w:r>
              <w:t xml:space="preserve">0.833</w:t>
            </w:r>
          </w:p>
        </w:tc>
        <w:tc>
          <w:tcPr/>
          <w:p>
            <w:pPr>
              <w:pStyle w:val="Compact"/>
              <w:jc w:val="right"/>
            </w:pPr>
            <w:r>
              <w:t xml:space="preserve">0.034</w:t>
            </w:r>
          </w:p>
        </w:tc>
      </w:tr>
    </w:tbl>
    <w:bookmarkEnd w:id="100"/>
    <w:bookmarkStart w:id="101" w:name="scenario-c-unmeasured-confounding"/>
    <w:p>
      <w:pPr>
        <w:pStyle w:val="Heading3"/>
      </w:pPr>
      <w:r>
        <w:t xml:space="preserve">10.3.4 Scenario C: Unmeasured Confounding</w:t>
      </w:r>
    </w:p>
    <w:p>
      <w:pPr>
        <w:pStyle w:val="FirstParagraph"/>
      </w:pPr>
      <w:r>
        <w:t xml:space="preserve">Selected candidate:</w:t>
      </w:r>
      <w:r>
        <w:t xml:space="preserve"> </w:t>
      </w:r>
      <w:r>
        <w:rPr>
          <w:rStyle w:val="VerbatimChar"/>
        </w:rPr>
        <w:t xml:space="preserve">robust</w:t>
      </w:r>
    </w:p>
    <w:p>
      <w:pPr>
        <w:pStyle w:val="TableCaption"/>
      </w:pPr>
      <w:r>
        <w:t xml:space="preserve">DQ degradation: Scenario C: Unmeasured Confounding (candidate: robust)</w:t>
      </w:r>
    </w:p>
    <w:tbl>
      <w:tblPr>
        <w:tblStyle w:val="Table"/>
        <w:tblW w:type="pct" w:w="5000"/>
        <w:tblLayout w:type="fixed"/>
        <w:tblLook w:firstRow="1" w:lastRow="0" w:firstColumn="0" w:lastColumn="0" w:noHBand="0" w:noVBand="0" w:val="0020"/>
        <w:tblCaption w:val="DQ degradation: Scenario C: Unmeasured Confounding (candidate: robust)"/>
      </w:tblPr>
      <w:tblGrid>
        <w:gridCol w:w="214"/>
        <w:gridCol w:w="1141"/>
        <w:gridCol w:w="1284"/>
        <w:gridCol w:w="998"/>
        <w:gridCol w:w="998"/>
        <w:gridCol w:w="784"/>
        <w:gridCol w:w="927"/>
        <w:gridCol w:w="927"/>
        <w:gridCol w:w="642"/>
      </w:tblGrid>
      <w:tr>
        <w:trPr>
          <w:tblHeader w:val="on"/>
        </w:trPr>
        <w:tc>
          <w:tcPr/>
          <w:p>
            <w:pPr>
              <w:pStyle w:val="Compact"/>
            </w:pPr>
          </w:p>
        </w:tc>
        <w:tc>
          <w:tcPr/>
          <w:p>
            <w:pPr>
              <w:pStyle w:val="Compact"/>
              <w:jc w:val="left"/>
            </w:pPr>
            <w:r>
              <w:t xml:space="preserve">scenario</w:t>
            </w:r>
          </w:p>
        </w:tc>
        <w:tc>
          <w:tcPr/>
          <w:p>
            <w:pPr>
              <w:pStyle w:val="Compact"/>
              <w:jc w:val="left"/>
            </w:pPr>
            <w:r>
              <w:t xml:space="preserve">level</w:t>
            </w:r>
          </w:p>
        </w:tc>
        <w:tc>
          <w:tcPr/>
          <w:p>
            <w:pPr>
              <w:pStyle w:val="Compact"/>
              <w:jc w:val="right"/>
            </w:pPr>
            <w:r>
              <w:t xml:space="preserve">bias_baseline</w:t>
            </w:r>
          </w:p>
        </w:tc>
        <w:tc>
          <w:tcPr/>
          <w:p>
            <w:pPr>
              <w:pStyle w:val="Compact"/>
              <w:jc w:val="right"/>
            </w:pPr>
            <w:r>
              <w:t xml:space="preserve">bias_degraded</w:t>
            </w:r>
          </w:p>
        </w:tc>
        <w:tc>
          <w:tcPr/>
          <w:p>
            <w:pPr>
              <w:pStyle w:val="Compact"/>
              <w:jc w:val="right"/>
            </w:pPr>
            <w:r>
              <w:t xml:space="preserve">rmse_ratio</w:t>
            </w:r>
          </w:p>
        </w:tc>
        <w:tc>
          <w:tcPr/>
          <w:p>
            <w:pPr>
              <w:pStyle w:val="Compact"/>
              <w:jc w:val="right"/>
            </w:pPr>
            <w:r>
              <w:t xml:space="preserve">cov_baseline</w:t>
            </w:r>
          </w:p>
        </w:tc>
        <w:tc>
          <w:tcPr/>
          <w:p>
            <w:pPr>
              <w:pStyle w:val="Compact"/>
              <w:jc w:val="right"/>
            </w:pPr>
            <w:r>
              <w:t xml:space="preserve">cov_degraded</w:t>
            </w:r>
          </w:p>
        </w:tc>
        <w:tc>
          <w:tcPr/>
          <w:p>
            <w:pPr>
              <w:pStyle w:val="Compact"/>
              <w:jc w:val="right"/>
            </w:pPr>
            <w:r>
              <w:t xml:space="preserve">cov_drop</w:t>
            </w:r>
          </w:p>
        </w:tc>
      </w:tr>
      <w:tr>
        <w:tc>
          <w:tcPr/>
          <w:p>
            <w:pPr>
              <w:pStyle w:val="Compact"/>
              <w:jc w:val="left"/>
            </w:pPr>
            <w:r>
              <w:t xml:space="preserve">3</w:t>
            </w:r>
          </w:p>
        </w:tc>
        <w:tc>
          <w:tcPr/>
          <w:p>
            <w:pPr>
              <w:pStyle w:val="Compact"/>
              <w:jc w:val="left"/>
            </w:pPr>
            <w:r>
              <w:t xml:space="preserve">cov_miss</w:t>
            </w:r>
          </w:p>
        </w:tc>
        <w:tc>
          <w:tcPr/>
          <w:p>
            <w:pPr>
              <w:pStyle w:val="Compact"/>
              <w:jc w:val="left"/>
            </w:pPr>
            <w:r>
              <w:t xml:space="preserve">0.05</w:t>
            </w:r>
          </w:p>
        </w:tc>
        <w:tc>
          <w:tcPr/>
          <w:p>
            <w:pPr>
              <w:pStyle w:val="Compact"/>
              <w:jc w:val="right"/>
            </w:pPr>
            <w:r>
              <w:t xml:space="preserve">-0.00252</w:t>
            </w:r>
          </w:p>
        </w:tc>
        <w:tc>
          <w:tcPr/>
          <w:p>
            <w:pPr>
              <w:pStyle w:val="Compact"/>
              <w:jc w:val="right"/>
            </w:pPr>
            <w:r>
              <w:t xml:space="preserve">-0.00028</w:t>
            </w:r>
          </w:p>
        </w:tc>
        <w:tc>
          <w:tcPr/>
          <w:p>
            <w:pPr>
              <w:pStyle w:val="Compact"/>
              <w:jc w:val="right"/>
            </w:pPr>
            <w:r>
              <w:t xml:space="preserve">1.066</w:t>
            </w:r>
          </w:p>
        </w:tc>
        <w:tc>
          <w:tcPr/>
          <w:p>
            <w:pPr>
              <w:pStyle w:val="Compact"/>
              <w:jc w:val="right"/>
            </w:pPr>
            <w:r>
              <w:t xml:space="preserve">0.967</w:t>
            </w:r>
          </w:p>
        </w:tc>
        <w:tc>
          <w:tcPr/>
          <w:p>
            <w:pPr>
              <w:pStyle w:val="Compact"/>
              <w:jc w:val="right"/>
            </w:pPr>
            <w:r>
              <w:t xml:space="preserve">0.967</w:t>
            </w:r>
          </w:p>
        </w:tc>
        <w:tc>
          <w:tcPr/>
          <w:p>
            <w:pPr>
              <w:pStyle w:val="Compact"/>
              <w:jc w:val="right"/>
            </w:pPr>
            <w:r>
              <w:t xml:space="preserve">0.000</w:t>
            </w:r>
          </w:p>
        </w:tc>
      </w:tr>
      <w:tr>
        <w:tc>
          <w:tcPr/>
          <w:p>
            <w:pPr>
              <w:pStyle w:val="Compact"/>
              <w:jc w:val="left"/>
            </w:pPr>
            <w:r>
              <w:t xml:space="preserve">6</w:t>
            </w:r>
          </w:p>
        </w:tc>
        <w:tc>
          <w:tcPr/>
          <w:p>
            <w:pPr>
              <w:pStyle w:val="Compact"/>
              <w:jc w:val="left"/>
            </w:pPr>
            <w:r>
              <w:t xml:space="preserve">cov_miss</w:t>
            </w:r>
          </w:p>
        </w:tc>
        <w:tc>
          <w:tcPr/>
          <w:p>
            <w:pPr>
              <w:pStyle w:val="Compact"/>
              <w:jc w:val="left"/>
            </w:pPr>
            <w:r>
              <w:t xml:space="preserve">0.1</w:t>
            </w:r>
          </w:p>
        </w:tc>
        <w:tc>
          <w:tcPr/>
          <w:p>
            <w:pPr>
              <w:pStyle w:val="Compact"/>
              <w:jc w:val="right"/>
            </w:pPr>
            <w:r>
              <w:t xml:space="preserve">-0.00252</w:t>
            </w:r>
          </w:p>
        </w:tc>
        <w:tc>
          <w:tcPr/>
          <w:p>
            <w:pPr>
              <w:pStyle w:val="Compact"/>
              <w:jc w:val="right"/>
            </w:pPr>
            <w:r>
              <w:t xml:space="preserve">0.00529</w:t>
            </w:r>
          </w:p>
        </w:tc>
        <w:tc>
          <w:tcPr/>
          <w:p>
            <w:pPr>
              <w:pStyle w:val="Compact"/>
              <w:jc w:val="right"/>
            </w:pPr>
            <w:r>
              <w:t xml:space="preserve">1.126</w:t>
            </w:r>
          </w:p>
        </w:tc>
        <w:tc>
          <w:tcPr/>
          <w:p>
            <w:pPr>
              <w:pStyle w:val="Compact"/>
              <w:jc w:val="right"/>
            </w:pPr>
            <w:r>
              <w:t xml:space="preserve">0.967</w:t>
            </w:r>
          </w:p>
        </w:tc>
        <w:tc>
          <w:tcPr/>
          <w:p>
            <w:pPr>
              <w:pStyle w:val="Compact"/>
              <w:jc w:val="right"/>
            </w:pPr>
            <w:r>
              <w:t xml:space="preserve">1.000</w:t>
            </w:r>
          </w:p>
        </w:tc>
        <w:tc>
          <w:tcPr/>
          <w:p>
            <w:pPr>
              <w:pStyle w:val="Compact"/>
              <w:jc w:val="right"/>
            </w:pPr>
            <w:r>
              <w:t xml:space="preserve">-0.033</w:t>
            </w:r>
          </w:p>
        </w:tc>
      </w:tr>
      <w:tr>
        <w:tc>
          <w:tcPr/>
          <w:p>
            <w:pPr>
              <w:pStyle w:val="Compact"/>
              <w:jc w:val="left"/>
            </w:pPr>
            <w:r>
              <w:t xml:space="preserve">9</w:t>
            </w:r>
          </w:p>
        </w:tc>
        <w:tc>
          <w:tcPr/>
          <w:p>
            <w:pPr>
              <w:pStyle w:val="Compact"/>
              <w:jc w:val="left"/>
            </w:pPr>
            <w:r>
              <w:t xml:space="preserve">cov_miss</w:t>
            </w:r>
          </w:p>
        </w:tc>
        <w:tc>
          <w:tcPr/>
          <w:p>
            <w:pPr>
              <w:pStyle w:val="Compact"/>
              <w:jc w:val="left"/>
            </w:pPr>
            <w:r>
              <w:t xml:space="preserve">0.2</w:t>
            </w:r>
          </w:p>
        </w:tc>
        <w:tc>
          <w:tcPr/>
          <w:p>
            <w:pPr>
              <w:pStyle w:val="Compact"/>
              <w:jc w:val="right"/>
            </w:pPr>
            <w:r>
              <w:t xml:space="preserve">-0.00252</w:t>
            </w:r>
          </w:p>
        </w:tc>
        <w:tc>
          <w:tcPr/>
          <w:p>
            <w:pPr>
              <w:pStyle w:val="Compact"/>
              <w:jc w:val="right"/>
            </w:pPr>
            <w:r>
              <w:t xml:space="preserve">0.00506</w:t>
            </w:r>
          </w:p>
        </w:tc>
        <w:tc>
          <w:tcPr/>
          <w:p>
            <w:pPr>
              <w:pStyle w:val="Compact"/>
              <w:jc w:val="right"/>
            </w:pPr>
            <w:r>
              <w:t xml:space="preserve">1.133</w:t>
            </w:r>
          </w:p>
        </w:tc>
        <w:tc>
          <w:tcPr/>
          <w:p>
            <w:pPr>
              <w:pStyle w:val="Compact"/>
              <w:jc w:val="right"/>
            </w:pPr>
            <w:r>
              <w:t xml:space="preserve">0.967</w:t>
            </w:r>
          </w:p>
        </w:tc>
        <w:tc>
          <w:tcPr/>
          <w:p>
            <w:pPr>
              <w:pStyle w:val="Compact"/>
              <w:jc w:val="right"/>
            </w:pPr>
            <w:r>
              <w:t xml:space="preserve">0.967</w:t>
            </w:r>
          </w:p>
        </w:tc>
        <w:tc>
          <w:tcPr/>
          <w:p>
            <w:pPr>
              <w:pStyle w:val="Compact"/>
              <w:jc w:val="right"/>
            </w:pPr>
            <w:r>
              <w:t xml:space="preserve">0.000</w:t>
            </w:r>
          </w:p>
        </w:tc>
      </w:tr>
      <w:tr>
        <w:tc>
          <w:tcPr/>
          <w:p>
            <w:pPr>
              <w:pStyle w:val="Compact"/>
              <w:jc w:val="left"/>
            </w:pPr>
            <w:r>
              <w:t xml:space="preserve">12</w:t>
            </w:r>
          </w:p>
        </w:tc>
        <w:tc>
          <w:tcPr/>
          <w:p>
            <w:pPr>
              <w:pStyle w:val="Compact"/>
              <w:jc w:val="left"/>
            </w:pPr>
            <w:r>
              <w:t xml:space="preserve">cov_miss_mar</w:t>
            </w:r>
          </w:p>
        </w:tc>
        <w:tc>
          <w:tcPr/>
          <w:p>
            <w:pPr>
              <w:pStyle w:val="Compact"/>
              <w:jc w:val="left"/>
            </w:pPr>
            <w:r>
              <w:t xml:space="preserve">0.1</w:t>
            </w:r>
          </w:p>
        </w:tc>
        <w:tc>
          <w:tcPr/>
          <w:p>
            <w:pPr>
              <w:pStyle w:val="Compact"/>
              <w:jc w:val="right"/>
            </w:pPr>
            <w:r>
              <w:t xml:space="preserve">-0.00252</w:t>
            </w:r>
          </w:p>
        </w:tc>
        <w:tc>
          <w:tcPr/>
          <w:p>
            <w:pPr>
              <w:pStyle w:val="Compact"/>
              <w:jc w:val="right"/>
            </w:pPr>
            <w:r>
              <w:t xml:space="preserve">0.00533</w:t>
            </w:r>
          </w:p>
        </w:tc>
        <w:tc>
          <w:tcPr/>
          <w:p>
            <w:pPr>
              <w:pStyle w:val="Compact"/>
              <w:jc w:val="right"/>
            </w:pPr>
            <w:r>
              <w:t xml:space="preserve">0.977</w:t>
            </w:r>
          </w:p>
        </w:tc>
        <w:tc>
          <w:tcPr/>
          <w:p>
            <w:pPr>
              <w:pStyle w:val="Compact"/>
              <w:jc w:val="right"/>
            </w:pPr>
            <w:r>
              <w:t xml:space="preserve">0.967</w:t>
            </w:r>
          </w:p>
        </w:tc>
        <w:tc>
          <w:tcPr/>
          <w:p>
            <w:pPr>
              <w:pStyle w:val="Compact"/>
              <w:jc w:val="right"/>
            </w:pPr>
            <w:r>
              <w:t xml:space="preserve">1.000</w:t>
            </w:r>
          </w:p>
        </w:tc>
        <w:tc>
          <w:tcPr/>
          <w:p>
            <w:pPr>
              <w:pStyle w:val="Compact"/>
              <w:jc w:val="right"/>
            </w:pPr>
            <w:r>
              <w:t xml:space="preserve">-0.033</w:t>
            </w:r>
          </w:p>
        </w:tc>
      </w:tr>
      <w:tr>
        <w:tc>
          <w:tcPr/>
          <w:p>
            <w:pPr>
              <w:pStyle w:val="Compact"/>
              <w:jc w:val="left"/>
            </w:pPr>
            <w:r>
              <w:t xml:space="preserve">15</w:t>
            </w:r>
          </w:p>
        </w:tc>
        <w:tc>
          <w:tcPr/>
          <w:p>
            <w:pPr>
              <w:pStyle w:val="Compact"/>
              <w:jc w:val="left"/>
            </w:pPr>
            <w:r>
              <w:t xml:space="preserve">cov_miss_mar</w:t>
            </w:r>
          </w:p>
        </w:tc>
        <w:tc>
          <w:tcPr/>
          <w:p>
            <w:pPr>
              <w:pStyle w:val="Compact"/>
              <w:jc w:val="left"/>
            </w:pPr>
            <w:r>
              <w:t xml:space="preserve">0.2</w:t>
            </w:r>
          </w:p>
        </w:tc>
        <w:tc>
          <w:tcPr/>
          <w:p>
            <w:pPr>
              <w:pStyle w:val="Compact"/>
              <w:jc w:val="right"/>
            </w:pPr>
            <w:r>
              <w:t xml:space="preserve">-0.00252</w:t>
            </w:r>
          </w:p>
        </w:tc>
        <w:tc>
          <w:tcPr/>
          <w:p>
            <w:pPr>
              <w:pStyle w:val="Compact"/>
              <w:jc w:val="right"/>
            </w:pPr>
            <w:r>
              <w:t xml:space="preserve">0.00784</w:t>
            </w:r>
          </w:p>
        </w:tc>
        <w:tc>
          <w:tcPr/>
          <w:p>
            <w:pPr>
              <w:pStyle w:val="Compact"/>
              <w:jc w:val="right"/>
            </w:pPr>
            <w:r>
              <w:t xml:space="preserve">1.144</w:t>
            </w:r>
          </w:p>
        </w:tc>
        <w:tc>
          <w:tcPr/>
          <w:p>
            <w:pPr>
              <w:pStyle w:val="Compact"/>
              <w:jc w:val="right"/>
            </w:pPr>
            <w:r>
              <w:t xml:space="preserve">0.967</w:t>
            </w:r>
          </w:p>
        </w:tc>
        <w:tc>
          <w:tcPr/>
          <w:p>
            <w:pPr>
              <w:pStyle w:val="Compact"/>
              <w:jc w:val="right"/>
            </w:pPr>
            <w:r>
              <w:t xml:space="preserve">0.933</w:t>
            </w:r>
          </w:p>
        </w:tc>
        <w:tc>
          <w:tcPr/>
          <w:p>
            <w:pPr>
              <w:pStyle w:val="Compact"/>
              <w:jc w:val="right"/>
            </w:pPr>
            <w:r>
              <w:t xml:space="preserve">0.034</w:t>
            </w:r>
          </w:p>
        </w:tc>
      </w:tr>
      <w:tr>
        <w:tc>
          <w:tcPr/>
          <w:p>
            <w:pPr>
              <w:pStyle w:val="Compact"/>
              <w:jc w:val="left"/>
            </w:pPr>
            <w:r>
              <w:t xml:space="preserve">18</w:t>
            </w:r>
          </w:p>
        </w:tc>
        <w:tc>
          <w:tcPr/>
          <w:p>
            <w:pPr>
              <w:pStyle w:val="Compact"/>
              <w:jc w:val="left"/>
            </w:pPr>
            <w:r>
              <w:t xml:space="preserve">cov_miss_mnar</w:t>
            </w:r>
          </w:p>
        </w:tc>
        <w:tc>
          <w:tcPr/>
          <w:p>
            <w:pPr>
              <w:pStyle w:val="Compact"/>
              <w:jc w:val="left"/>
            </w:pPr>
            <w:r>
              <w:t xml:space="preserve">0.1</w:t>
            </w:r>
          </w:p>
        </w:tc>
        <w:tc>
          <w:tcPr/>
          <w:p>
            <w:pPr>
              <w:pStyle w:val="Compact"/>
              <w:jc w:val="right"/>
            </w:pPr>
            <w:r>
              <w:t xml:space="preserve">-0.00252</w:t>
            </w:r>
          </w:p>
        </w:tc>
        <w:tc>
          <w:tcPr/>
          <w:p>
            <w:pPr>
              <w:pStyle w:val="Compact"/>
              <w:jc w:val="right"/>
            </w:pPr>
            <w:r>
              <w:t xml:space="preserve">0.00755</w:t>
            </w:r>
          </w:p>
        </w:tc>
        <w:tc>
          <w:tcPr/>
          <w:p>
            <w:pPr>
              <w:pStyle w:val="Compact"/>
              <w:jc w:val="right"/>
            </w:pPr>
            <w:r>
              <w:t xml:space="preserve">1.025</w:t>
            </w:r>
          </w:p>
        </w:tc>
        <w:tc>
          <w:tcPr/>
          <w:p>
            <w:pPr>
              <w:pStyle w:val="Compact"/>
              <w:jc w:val="right"/>
            </w:pPr>
            <w:r>
              <w:t xml:space="preserve">0.967</w:t>
            </w:r>
          </w:p>
        </w:tc>
        <w:tc>
          <w:tcPr/>
          <w:p>
            <w:pPr>
              <w:pStyle w:val="Compact"/>
              <w:jc w:val="right"/>
            </w:pPr>
            <w:r>
              <w:t xml:space="preserve">0.933</w:t>
            </w:r>
          </w:p>
        </w:tc>
        <w:tc>
          <w:tcPr/>
          <w:p>
            <w:pPr>
              <w:pStyle w:val="Compact"/>
              <w:jc w:val="right"/>
            </w:pPr>
            <w:r>
              <w:t xml:space="preserve">0.034</w:t>
            </w:r>
          </w:p>
        </w:tc>
      </w:tr>
      <w:tr>
        <w:tc>
          <w:tcPr/>
          <w:p>
            <w:pPr>
              <w:pStyle w:val="Compact"/>
              <w:jc w:val="left"/>
            </w:pPr>
            <w:r>
              <w:t xml:space="preserve">21</w:t>
            </w:r>
          </w:p>
        </w:tc>
        <w:tc>
          <w:tcPr/>
          <w:p>
            <w:pPr>
              <w:pStyle w:val="Compact"/>
              <w:jc w:val="left"/>
            </w:pPr>
            <w:r>
              <w:t xml:space="preserve">cov_miss_mnar</w:t>
            </w:r>
          </w:p>
        </w:tc>
        <w:tc>
          <w:tcPr/>
          <w:p>
            <w:pPr>
              <w:pStyle w:val="Compact"/>
              <w:jc w:val="left"/>
            </w:pPr>
            <w:r>
              <w:t xml:space="preserve">0.2</w:t>
            </w:r>
          </w:p>
        </w:tc>
        <w:tc>
          <w:tcPr/>
          <w:p>
            <w:pPr>
              <w:pStyle w:val="Compact"/>
              <w:jc w:val="right"/>
            </w:pPr>
            <w:r>
              <w:t xml:space="preserve">-0.00252</w:t>
            </w:r>
          </w:p>
        </w:tc>
        <w:tc>
          <w:tcPr/>
          <w:p>
            <w:pPr>
              <w:pStyle w:val="Compact"/>
              <w:jc w:val="right"/>
            </w:pPr>
            <w:r>
              <w:t xml:space="preserve">0.00983</w:t>
            </w:r>
          </w:p>
        </w:tc>
        <w:tc>
          <w:tcPr/>
          <w:p>
            <w:pPr>
              <w:pStyle w:val="Compact"/>
              <w:jc w:val="right"/>
            </w:pPr>
            <w:r>
              <w:t xml:space="preserve">0.960</w:t>
            </w:r>
          </w:p>
        </w:tc>
        <w:tc>
          <w:tcPr/>
          <w:p>
            <w:pPr>
              <w:pStyle w:val="Compact"/>
              <w:jc w:val="right"/>
            </w:pPr>
            <w:r>
              <w:t xml:space="preserve">0.967</w:t>
            </w:r>
          </w:p>
        </w:tc>
        <w:tc>
          <w:tcPr/>
          <w:p>
            <w:pPr>
              <w:pStyle w:val="Compact"/>
              <w:jc w:val="right"/>
            </w:pPr>
            <w:r>
              <w:t xml:space="preserve">1.000</w:t>
            </w:r>
          </w:p>
        </w:tc>
        <w:tc>
          <w:tcPr/>
          <w:p>
            <w:pPr>
              <w:pStyle w:val="Compact"/>
              <w:jc w:val="right"/>
            </w:pPr>
            <w:r>
              <w:t xml:space="preserve">-0.033</w:t>
            </w:r>
          </w:p>
        </w:tc>
      </w:tr>
      <w:tr>
        <w:tc>
          <w:tcPr/>
          <w:p>
            <w:pPr>
              <w:pStyle w:val="Compact"/>
              <w:jc w:val="left"/>
            </w:pPr>
            <w:r>
              <w:t xml:space="preserve">24</w:t>
            </w:r>
          </w:p>
        </w:tc>
        <w:tc>
          <w:tcPr/>
          <w:p>
            <w:pPr>
              <w:pStyle w:val="Compact"/>
              <w:jc w:val="left"/>
            </w:pPr>
            <w:r>
              <w:t xml:space="preserve">trt_misclass</w:t>
            </w:r>
          </w:p>
        </w:tc>
        <w:tc>
          <w:tcPr/>
          <w:p>
            <w:pPr>
              <w:pStyle w:val="Compact"/>
              <w:jc w:val="left"/>
            </w:pPr>
            <w:r>
              <w:t xml:space="preserve">sens0.95_spec0.99</w:t>
            </w:r>
          </w:p>
        </w:tc>
        <w:tc>
          <w:tcPr/>
          <w:p>
            <w:pPr>
              <w:pStyle w:val="Compact"/>
              <w:jc w:val="right"/>
            </w:pPr>
            <w:r>
              <w:t xml:space="preserve">-0.00252</w:t>
            </w:r>
          </w:p>
        </w:tc>
        <w:tc>
          <w:tcPr/>
          <w:p>
            <w:pPr>
              <w:pStyle w:val="Compact"/>
              <w:jc w:val="right"/>
            </w:pPr>
            <w:r>
              <w:t xml:space="preserve">-0.01327</w:t>
            </w:r>
          </w:p>
        </w:tc>
        <w:tc>
          <w:tcPr/>
          <w:p>
            <w:pPr>
              <w:pStyle w:val="Compact"/>
              <w:jc w:val="right"/>
            </w:pPr>
            <w:r>
              <w:t xml:space="preserve">1.480</w:t>
            </w:r>
          </w:p>
        </w:tc>
        <w:tc>
          <w:tcPr/>
          <w:p>
            <w:pPr>
              <w:pStyle w:val="Compact"/>
              <w:jc w:val="right"/>
            </w:pPr>
            <w:r>
              <w:t xml:space="preserve">0.967</w:t>
            </w:r>
          </w:p>
        </w:tc>
        <w:tc>
          <w:tcPr/>
          <w:p>
            <w:pPr>
              <w:pStyle w:val="Compact"/>
              <w:jc w:val="right"/>
            </w:pPr>
            <w:r>
              <w:t xml:space="preserve">0.867</w:t>
            </w:r>
          </w:p>
        </w:tc>
        <w:tc>
          <w:tcPr/>
          <w:p>
            <w:pPr>
              <w:pStyle w:val="Compact"/>
              <w:jc w:val="right"/>
            </w:pPr>
            <w:r>
              <w:t xml:space="preserve">0.100</w:t>
            </w:r>
          </w:p>
        </w:tc>
      </w:tr>
      <w:tr>
        <w:tc>
          <w:tcPr/>
          <w:p>
            <w:pPr>
              <w:pStyle w:val="Compact"/>
              <w:jc w:val="left"/>
            </w:pPr>
            <w:r>
              <w:t xml:space="preserve">27</w:t>
            </w:r>
          </w:p>
        </w:tc>
        <w:tc>
          <w:tcPr/>
          <w:p>
            <w:pPr>
              <w:pStyle w:val="Compact"/>
              <w:jc w:val="left"/>
            </w:pPr>
            <w:r>
              <w:t xml:space="preserve">trt_misclass</w:t>
            </w:r>
          </w:p>
        </w:tc>
        <w:tc>
          <w:tcPr/>
          <w:p>
            <w:pPr>
              <w:pStyle w:val="Compact"/>
              <w:jc w:val="left"/>
            </w:pPr>
            <w:r>
              <w:t xml:space="preserve">sens0.90_spec0.95</w:t>
            </w:r>
          </w:p>
        </w:tc>
        <w:tc>
          <w:tcPr/>
          <w:p>
            <w:pPr>
              <w:pStyle w:val="Compact"/>
              <w:jc w:val="right"/>
            </w:pPr>
            <w:r>
              <w:t xml:space="preserve">-0.00252</w:t>
            </w:r>
          </w:p>
        </w:tc>
        <w:tc>
          <w:tcPr/>
          <w:p>
            <w:pPr>
              <w:pStyle w:val="Compact"/>
              <w:jc w:val="right"/>
            </w:pPr>
            <w:r>
              <w:t xml:space="preserve">-0.00781</w:t>
            </w:r>
          </w:p>
        </w:tc>
        <w:tc>
          <w:tcPr/>
          <w:p>
            <w:pPr>
              <w:pStyle w:val="Compact"/>
              <w:jc w:val="right"/>
            </w:pPr>
            <w:r>
              <w:t xml:space="preserve">1.499</w:t>
            </w:r>
          </w:p>
        </w:tc>
        <w:tc>
          <w:tcPr/>
          <w:p>
            <w:pPr>
              <w:pStyle w:val="Compact"/>
              <w:jc w:val="right"/>
            </w:pPr>
            <w:r>
              <w:t xml:space="preserve">0.967</w:t>
            </w:r>
          </w:p>
        </w:tc>
        <w:tc>
          <w:tcPr/>
          <w:p>
            <w:pPr>
              <w:pStyle w:val="Compact"/>
              <w:jc w:val="right"/>
            </w:pPr>
            <w:r>
              <w:t xml:space="preserve">0.800</w:t>
            </w:r>
          </w:p>
        </w:tc>
        <w:tc>
          <w:tcPr/>
          <w:p>
            <w:pPr>
              <w:pStyle w:val="Compact"/>
              <w:jc w:val="right"/>
            </w:pPr>
            <w:r>
              <w:t xml:space="preserve">0.167</w:t>
            </w:r>
          </w:p>
        </w:tc>
      </w:tr>
      <w:tr>
        <w:tc>
          <w:tcPr/>
          <w:p>
            <w:pPr>
              <w:pStyle w:val="Compact"/>
              <w:jc w:val="left"/>
            </w:pPr>
            <w:r>
              <w:t xml:space="preserve">30</w:t>
            </w:r>
          </w:p>
        </w:tc>
        <w:tc>
          <w:tcPr/>
          <w:p>
            <w:pPr>
              <w:pStyle w:val="Compact"/>
              <w:jc w:val="left"/>
            </w:pPr>
            <w:r>
              <w:t xml:space="preserve">out_misclass</w:t>
            </w:r>
          </w:p>
        </w:tc>
        <w:tc>
          <w:tcPr/>
          <w:p>
            <w:pPr>
              <w:pStyle w:val="Compact"/>
              <w:jc w:val="left"/>
            </w:pPr>
            <w:r>
              <w:t xml:space="preserve">sens0.95_spec0.99</w:t>
            </w:r>
          </w:p>
        </w:tc>
        <w:tc>
          <w:tcPr/>
          <w:p>
            <w:pPr>
              <w:pStyle w:val="Compact"/>
              <w:jc w:val="right"/>
            </w:pPr>
            <w:r>
              <w:t xml:space="preserve">-0.00252</w:t>
            </w:r>
          </w:p>
        </w:tc>
        <w:tc>
          <w:tcPr/>
          <w:p>
            <w:pPr>
              <w:pStyle w:val="Compact"/>
              <w:jc w:val="right"/>
            </w:pPr>
            <w:r>
              <w:t xml:space="preserve">-0.00222</w:t>
            </w:r>
          </w:p>
        </w:tc>
        <w:tc>
          <w:tcPr/>
          <w:p>
            <w:pPr>
              <w:pStyle w:val="Compact"/>
              <w:jc w:val="right"/>
            </w:pPr>
            <w:r>
              <w:t xml:space="preserve">1.195</w:t>
            </w:r>
          </w:p>
        </w:tc>
        <w:tc>
          <w:tcPr/>
          <w:p>
            <w:pPr>
              <w:pStyle w:val="Compact"/>
              <w:jc w:val="right"/>
            </w:pPr>
            <w:r>
              <w:t xml:space="preserve">0.967</w:t>
            </w:r>
          </w:p>
        </w:tc>
        <w:tc>
          <w:tcPr/>
          <w:p>
            <w:pPr>
              <w:pStyle w:val="Compact"/>
              <w:jc w:val="right"/>
            </w:pPr>
            <w:r>
              <w:t xml:space="preserve">0.967</w:t>
            </w:r>
          </w:p>
        </w:tc>
        <w:tc>
          <w:tcPr/>
          <w:p>
            <w:pPr>
              <w:pStyle w:val="Compact"/>
              <w:jc w:val="right"/>
            </w:pPr>
            <w:r>
              <w:t xml:space="preserve">0.000</w:t>
            </w:r>
          </w:p>
        </w:tc>
      </w:tr>
      <w:tr>
        <w:tc>
          <w:tcPr/>
          <w:p>
            <w:pPr>
              <w:pStyle w:val="Compact"/>
              <w:jc w:val="left"/>
            </w:pPr>
            <w:r>
              <w:t xml:space="preserve">33</w:t>
            </w:r>
          </w:p>
        </w:tc>
        <w:tc>
          <w:tcPr/>
          <w:p>
            <w:pPr>
              <w:pStyle w:val="Compact"/>
              <w:jc w:val="left"/>
            </w:pPr>
            <w:r>
              <w:t xml:space="preserve">out_misclass</w:t>
            </w:r>
          </w:p>
        </w:tc>
        <w:tc>
          <w:tcPr/>
          <w:p>
            <w:pPr>
              <w:pStyle w:val="Compact"/>
              <w:jc w:val="left"/>
            </w:pPr>
            <w:r>
              <w:t xml:space="preserve">sens0.90_spec0.95</w:t>
            </w:r>
          </w:p>
        </w:tc>
        <w:tc>
          <w:tcPr/>
          <w:p>
            <w:pPr>
              <w:pStyle w:val="Compact"/>
              <w:jc w:val="right"/>
            </w:pPr>
            <w:r>
              <w:t xml:space="preserve">-0.00252</w:t>
            </w:r>
          </w:p>
        </w:tc>
        <w:tc>
          <w:tcPr/>
          <w:p>
            <w:pPr>
              <w:pStyle w:val="Compact"/>
              <w:jc w:val="right"/>
            </w:pPr>
            <w:r>
              <w:t xml:space="preserve">-0.00582</w:t>
            </w:r>
          </w:p>
        </w:tc>
        <w:tc>
          <w:tcPr/>
          <w:p>
            <w:pPr>
              <w:pStyle w:val="Compact"/>
              <w:jc w:val="right"/>
            </w:pPr>
            <w:r>
              <w:t xml:space="preserve">1.432</w:t>
            </w:r>
          </w:p>
        </w:tc>
        <w:tc>
          <w:tcPr/>
          <w:p>
            <w:pPr>
              <w:pStyle w:val="Compact"/>
              <w:jc w:val="right"/>
            </w:pPr>
            <w:r>
              <w:t xml:space="preserve">0.967</w:t>
            </w:r>
          </w:p>
        </w:tc>
        <w:tc>
          <w:tcPr/>
          <w:p>
            <w:pPr>
              <w:pStyle w:val="Compact"/>
              <w:jc w:val="right"/>
            </w:pPr>
            <w:r>
              <w:t xml:space="preserve">0.900</w:t>
            </w:r>
          </w:p>
        </w:tc>
        <w:tc>
          <w:tcPr/>
          <w:p>
            <w:pPr>
              <w:pStyle w:val="Compact"/>
              <w:jc w:val="right"/>
            </w:pPr>
            <w:r>
              <w:t xml:space="preserve">0.067</w:t>
            </w:r>
          </w:p>
        </w:tc>
      </w:tr>
      <w:tr>
        <w:tc>
          <w:tcPr/>
          <w:p>
            <w:pPr>
              <w:pStyle w:val="Compact"/>
              <w:jc w:val="left"/>
            </w:pPr>
            <w:r>
              <w:t xml:space="preserve">36</w:t>
            </w:r>
          </w:p>
        </w:tc>
        <w:tc>
          <w:tcPr/>
          <w:p>
            <w:pPr>
              <w:pStyle w:val="Compact"/>
              <w:jc w:val="left"/>
            </w:pPr>
            <w:r>
              <w:t xml:space="preserve">unmeasured_U</w:t>
            </w:r>
          </w:p>
        </w:tc>
        <w:tc>
          <w:tcPr/>
          <w:p>
            <w:pPr>
              <w:pStyle w:val="Compact"/>
              <w:jc w:val="left"/>
            </w:pPr>
            <w:r>
              <w:t xml:space="preserve">OR_trt2.0_out2.0</w:t>
            </w:r>
          </w:p>
        </w:tc>
        <w:tc>
          <w:tcPr/>
          <w:p>
            <w:pPr>
              <w:pStyle w:val="Compact"/>
              <w:jc w:val="right"/>
            </w:pPr>
            <w:r>
              <w:t xml:space="preserve">-0.00252</w:t>
            </w:r>
          </w:p>
        </w:tc>
        <w:tc>
          <w:tcPr/>
          <w:p>
            <w:pPr>
              <w:pStyle w:val="Compact"/>
              <w:jc w:val="right"/>
            </w:pPr>
            <w:r>
              <w:t xml:space="preserve">0.01348</w:t>
            </w:r>
          </w:p>
        </w:tc>
        <w:tc>
          <w:tcPr/>
          <w:p>
            <w:pPr>
              <w:pStyle w:val="Compact"/>
              <w:jc w:val="right"/>
            </w:pPr>
            <w:r>
              <w:t xml:space="preserve">1.643</w:t>
            </w:r>
          </w:p>
        </w:tc>
        <w:tc>
          <w:tcPr/>
          <w:p>
            <w:pPr>
              <w:pStyle w:val="Compact"/>
              <w:jc w:val="right"/>
            </w:pPr>
            <w:r>
              <w:t xml:space="preserve">0.967</w:t>
            </w:r>
          </w:p>
        </w:tc>
        <w:tc>
          <w:tcPr/>
          <w:p>
            <w:pPr>
              <w:pStyle w:val="Compact"/>
              <w:jc w:val="right"/>
            </w:pPr>
            <w:r>
              <w:t xml:space="preserve">0.833</w:t>
            </w:r>
          </w:p>
        </w:tc>
        <w:tc>
          <w:tcPr/>
          <w:p>
            <w:pPr>
              <w:pStyle w:val="Compact"/>
              <w:jc w:val="right"/>
            </w:pPr>
            <w:r>
              <w:t xml:space="preserve">0.134</w:t>
            </w:r>
          </w:p>
        </w:tc>
      </w:tr>
      <w:tr>
        <w:tc>
          <w:tcPr/>
          <w:p>
            <w:pPr>
              <w:pStyle w:val="Compact"/>
              <w:jc w:val="left"/>
            </w:pPr>
            <w:r>
              <w:t xml:space="preserve">39</w:t>
            </w:r>
          </w:p>
        </w:tc>
        <w:tc>
          <w:tcPr/>
          <w:p>
            <w:pPr>
              <w:pStyle w:val="Compact"/>
              <w:jc w:val="left"/>
            </w:pPr>
            <w:r>
              <w:t xml:space="preserve">unmeasured_U</w:t>
            </w:r>
          </w:p>
        </w:tc>
        <w:tc>
          <w:tcPr/>
          <w:p>
            <w:pPr>
              <w:pStyle w:val="Compact"/>
              <w:jc w:val="left"/>
            </w:pPr>
            <w:r>
              <w:t xml:space="preserve">OR_trt3.0_out3.0</w:t>
            </w:r>
          </w:p>
        </w:tc>
        <w:tc>
          <w:tcPr/>
          <w:p>
            <w:pPr>
              <w:pStyle w:val="Compact"/>
              <w:jc w:val="right"/>
            </w:pPr>
            <w:r>
              <w:t xml:space="preserve">-0.00252</w:t>
            </w:r>
          </w:p>
        </w:tc>
        <w:tc>
          <w:tcPr/>
          <w:p>
            <w:pPr>
              <w:pStyle w:val="Compact"/>
              <w:jc w:val="right"/>
            </w:pPr>
            <w:r>
              <w:t xml:space="preserve">0.03254</w:t>
            </w:r>
          </w:p>
        </w:tc>
        <w:tc>
          <w:tcPr/>
          <w:p>
            <w:pPr>
              <w:pStyle w:val="Compact"/>
              <w:jc w:val="right"/>
            </w:pPr>
            <w:r>
              <w:t xml:space="preserve">2.491</w:t>
            </w:r>
          </w:p>
        </w:tc>
        <w:tc>
          <w:tcPr/>
          <w:p>
            <w:pPr>
              <w:pStyle w:val="Compact"/>
              <w:jc w:val="right"/>
            </w:pPr>
            <w:r>
              <w:t xml:space="preserve">0.967</w:t>
            </w:r>
          </w:p>
        </w:tc>
        <w:tc>
          <w:tcPr/>
          <w:p>
            <w:pPr>
              <w:pStyle w:val="Compact"/>
              <w:jc w:val="right"/>
            </w:pPr>
            <w:r>
              <w:t xml:space="preserve">0.433</w:t>
            </w:r>
          </w:p>
        </w:tc>
        <w:tc>
          <w:tcPr/>
          <w:p>
            <w:pPr>
              <w:pStyle w:val="Compact"/>
              <w:jc w:val="right"/>
            </w:pPr>
            <w:r>
              <w:t xml:space="preserve">0.534</w:t>
            </w:r>
          </w:p>
        </w:tc>
      </w:tr>
      <w:tr>
        <w:tc>
          <w:tcPr/>
          <w:p>
            <w:pPr>
              <w:pStyle w:val="Compact"/>
              <w:jc w:val="left"/>
            </w:pPr>
            <w:r>
              <w:t xml:space="preserve">42</w:t>
            </w:r>
          </w:p>
        </w:tc>
        <w:tc>
          <w:tcPr/>
          <w:p>
            <w:pPr>
              <w:pStyle w:val="Compact"/>
              <w:jc w:val="left"/>
            </w:pPr>
            <w:r>
              <w:t xml:space="preserve">unmeasured_U</w:t>
            </w:r>
          </w:p>
        </w:tc>
        <w:tc>
          <w:tcPr/>
          <w:p>
            <w:pPr>
              <w:pStyle w:val="Compact"/>
              <w:jc w:val="left"/>
            </w:pPr>
            <w:r>
              <w:t xml:space="preserve">OR_trt4.0_out4.0</w:t>
            </w:r>
          </w:p>
        </w:tc>
        <w:tc>
          <w:tcPr/>
          <w:p>
            <w:pPr>
              <w:pStyle w:val="Compact"/>
              <w:jc w:val="right"/>
            </w:pPr>
            <w:r>
              <w:t xml:space="preserve">-0.00252</w:t>
            </w:r>
          </w:p>
        </w:tc>
        <w:tc>
          <w:tcPr/>
          <w:p>
            <w:pPr>
              <w:pStyle w:val="Compact"/>
              <w:jc w:val="right"/>
            </w:pPr>
            <w:r>
              <w:t xml:space="preserve">0.05339</w:t>
            </w:r>
          </w:p>
        </w:tc>
        <w:tc>
          <w:tcPr/>
          <w:p>
            <w:pPr>
              <w:pStyle w:val="Compact"/>
              <w:jc w:val="right"/>
            </w:pPr>
            <w:r>
              <w:t xml:space="preserve">3.620</w:t>
            </w:r>
          </w:p>
        </w:tc>
        <w:tc>
          <w:tcPr/>
          <w:p>
            <w:pPr>
              <w:pStyle w:val="Compact"/>
              <w:jc w:val="right"/>
            </w:pPr>
            <w:r>
              <w:t xml:space="preserve">0.967</w:t>
            </w:r>
          </w:p>
        </w:tc>
        <w:tc>
          <w:tcPr/>
          <w:p>
            <w:pPr>
              <w:pStyle w:val="Compact"/>
              <w:jc w:val="right"/>
            </w:pPr>
            <w:r>
              <w:t xml:space="preserve">0.267</w:t>
            </w:r>
          </w:p>
        </w:tc>
        <w:tc>
          <w:tcPr/>
          <w:p>
            <w:pPr>
              <w:pStyle w:val="Compact"/>
              <w:jc w:val="right"/>
            </w:pPr>
            <w:r>
              <w:t xml:space="preserve">0.700</w:t>
            </w:r>
          </w:p>
        </w:tc>
      </w:tr>
      <w:tr>
        <w:tc>
          <w:tcPr/>
          <w:p>
            <w:pPr>
              <w:pStyle w:val="Compact"/>
              <w:jc w:val="left"/>
            </w:pPr>
            <w:r>
              <w:t xml:space="preserve">45</w:t>
            </w:r>
          </w:p>
        </w:tc>
        <w:tc>
          <w:tcPr/>
          <w:p>
            <w:pPr>
              <w:pStyle w:val="Compact"/>
              <w:jc w:val="left"/>
            </w:pPr>
            <w:r>
              <w:t xml:space="preserve">unmeasured_U</w:t>
            </w:r>
          </w:p>
        </w:tc>
        <w:tc>
          <w:tcPr/>
          <w:p>
            <w:pPr>
              <w:pStyle w:val="Compact"/>
              <w:jc w:val="left"/>
            </w:pPr>
            <w:r>
              <w:t xml:space="preserve">OR_trt6.0_out6.0</w:t>
            </w:r>
          </w:p>
        </w:tc>
        <w:tc>
          <w:tcPr/>
          <w:p>
            <w:pPr>
              <w:pStyle w:val="Compact"/>
              <w:jc w:val="right"/>
            </w:pPr>
            <w:r>
              <w:t xml:space="preserve">-0.00252</w:t>
            </w:r>
          </w:p>
        </w:tc>
        <w:tc>
          <w:tcPr/>
          <w:p>
            <w:pPr>
              <w:pStyle w:val="Compact"/>
              <w:jc w:val="right"/>
            </w:pPr>
            <w:r>
              <w:t xml:space="preserve">0.08502</w:t>
            </w:r>
          </w:p>
        </w:tc>
        <w:tc>
          <w:tcPr/>
          <w:p>
            <w:pPr>
              <w:pStyle w:val="Compact"/>
              <w:jc w:val="right"/>
            </w:pPr>
            <w:r>
              <w:t xml:space="preserve">5.516</w:t>
            </w:r>
          </w:p>
        </w:tc>
        <w:tc>
          <w:tcPr/>
          <w:p>
            <w:pPr>
              <w:pStyle w:val="Compact"/>
              <w:jc w:val="right"/>
            </w:pPr>
            <w:r>
              <w:t xml:space="preserve">0.967</w:t>
            </w:r>
          </w:p>
        </w:tc>
        <w:tc>
          <w:tcPr/>
          <w:p>
            <w:pPr>
              <w:pStyle w:val="Compact"/>
              <w:jc w:val="right"/>
            </w:pPr>
            <w:r>
              <w:t xml:space="preserve">0.000</w:t>
            </w:r>
          </w:p>
        </w:tc>
        <w:tc>
          <w:tcPr/>
          <w:p>
            <w:pPr>
              <w:pStyle w:val="Compact"/>
              <w:jc w:val="right"/>
            </w:pPr>
            <w:r>
              <w:t xml:space="preserve">0.967</w:t>
            </w:r>
          </w:p>
        </w:tc>
      </w:tr>
      <w:tr>
        <w:tc>
          <w:tcPr/>
          <w:p>
            <w:pPr>
              <w:pStyle w:val="Compact"/>
              <w:jc w:val="left"/>
            </w:pPr>
            <w:r>
              <w:t xml:space="preserve">48</w:t>
            </w:r>
          </w:p>
        </w:tc>
        <w:tc>
          <w:tcPr/>
          <w:p>
            <w:pPr>
              <w:pStyle w:val="Compact"/>
              <w:jc w:val="left"/>
            </w:pPr>
            <w:r>
              <w:t xml:space="preserve">unmeasured_U</w:t>
            </w:r>
          </w:p>
        </w:tc>
        <w:tc>
          <w:tcPr/>
          <w:p>
            <w:pPr>
              <w:pStyle w:val="Compact"/>
              <w:jc w:val="left"/>
            </w:pPr>
            <w:r>
              <w:t xml:space="preserve">OR_trt8.0_out8.0</w:t>
            </w:r>
          </w:p>
        </w:tc>
        <w:tc>
          <w:tcPr/>
          <w:p>
            <w:pPr>
              <w:pStyle w:val="Compact"/>
              <w:jc w:val="right"/>
            </w:pPr>
            <w:r>
              <w:t xml:space="preserve">-0.00252</w:t>
            </w:r>
          </w:p>
        </w:tc>
        <w:tc>
          <w:tcPr/>
          <w:p>
            <w:pPr>
              <w:pStyle w:val="Compact"/>
              <w:jc w:val="right"/>
            </w:pPr>
            <w:r>
              <w:t xml:space="preserve">0.10326</w:t>
            </w:r>
          </w:p>
        </w:tc>
        <w:tc>
          <w:tcPr/>
          <w:p>
            <w:pPr>
              <w:pStyle w:val="Compact"/>
              <w:jc w:val="right"/>
            </w:pPr>
            <w:r>
              <w:t xml:space="preserve">6.627</w:t>
            </w:r>
          </w:p>
        </w:tc>
        <w:tc>
          <w:tcPr/>
          <w:p>
            <w:pPr>
              <w:pStyle w:val="Compact"/>
              <w:jc w:val="right"/>
            </w:pPr>
            <w:r>
              <w:t xml:space="preserve">0.967</w:t>
            </w:r>
          </w:p>
        </w:tc>
        <w:tc>
          <w:tcPr/>
          <w:p>
            <w:pPr>
              <w:pStyle w:val="Compact"/>
              <w:jc w:val="right"/>
            </w:pPr>
            <w:r>
              <w:t xml:space="preserve">0.000</w:t>
            </w:r>
          </w:p>
        </w:tc>
        <w:tc>
          <w:tcPr/>
          <w:p>
            <w:pPr>
              <w:pStyle w:val="Compact"/>
              <w:jc w:val="right"/>
            </w:pPr>
            <w:r>
              <w:t xml:space="preserve">0.967</w:t>
            </w:r>
          </w:p>
        </w:tc>
      </w:tr>
      <w:tr>
        <w:tc>
          <w:tcPr/>
          <w:p>
            <w:pPr>
              <w:pStyle w:val="Compact"/>
              <w:jc w:val="left"/>
            </w:pPr>
            <w:r>
              <w:t xml:space="preserve">51</w:t>
            </w:r>
          </w:p>
        </w:tc>
        <w:tc>
          <w:tcPr/>
          <w:p>
            <w:pPr>
              <w:pStyle w:val="Compact"/>
              <w:jc w:val="left"/>
            </w:pPr>
            <w:r>
              <w:t xml:space="preserve">near_positivity</w:t>
            </w:r>
          </w:p>
        </w:tc>
        <w:tc>
          <w:tcPr/>
          <w:p>
            <w:pPr>
              <w:pStyle w:val="Compact"/>
              <w:jc w:val="left"/>
            </w:pPr>
            <w:r>
              <w:t xml:space="preserve">slope_x2.0</w:t>
            </w:r>
          </w:p>
        </w:tc>
        <w:tc>
          <w:tcPr/>
          <w:p>
            <w:pPr>
              <w:pStyle w:val="Compact"/>
              <w:jc w:val="right"/>
            </w:pPr>
            <w:r>
              <w:t xml:space="preserve">-0.00252</w:t>
            </w:r>
          </w:p>
        </w:tc>
        <w:tc>
          <w:tcPr/>
          <w:p>
            <w:pPr>
              <w:pStyle w:val="Compact"/>
              <w:jc w:val="right"/>
            </w:pPr>
            <w:r>
              <w:t xml:space="preserve">0.00567</w:t>
            </w:r>
          </w:p>
        </w:tc>
        <w:tc>
          <w:tcPr/>
          <w:p>
            <w:pPr>
              <w:pStyle w:val="Compact"/>
              <w:jc w:val="right"/>
            </w:pPr>
            <w:r>
              <w:t xml:space="preserve">1.357</w:t>
            </w:r>
          </w:p>
        </w:tc>
        <w:tc>
          <w:tcPr/>
          <w:p>
            <w:pPr>
              <w:pStyle w:val="Compact"/>
              <w:jc w:val="right"/>
            </w:pPr>
            <w:r>
              <w:t xml:space="preserve">0.967</w:t>
            </w:r>
          </w:p>
        </w:tc>
        <w:tc>
          <w:tcPr/>
          <w:p>
            <w:pPr>
              <w:pStyle w:val="Compact"/>
              <w:jc w:val="right"/>
            </w:pPr>
            <w:r>
              <w:t xml:space="preserve">0.900</w:t>
            </w:r>
          </w:p>
        </w:tc>
        <w:tc>
          <w:tcPr/>
          <w:p>
            <w:pPr>
              <w:pStyle w:val="Compact"/>
              <w:jc w:val="right"/>
            </w:pPr>
            <w:r>
              <w:t xml:space="preserve">0.067</w:t>
            </w:r>
          </w:p>
        </w:tc>
      </w:tr>
      <w:tr>
        <w:tc>
          <w:tcPr/>
          <w:p>
            <w:pPr>
              <w:pStyle w:val="Compact"/>
              <w:jc w:val="left"/>
            </w:pPr>
            <w:r>
              <w:t xml:space="preserve">54</w:t>
            </w:r>
          </w:p>
        </w:tc>
        <w:tc>
          <w:tcPr/>
          <w:p>
            <w:pPr>
              <w:pStyle w:val="Compact"/>
              <w:jc w:val="left"/>
            </w:pPr>
            <w:r>
              <w:t xml:space="preserve">near_positivity</w:t>
            </w:r>
          </w:p>
        </w:tc>
        <w:tc>
          <w:tcPr/>
          <w:p>
            <w:pPr>
              <w:pStyle w:val="Compact"/>
              <w:jc w:val="left"/>
            </w:pPr>
            <w:r>
              <w:t xml:space="preserve">slope_x3.0</w:t>
            </w:r>
          </w:p>
        </w:tc>
        <w:tc>
          <w:tcPr/>
          <w:p>
            <w:pPr>
              <w:pStyle w:val="Compact"/>
              <w:jc w:val="right"/>
            </w:pPr>
            <w:r>
              <w:t xml:space="preserve">-0.00252</w:t>
            </w:r>
          </w:p>
        </w:tc>
        <w:tc>
          <w:tcPr/>
          <w:p>
            <w:pPr>
              <w:pStyle w:val="Compact"/>
              <w:jc w:val="right"/>
            </w:pPr>
            <w:r>
              <w:t xml:space="preserve">-0.00020</w:t>
            </w:r>
          </w:p>
        </w:tc>
        <w:tc>
          <w:tcPr/>
          <w:p>
            <w:pPr>
              <w:pStyle w:val="Compact"/>
              <w:jc w:val="right"/>
            </w:pPr>
            <w:r>
              <w:t xml:space="preserve">1.345</w:t>
            </w:r>
          </w:p>
        </w:tc>
        <w:tc>
          <w:tcPr/>
          <w:p>
            <w:pPr>
              <w:pStyle w:val="Compact"/>
              <w:jc w:val="right"/>
            </w:pPr>
            <w:r>
              <w:t xml:space="preserve">0.967</w:t>
            </w:r>
          </w:p>
        </w:tc>
        <w:tc>
          <w:tcPr/>
          <w:p>
            <w:pPr>
              <w:pStyle w:val="Compact"/>
              <w:jc w:val="right"/>
            </w:pPr>
            <w:r>
              <w:t xml:space="preserve">0.900</w:t>
            </w:r>
          </w:p>
        </w:tc>
        <w:tc>
          <w:tcPr/>
          <w:p>
            <w:pPr>
              <w:pStyle w:val="Compact"/>
              <w:jc w:val="right"/>
            </w:pPr>
            <w:r>
              <w:t xml:space="preserve">0.067</w:t>
            </w:r>
          </w:p>
        </w:tc>
      </w:tr>
      <w:tr>
        <w:tc>
          <w:tcPr/>
          <w:p>
            <w:pPr>
              <w:pStyle w:val="Compact"/>
              <w:jc w:val="left"/>
            </w:pPr>
            <w:r>
              <w:t xml:space="preserve">57</w:t>
            </w:r>
          </w:p>
        </w:tc>
        <w:tc>
          <w:tcPr/>
          <w:p>
            <w:pPr>
              <w:pStyle w:val="Compact"/>
              <w:jc w:val="left"/>
            </w:pPr>
            <w:r>
              <w:t xml:space="preserve">near_positivity</w:t>
            </w:r>
          </w:p>
        </w:tc>
        <w:tc>
          <w:tcPr/>
          <w:p>
            <w:pPr>
              <w:pStyle w:val="Compact"/>
              <w:jc w:val="left"/>
            </w:pPr>
            <w:r>
              <w:t xml:space="preserve">slope_x4.0</w:t>
            </w:r>
          </w:p>
        </w:tc>
        <w:tc>
          <w:tcPr/>
          <w:p>
            <w:pPr>
              <w:pStyle w:val="Compact"/>
              <w:jc w:val="right"/>
            </w:pPr>
            <w:r>
              <w:t xml:space="preserve">-0.00252</w:t>
            </w:r>
          </w:p>
        </w:tc>
        <w:tc>
          <w:tcPr/>
          <w:p>
            <w:pPr>
              <w:pStyle w:val="Compact"/>
              <w:jc w:val="right"/>
            </w:pPr>
            <w:r>
              <w:t xml:space="preserve">0.00541</w:t>
            </w:r>
          </w:p>
        </w:tc>
        <w:tc>
          <w:tcPr/>
          <w:p>
            <w:pPr>
              <w:pStyle w:val="Compact"/>
              <w:jc w:val="right"/>
            </w:pPr>
            <w:r>
              <w:t xml:space="preserve">1.489</w:t>
            </w:r>
          </w:p>
        </w:tc>
        <w:tc>
          <w:tcPr/>
          <w:p>
            <w:pPr>
              <w:pStyle w:val="Compact"/>
              <w:jc w:val="right"/>
            </w:pPr>
            <w:r>
              <w:t xml:space="preserve">0.967</w:t>
            </w:r>
          </w:p>
        </w:tc>
        <w:tc>
          <w:tcPr/>
          <w:p>
            <w:pPr>
              <w:pStyle w:val="Compact"/>
              <w:jc w:val="right"/>
            </w:pPr>
            <w:r>
              <w:t xml:space="preserve">0.900</w:t>
            </w:r>
          </w:p>
        </w:tc>
        <w:tc>
          <w:tcPr/>
          <w:p>
            <w:pPr>
              <w:pStyle w:val="Compact"/>
              <w:jc w:val="right"/>
            </w:pPr>
            <w:r>
              <w:t xml:space="preserve">0.067</w:t>
            </w:r>
          </w:p>
        </w:tc>
      </w:tr>
    </w:tbl>
    <w:bookmarkEnd w:id="101"/>
    <w:bookmarkStart w:id="106" w:name="reading-the-degradation-gradient"/>
    <w:p>
      <w:pPr>
        <w:pStyle w:val="Heading3"/>
      </w:pPr>
      <w:r>
        <w:t xml:space="preserve">10.3.5 Reading the degradation gradient</w:t>
      </w:r>
    </w:p>
    <w:p>
      <w:pPr>
        <w:pStyle w:val="FirstParagraph"/>
      </w:pPr>
      <w:r>
        <w:t xml:space="preserve">The five threat families produce qualitatively different</w:t>
      </w:r>
      <w:r>
        <w:t xml:space="preserve"> </w:t>
      </w:r>
      <w:r>
        <w:t xml:space="preserve">profiles. Covariate missingness is exercised under three mechanisms.</w:t>
      </w:r>
      <w:r>
        <w:t xml:space="preserve"> </w:t>
      </w:r>
      <w:r>
        <w:t xml:space="preserve">Under missing completely at random (MCAR) the gradient is flat:</w:t>
      </w:r>
      <w:r>
        <w:t xml:space="preserve"> </w:t>
      </w:r>
      <w:r>
        <w:t xml:space="preserve">median imputation is approximately unbiased by construction, so this</w:t>
      </w:r>
      <w:r>
        <w:t xml:space="preserve"> </w:t>
      </w:r>
      <w:r>
        <w:t xml:space="preserve">confirms the imputation adds no bias but is not a strong test of the</w:t>
      </w:r>
      <w:r>
        <w:t xml:space="preserve"> </w:t>
      </w:r>
      <w:r>
        <w:t xml:space="preserve">missingness handling. The missing-at-random (treatment-dependent) and</w:t>
      </w:r>
      <w:r>
        <w:t xml:space="preserve"> </w:t>
      </w:r>
      <w:r>
        <w:t xml:space="preserve">missing-not-at-random (value-dependent) mechanisms are stronger tests,</w:t>
      </w:r>
      <w:r>
        <w:t xml:space="preserve"> </w:t>
      </w:r>
      <w:r>
        <w:t xml:space="preserve">because under them median imputation is biased rather than merely</w:t>
      </w:r>
      <w:r>
        <w:t xml:space="preserve"> </w:t>
      </w:r>
      <w:r>
        <w:t xml:space="preserve">inefficient; their degradation gradients rise with the missingness</w:t>
      </w:r>
      <w:r>
        <w:t xml:space="preserve"> </w:t>
      </w:r>
      <w:r>
        <w:t xml:space="preserve">fraction, with MNAR the most damaging of the three since the</w:t>
      </w:r>
      <w:r>
        <w:t xml:space="preserve"> </w:t>
      </w:r>
      <w:r>
        <w:t xml:space="preserve">probability that a covariate is missing depends on its own unobserved</w:t>
      </w:r>
      <w:r>
        <w:t xml:space="preserve"> </w:t>
      </w:r>
      <w:r>
        <w:t xml:space="preserve">value. Treatment misclassification attenuates the</w:t>
      </w:r>
      <w:r>
        <w:t xml:space="preserve"> </w:t>
      </w:r>
      <w:r>
        <w:t xml:space="preserve">estimate toward the null: bias against the (pre-misclassification)</w:t>
      </w:r>
      <w:r>
        <w:t xml:space="preserve"> </w:t>
      </w:r>
      <w:r>
        <w:t xml:space="preserve">target estimand rises as (sens, spec) worsen. Coverage of the</w:t>
      </w:r>
      <w:r>
        <w:t xml:space="preserve"> </w:t>
      </w:r>
      <w:r>
        <w:t xml:space="preserve">pre-misclassification target therefore drops as severity increases;</w:t>
      </w:r>
      <w:r>
        <w:t xml:space="preserve"> </w:t>
      </w:r>
      <w:r>
        <w:t xml:space="preserve">the magnitude of the drop is reported per severity level in the</w:t>
      </w:r>
      <w:r>
        <w:t xml:space="preserve"> </w:t>
      </w:r>
      <w:r>
        <w:t xml:space="preserve">companion table. (Coverage of the</w:t>
      </w:r>
      <w:r>
        <w:t xml:space="preserve"> </w:t>
      </w:r>
      <w:r>
        <w:rPr>
          <w:i/>
          <w:iCs/>
        </w:rPr>
        <w:t xml:space="preserve">attenuated</w:t>
      </w:r>
      <w:r>
        <w:t xml:space="preserve"> </w:t>
      </w:r>
      <w:r>
        <w:t xml:space="preserve">target remains</w:t>
      </w:r>
      <w:r>
        <w:t xml:space="preserve"> </w:t>
      </w:r>
      <w:r>
        <w:t xml:space="preserve">closer to nominal, but the staged workflow evaluates each candidate</w:t>
      </w:r>
      <w:r>
        <w:t xml:space="preserve"> </w:t>
      </w:r>
      <w:r>
        <w:t xml:space="preserve">against the prespecified estimand.) Outcome misclassification</w:t>
      </w:r>
      <w:r>
        <w:t xml:space="preserve"> </w:t>
      </w:r>
      <w:r>
        <w:t xml:space="preserve">under (0.90, 0.95) produces the largest bias of the three</w:t>
      </w:r>
      <w:r>
        <w:t xml:space="preserve"> </w:t>
      </w:r>
      <w:r>
        <w:t xml:space="preserve">“measurement”</w:t>
      </w:r>
      <w:r>
        <w:t xml:space="preserve"> </w:t>
      </w:r>
      <w:r>
        <w:t xml:space="preserve">threats, particularly when applied differentially by</w:t>
      </w:r>
      <w:r>
        <w:t xml:space="preserve"> </w:t>
      </w:r>
      <w:r>
        <w:t xml:space="preserve">treatment arm. Unmeasured confounding produces the largest degradation in every</w:t>
      </w:r>
      <w:r>
        <w:t xml:space="preserve"> </w:t>
      </w:r>
      <w:r>
        <w:t xml:space="preserve">scenario, with worst-case RMSE ratios for the selected candidate</w:t>
      </w:r>
      <w:r>
        <w:t xml:space="preserve"> </w:t>
      </w:r>
      <w:r>
        <w:t xml:space="preserve">several times the clean-data baseline. Under good overlap it is the</w:t>
      </w:r>
      <w:r>
        <w:t xml:space="preserve"> </w:t>
      </w:r>
      <w:r>
        <w:t xml:space="preserve">only threat that lifts the selected candidate’s RMSE ratio above 1.5.</w:t>
      </w:r>
      <w:r>
        <w:t xml:space="preserve"> </w:t>
      </w:r>
      <w:r>
        <w:t xml:space="preserve">Under marginal overlap and the unmeasured-confounding DGP the</w:t>
      </w:r>
      <w:r>
        <w:t xml:space="preserve"> </w:t>
      </w:r>
      <w:r>
        <w:t xml:space="preserve">clean-data baseline RMSE is smaller and several threats also cross</w:t>
      </w:r>
      <w:r>
        <w:t xml:space="preserve"> </w:t>
      </w:r>
      <w:r>
        <w:t xml:space="preserve">1.5, though unmeasured confounding stays dominant by a wide margin.</w:t>
      </w:r>
      <w:r>
        <w:t xml:space="preserve"> </w:t>
      </w:r>
      <w:r>
        <w:t xml:space="preserve">The near-positivity threat behaves differently from the other four.</w:t>
      </w:r>
      <w:r>
        <w:t xml:space="preserve"> </w:t>
      </w:r>
      <w:r>
        <w:t xml:space="preserve">It leaves the outcome model unchanged and amplifies the</w:t>
      </w:r>
      <w:r>
        <w:t xml:space="preserve"> </w:t>
      </w:r>
      <w:r>
        <w:t xml:space="preserve">covariate-to-treatment association, driving the estimated propensity</w:t>
      </w:r>
      <w:r>
        <w:t xml:space="preserve"> </w:t>
      </w:r>
      <w:r>
        <w:t xml:space="preserve">score toward the boundary and lengthening the inverse-probability</w:t>
      </w:r>
      <w:r>
        <w:t xml:space="preserve"> </w:t>
      </w:r>
      <w:r>
        <w:t xml:space="preserve">weight tail. A lightly truncated candidate degrades under this threat</w:t>
      </w:r>
      <w:r>
        <w:t xml:space="preserve"> </w:t>
      </w:r>
      <w:r>
        <w:t xml:space="preserve">while a heavily truncated one is protected, the contrast that the</w:t>
      </w:r>
      <w:r>
        <w:t xml:space="preserve"> </w:t>
      </w:r>
      <w:r>
        <w:t xml:space="preserve">candidate-divergence analysis in</w:t>
      </w:r>
      <w:r>
        <w:t xml:space="preserve"> </w:t>
      </w:r>
      <w:hyperlink w:anchor="sec-divergence">
        <w:r>
          <w:rPr>
            <w:rStyle w:val="Hyperlink"/>
          </w:rPr>
          <w:t xml:space="preserve">Section 10.4</w:t>
        </w:r>
      </w:hyperlink>
      <w:r>
        <w:t xml:space="preserve"> </w:t>
      </w:r>
      <w:r>
        <w:t xml:space="preserve">exploits.</w:t>
      </w:r>
      <w:r>
        <w:t xml:space="preserve"> </w:t>
      </w:r>
      <w:r>
        <w:t xml:space="preserve">Across scenarios, the DQ stress test was most informative when the</w:t>
      </w:r>
      <w:r>
        <w:t xml:space="preserve"> </w:t>
      </w:r>
      <w:r>
        <w:t xml:space="preserve">threat directly targeted identification or measurement validity</w:t>
      </w:r>
      <w:r>
        <w:t xml:space="preserve"> </w:t>
      </w:r>
      <w:r>
        <w:t xml:space="preserve">rather than ordinary estimator variance.</w:t>
      </w:r>
    </w:p>
    <w:tbl>
      <w:tblPr>
        <w:tblStyle w:val="Table"/>
        <w:tblW w:type="pct" w:w="5000"/>
        <w:tblLayout w:type="fixed"/>
        <w:tblLook w:firstRow="0" w:lastRow="0" w:firstColumn="0" w:lastColumn="0" w:noHBand="0" w:noVBand="0" w:val="0000"/>
      </w:tblPr>
      <w:tblGrid>
        <w:gridCol w:w="7920"/>
      </w:tblGrid>
      <w:tr>
        <w:tc>
          <w:tcPr/>
          <w:bookmarkStart w:id="105" w:name="fig-dq-degradation"/>
          <w:p>
            <w:pPr>
              <w:pStyle w:val="Compact"/>
              <w:jc w:val="center"/>
            </w:pPr>
            <w:r>
              <w:drawing>
                <wp:inline>
                  <wp:extent cx="5334000" cy="6667500"/>
                  <wp:effectExtent b="0" l="0" r="0" t="0"/>
                  <wp:docPr descr="" title="" id="103" name="Picture"/>
                  <a:graphic>
                    <a:graphicData uri="http://schemas.openxmlformats.org/drawingml/2006/picture">
                      <pic:pic>
                        <pic:nvPicPr>
                          <pic:cNvPr descr="manuscript_outcome_blind_dq_files/figure-docx/fig-dq-degradation-1.png" id="104" name="Picture"/>
                          <pic:cNvPicPr>
                            <a:picLocks noChangeArrowheads="1" noChangeAspect="1"/>
                          </pic:cNvPicPr>
                        </pic:nvPicPr>
                        <pic:blipFill>
                          <a:blip r:embed="rId102"/>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Degradation gradient. Bias (top) and coverage (bottom) for the selected TMLE candidate at each severity level of each DQ scenario, faceted by Monte Carlo scenario.</w:t>
            </w:r>
          </w:p>
          <w:bookmarkEnd w:id="105"/>
        </w:tc>
      </w:tr>
    </w:tbl>
    <w:bookmarkEnd w:id="106"/>
    <w:bookmarkStart w:id="107" w:name="X5279e1ced4d2fe9dcc6c52ed678abd8f92e4cc2"/>
    <w:p>
      <w:pPr>
        <w:pStyle w:val="Heading3"/>
      </w:pPr>
      <w:r>
        <w:t xml:space="preserve">10.3.6 FIORD two-stage selector on the cached plasmode</w:t>
      </w:r>
    </w:p>
    <w:p>
      <w:pPr>
        <w:pStyle w:val="FirstParagraph"/>
      </w:pPr>
      <w:r>
        <w:t xml:space="preserve">Applied to the cached</w:t>
      </w:r>
      <w:r>
        <w:t xml:space="preserve"> </w:t>
      </w:r>
      <w:r>
        <w:rPr>
          <w:rStyle w:val="VerbatimChar"/>
        </w:rPr>
        <w:t xml:space="preserve">plasmode_*.csv</w:t>
      </w:r>
      <w:r>
        <w:t xml:space="preserve"> </w:t>
      </w:r>
      <w:r>
        <w:t xml:space="preserve">candidate-evaluation tables, the FIORD two-stage selector first screens candidates whose oracle coverage is within</w:t>
      </w:r>
      <w:r>
        <w:t xml:space="preserve"> </w:t>
      </w:r>
      <w:r>
        <w:rPr>
          <w:rStyle w:val="VerbatimChar"/>
        </w:rPr>
        <w:t xml:space="preserve">fiord_coverage_tol = 0.02</w:t>
      </w:r>
      <w:r>
        <w:t xml:space="preserve"> </w:t>
      </w:r>
      <w:r>
        <w:t xml:space="preserve">of the nominal 0.95, then picks the candidate with the smallest mean SE among the survivors. The single-step</w:t>
      </w:r>
      <w:r>
        <w:t xml:space="preserve"> </w:t>
      </w:r>
      <w:r>
        <w:rPr>
          <w:rStyle w:val="VerbatimChar"/>
        </w:rPr>
        <w:t xml:space="preserve">rule = "min_rmse"</w:t>
      </w:r>
      <w:r>
        <w:t xml:space="preserve"> </w:t>
      </w:r>
      <w:r>
        <w:t xml:space="preserve">rule that the manuscript currently uses does not separate the two stages and can choose a candidate whose coverage is on the edge of acceptable but whose RMSE is technically smallest.</w:t>
      </w:r>
    </w:p>
    <w:p>
      <w:pPr>
        <w:pStyle w:val="TableCaption"/>
      </w:pPr>
      <w:r>
        <w:t xml:space="preserve">Single-step minimax (current cleanTMLE default) vs FIORD two-stage selector on the cached plasmode candidate metrics, by scenario. When the two columns disagree, the FIORD selector is choosing a candidate that achieves nominal oracle coverage at a slightly higher RMSE.</w:t>
      </w:r>
    </w:p>
    <w:tbl>
      <w:tblPr>
        <w:tblStyle w:val="Table"/>
        <w:tblW w:type="pct" w:w="5000"/>
        <w:tblLayout w:type="fixed"/>
        <w:tblLook w:firstRow="1" w:lastRow="0" w:firstColumn="0" w:lastColumn="0" w:noHBand="0" w:noVBand="0" w:val="0020"/>
        <w:tblCaption w:val="Single-step minimax (current cleanTMLE default) vs FIORD two-stage selector on the cached plasmode candidate metrics, by scenario. When the two columns disagree, the FIORD selector is choosing a candidate that achieves nominal oracle coverage at a slightly higher RMSE."/>
      </w:tblPr>
      <w:tblGrid>
        <w:gridCol w:w="1795"/>
        <w:gridCol w:w="2217"/>
        <w:gridCol w:w="3907"/>
      </w:tblGrid>
      <w:tr>
        <w:trPr>
          <w:tblHeader w:val="on"/>
        </w:trPr>
        <w:tc>
          <w:tcPr/>
          <w:p>
            <w:pPr>
              <w:pStyle w:val="Compact"/>
              <w:jc w:val="left"/>
            </w:pPr>
            <w:r>
              <w:t xml:space="preserve">scenario</w:t>
            </w:r>
          </w:p>
        </w:tc>
        <w:tc>
          <w:tcPr/>
          <w:p>
            <w:pPr>
              <w:pStyle w:val="Compact"/>
              <w:jc w:val="left"/>
            </w:pPr>
            <w:r>
              <w:t xml:space="preserve">single_step_min_rmse</w:t>
            </w:r>
          </w:p>
        </w:tc>
        <w:tc>
          <w:tcPr/>
          <w:p>
            <w:pPr>
              <w:pStyle w:val="Compact"/>
              <w:jc w:val="left"/>
            </w:pPr>
            <w:r>
              <w:t xml:space="preserve">fiord_two_stage</w:t>
            </w:r>
          </w:p>
        </w:tc>
      </w:tr>
      <w:tr>
        <w:tc>
          <w:tcPr/>
          <w:p>
            <w:pPr>
              <w:pStyle w:val="Compact"/>
              <w:jc w:val="left"/>
            </w:pPr>
            <w:r>
              <w:t xml:space="preserve">good_overlap</w:t>
            </w:r>
          </w:p>
        </w:tc>
        <w:tc>
          <w:tcPr/>
          <w:p>
            <w:pPr>
              <w:pStyle w:val="Compact"/>
              <w:jc w:val="left"/>
            </w:pPr>
            <w:r>
              <w:t xml:space="preserve">aggressive</w:t>
            </w:r>
          </w:p>
        </w:tc>
        <w:tc>
          <w:tcPr/>
          <w:p>
            <w:pPr>
              <w:pStyle w:val="Compact"/>
              <w:jc w:val="left"/>
            </w:pPr>
            <w:r>
              <w:t xml:space="preserve">aggressive (no candidate within tol)</w:t>
            </w:r>
          </w:p>
        </w:tc>
      </w:tr>
      <w:tr>
        <w:tc>
          <w:tcPr/>
          <w:p>
            <w:pPr>
              <w:pStyle w:val="Compact"/>
              <w:jc w:val="left"/>
            </w:pPr>
            <w:r>
              <w:t xml:space="preserve">marginal_overlap</w:t>
            </w:r>
          </w:p>
        </w:tc>
        <w:tc>
          <w:tcPr/>
          <w:p>
            <w:pPr>
              <w:pStyle w:val="Compact"/>
              <w:jc w:val="left"/>
            </w:pPr>
            <w:r>
              <w:t xml:space="preserve">robust</w:t>
            </w:r>
          </w:p>
        </w:tc>
        <w:tc>
          <w:tcPr/>
          <w:p>
            <w:pPr>
              <w:pStyle w:val="Compact"/>
              <w:jc w:val="left"/>
            </w:pPr>
            <w:r>
              <w:t xml:space="preserve">middle (no candidate within tol)</w:t>
            </w:r>
          </w:p>
        </w:tc>
      </w:tr>
      <w:tr>
        <w:tc>
          <w:tcPr/>
          <w:p>
            <w:pPr>
              <w:pStyle w:val="Compact"/>
              <w:jc w:val="left"/>
            </w:pPr>
            <w:r>
              <w:t xml:space="preserve">unmeasured_conf</w:t>
            </w:r>
          </w:p>
        </w:tc>
        <w:tc>
          <w:tcPr/>
          <w:p>
            <w:pPr>
              <w:pStyle w:val="Compact"/>
              <w:jc w:val="left"/>
            </w:pPr>
            <w:r>
              <w:t xml:space="preserve">robust</w:t>
            </w:r>
          </w:p>
        </w:tc>
        <w:tc>
          <w:tcPr/>
          <w:p>
            <w:pPr>
              <w:pStyle w:val="Compact"/>
              <w:jc w:val="left"/>
            </w:pPr>
            <w:r>
              <w:t xml:space="preserve">aggressive</w:t>
            </w:r>
          </w:p>
        </w:tc>
      </w:tr>
    </w:tbl>
    <w:p>
      <w:pPr>
        <w:pStyle w:val="BodyText"/>
      </w:pPr>
      <w:r>
        <w:t xml:space="preserve">With the three-candidate truncation grid used in</w:t>
      </w:r>
      <w:r>
        <w:t xml:space="preserve"> </w:t>
      </w:r>
      <w:hyperlink w:anchor="sec-simulation">
        <w:r>
          <w:rPr>
            <w:rStyle w:val="Hyperlink"/>
          </w:rPr>
          <w:t xml:space="preserve">Section 10</w:t>
        </w:r>
      </w:hyperlink>
      <w:r>
        <w:t xml:space="preserve"> </w:t>
      </w:r>
      <w:r>
        <w:t xml:space="preserve">(aggressive at</w:t>
      </w:r>
      <w:r>
        <w:t xml:space="preserve"> </w:t>
      </w:r>
      <m:oMath>
        <m:r>
          <m:t>t</m:t>
        </m:r>
        <m:r>
          <m:rPr>
            <m:sty m:val="p"/>
          </m:rPr>
          <m:t>=</m:t>
        </m:r>
        <m:r>
          <m:t>0.001</m:t>
        </m:r>
      </m:oMath>
      <w:r>
        <w:t xml:space="preserve">, middle at</w:t>
      </w:r>
      <w:r>
        <w:t xml:space="preserve"> </w:t>
      </w:r>
      <m:oMath>
        <m:r>
          <m:t>t</m:t>
        </m:r>
        <m:r>
          <m:rPr>
            <m:sty m:val="p"/>
          </m:rPr>
          <m:t>=</m:t>
        </m:r>
        <m:r>
          <m:t>0.025</m:t>
        </m:r>
      </m:oMath>
      <w:r>
        <w:t xml:space="preserve">, robust at</w:t>
      </w:r>
      <w:r>
        <w:t xml:space="preserve"> </w:t>
      </w:r>
      <m:oMath>
        <m:r>
          <m:t>t</m:t>
        </m:r>
        <m:r>
          <m:rPr>
            <m:sty m:val="p"/>
          </m:rPr>
          <m:t>=</m:t>
        </m:r>
        <m:r>
          <m:t>0.20</m:t>
        </m:r>
      </m:oMath>
      <w:r>
        <w:t xml:space="preserve">),</w:t>
      </w:r>
      <w:r>
        <w:t xml:space="preserve"> </w:t>
      </w:r>
      <w:r>
        <w:t xml:space="preserve">the candidates separate enough that the FIORD coverage screen is</w:t>
      </w:r>
      <w:r>
        <w:t xml:space="preserve"> </w:t>
      </w:r>
      <w:r>
        <w:t xml:space="preserve">informative. Under marginal overlap (Scenario B) the lightest</w:t>
      </w:r>
      <w:r>
        <w:t xml:space="preserve"> </w:t>
      </w:r>
      <w:r>
        <w:t xml:space="preserve">truncation does not achieve oracle coverage within the 0.02</w:t>
      </w:r>
      <w:r>
        <w:t xml:space="preserve"> </w:t>
      </w:r>
      <w:r>
        <w:t xml:space="preserve">tolerance of nominal, which the table flags as</w:t>
      </w:r>
      <w:r>
        <w:t xml:space="preserve"> </w:t>
      </w:r>
      <w:r>
        <w:t xml:space="preserve">“no candidate within</w:t>
      </w:r>
      <w:r>
        <w:t xml:space="preserve"> </w:t>
      </w:r>
      <w:r>
        <w:t xml:space="preserve">tol”</w:t>
      </w:r>
      <w:r>
        <w:t xml:space="preserve"> </w:t>
      </w:r>
      <w:r>
        <w:t xml:space="preserve">for that cell; this is the same near-positivity sensitivity</w:t>
      </w:r>
      <w:r>
        <w:t xml:space="preserve"> </w:t>
      </w:r>
      <w:r>
        <w:t xml:space="preserve">exploited by the constructed demonstration in</w:t>
      </w:r>
      <w:r>
        <w:t xml:space="preserve"> </w:t>
      </w:r>
      <w:hyperlink w:anchor="sec-divergence">
        <w:r>
          <w:rPr>
            <w:rStyle w:val="Hyperlink"/>
          </w:rPr>
          <w:t xml:space="preserve">Section 10.4</w:t>
        </w:r>
      </w:hyperlink>
      <w:r>
        <w:t xml:space="preserve">. The</w:t>
      </w:r>
      <w:r>
        <w:t xml:space="preserve"> </w:t>
      </w:r>
      <w:r>
        <w:t xml:space="preserve">contrast between</w:t>
      </w:r>
      <w:r>
        <w:t xml:space="preserve"> </w:t>
      </w:r>
      <w:r>
        <w:rPr>
          <w:rStyle w:val="VerbatimChar"/>
        </w:rPr>
        <w:t xml:space="preserve">min_rmse</w:t>
      </w:r>
      <w:r>
        <w:t xml:space="preserve"> </w:t>
      </w:r>
      <w:r>
        <w:t xml:space="preserve">and</w:t>
      </w:r>
      <w:r>
        <w:t xml:space="preserve"> </w:t>
      </w:r>
      <w:r>
        <w:rPr>
          <w:rStyle w:val="VerbatimChar"/>
        </w:rPr>
        <w:t xml:space="preserve">min_max_rmse</w:t>
      </w:r>
      <w:r>
        <w:t xml:space="preserve"> </w:t>
      </w:r>
      <w:r>
        <w:t xml:space="preserve">is substantive on</w:t>
      </w:r>
      <w:r>
        <w:t xml:space="preserve"> </w:t>
      </w:r>
      <w:r>
        <w:t xml:space="preserve">this grid and on the rescueCo case study (</w:t>
      </w:r>
      <w:hyperlink w:anchor="sec-casestudy-dq">
        <w:r>
          <w:rPr>
            <w:rStyle w:val="Hyperlink"/>
          </w:rPr>
          <w:t xml:space="preserve">Section 12.6</w:t>
        </w:r>
      </w:hyperlink>
      <w:r>
        <w:t xml:space="preserve">), where</w:t>
      </w:r>
      <w:r>
        <w:t xml:space="preserve"> </w:t>
      </w:r>
      <w:r>
        <w:t xml:space="preserve">the two rules pick different candidates.</w:t>
      </w:r>
    </w:p>
    <w:bookmarkEnd w:id="107"/>
    <w:bookmarkEnd w:id="108"/>
    <w:bookmarkStart w:id="113" w:name="sec-divergence"/>
    <w:p>
      <w:pPr>
        <w:pStyle w:val="Heading2"/>
      </w:pPr>
      <w:r>
        <w:t xml:space="preserve">10.4 Package feature: worst-case candidate selection with</w:t>
      </w:r>
      <w:r>
        <w:t xml:space="preserve"> </w:t>
      </w:r>
      <w:r>
        <w:rPr>
          <w:rStyle w:val="VerbatimChar"/>
        </w:rPr>
        <w:t xml:space="preserve">min_max_rmse</w:t>
      </w:r>
    </w:p>
    <w:p>
      <w:pPr>
        <w:pStyle w:val="FirstParagraph"/>
      </w:pPr>
      <w:r>
        <w:rPr>
          <w:rStyle w:val="VerbatimChar"/>
        </w:rPr>
        <w:t xml:space="preserve">select_tmle_candidate()</w:t>
      </w:r>
      <w:r>
        <w:t xml:space="preserve"> </w:t>
      </w:r>
      <w:r>
        <w:t xml:space="preserve">ships two selection rules. The default</w:t>
      </w:r>
      <w:r>
        <w:t xml:space="preserve"> </w:t>
      </w:r>
      <w:r>
        <w:rPr>
          <w:rStyle w:val="VerbatimChar"/>
        </w:rPr>
        <w:t xml:space="preserve">min_rmse</w:t>
      </w:r>
      <w:r>
        <w:t xml:space="preserve"> </w:t>
      </w:r>
      <w:r>
        <w:t xml:space="preserve">ranks candidates by baseline RMSE on the undisturbed plasmode. An alternative,</w:t>
      </w:r>
      <w:r>
        <w:t xml:space="preserve"> </w:t>
      </w:r>
      <w:r>
        <w:rPr>
          <w:rStyle w:val="VerbatimChar"/>
        </w:rPr>
        <w:t xml:space="preserve">min_max_rmse</w:t>
      </w:r>
      <w:r>
        <w:t xml:space="preserve">, ranks by each candidate’s worst-case RMSE across all declared</w:t>
      </w:r>
      <w:r>
        <w:t xml:space="preserve"> </w:t>
      </w:r>
      <w:r>
        <w:t xml:space="preserve">data-quality threats, so the locked estimator minimises the maximum damage any</w:t>
      </w:r>
      <w:r>
        <w:t xml:space="preserve"> </w:t>
      </w:r>
      <w:r>
        <w:t xml:space="preserve">prespecified threat can do. The simulation grid in</w:t>
      </w:r>
      <w:r>
        <w:t xml:space="preserve"> </w:t>
      </w:r>
      <w:hyperlink w:anchor="sec-simulation">
        <w:r>
          <w:rPr>
            <w:rStyle w:val="Hyperlink"/>
          </w:rPr>
          <w:t xml:space="preserve">Section 10</w:t>
        </w:r>
      </w:hyperlink>
      <w:r>
        <w:t xml:space="preserve"> </w:t>
      </w:r>
      <w:r>
        <w:t xml:space="preserve">does not</w:t>
      </w:r>
      <w:r>
        <w:t xml:space="preserve"> </w:t>
      </w:r>
      <w:r>
        <w:t xml:space="preserve">separate the candidates under this rule because the near-positivity threat at</w:t>
      </w:r>
      <w:r>
        <w:t xml:space="preserve"> </w:t>
      </w:r>
      <w:r>
        <w:t xml:space="preserve">the severities tested does not push the aggressive candidate past its locked</w:t>
      </w:r>
      <w:r>
        <w:t xml:space="preserve"> </w:t>
      </w:r>
      <w:r>
        <w:t xml:space="preserve">threshold. The following constructed illustration, shipped as a companion script</w:t>
      </w:r>
      <w:r>
        <w:t xml:space="preserve"> </w:t>
      </w:r>
      <w:r>
        <w:t xml:space="preserve">in</w:t>
      </w:r>
      <w:r>
        <w:t xml:space="preserve"> </w:t>
      </w:r>
      <w:r>
        <w:rPr>
          <w:rStyle w:val="VerbatimChar"/>
        </w:rPr>
        <w:t xml:space="preserve">sandbox/candidate_divergence/</w:t>
      </w:r>
      <w:r>
        <w:t xml:space="preserve">, was designed specifically to exhibit the</w:t>
      </w:r>
      <w:r>
        <w:t xml:space="preserve"> </w:t>
      </w:r>
      <w:r>
        <w:t xml:space="preserve">divergence: the threat severities were chosen to produce it, so the illustration</w:t>
      </w:r>
      <w:r>
        <w:t xml:space="preserve"> </w:t>
      </w:r>
      <w:r>
        <w:t xml:space="preserve">establishes that divergence is possible under realistic configurations rather</w:t>
      </w:r>
      <w:r>
        <w:t xml:space="preserve"> </w:t>
      </w:r>
      <w:r>
        <w:t xml:space="preserve">than claiming it is the common case. The full sweep runs through</w:t>
      </w:r>
      <w:r>
        <w:t xml:space="preserve"> </w:t>
      </w:r>
      <w:r>
        <w:rPr>
          <w:rStyle w:val="VerbatimChar"/>
        </w:rPr>
        <w:t xml:space="preserve">run_plasmode_feasibility()</w:t>
      </w:r>
      <w:r>
        <w:t xml:space="preserve">,</w:t>
      </w:r>
      <w:r>
        <w:t xml:space="preserve"> </w:t>
      </w:r>
      <w:r>
        <w:rPr>
          <w:rStyle w:val="VerbatimChar"/>
        </w:rPr>
        <w:t xml:space="preserve">run_plasmode_dq_stress()</w:t>
      </w:r>
      <w:r>
        <w:t xml:space="preserve"> </w:t>
      </w:r>
      <w:r>
        <w:t xml:space="preserve">(with</w:t>
      </w:r>
      <w:r>
        <w:t xml:space="preserve"> </w:t>
      </w:r>
      <w:r>
        <w:rPr>
          <w:rStyle w:val="VerbatimChar"/>
        </w:rPr>
        <w:t xml:space="preserve">near_positivity</w:t>
      </w:r>
      <w:r>
        <w:t xml:space="preserve"> </w:t>
      </w:r>
      <w:r>
        <w:t xml:space="preserve">as a first-class threat), and</w:t>
      </w:r>
      <w:r>
        <w:t xml:space="preserve"> </w:t>
      </w:r>
      <w:r>
        <w:rPr>
          <w:rStyle w:val="VerbatimChar"/>
        </w:rPr>
        <w:t xml:space="preserve">select_tmle_candidate()</w:t>
      </w:r>
      <w:r>
        <w:t xml:space="preserve">, on the same</w:t>
      </w:r>
      <w:r>
        <w:t xml:space="preserve"> </w:t>
      </w:r>
      <w:r>
        <w:rPr>
          <w:rStyle w:val="VerbatimChar"/>
        </w:rPr>
        <w:t xml:space="preserve">run_simulation.R</w:t>
      </w:r>
      <w:r>
        <w:t xml:space="preserve"> </w:t>
      </w:r>
      <w:r>
        <w:t xml:space="preserve">data-generating process.</w:t>
      </w:r>
    </w:p>
    <w:p>
      <w:pPr>
        <w:pStyle w:val="BodyText"/>
      </w:pPr>
      <w:r>
        <w:t xml:space="preserve">The candidates differ in one design choice, the propensity-score truncation</w:t>
      </w:r>
      <w:r>
        <w:t xml:space="preserve"> </w:t>
      </w:r>
      <w:r>
        <w:t xml:space="preserve">threshold, with a main-effects GLM propensity model throughout. The grid is</w:t>
      </w:r>
      <w:r>
        <w:t xml:space="preserve"> </w:t>
      </w:r>
      <w:r>
        <w:t xml:space="preserve">aggressive (truncation 0.001), middle (0.025), and robust (0.20). Three</w:t>
      </w:r>
      <w:r>
        <w:t xml:space="preserve"> </w:t>
      </w:r>
      <w:r>
        <w:t xml:space="preserve">prespecified threats are swept at increasing severity. The first is a</w:t>
      </w:r>
      <w:r>
        <w:t xml:space="preserve"> </w:t>
      </w:r>
      <w:r>
        <w:t xml:space="preserve">practical positivity violation, implemented by amplifying the</w:t>
      </w:r>
      <w:r>
        <w:t xml:space="preserve"> </w:t>
      </w:r>
      <w:r>
        <w:t xml:space="preserve">covariate-to-treatment association so a subgroup approaches deterministic</w:t>
      </w:r>
      <w:r>
        <w:t xml:space="preserve"> </w:t>
      </w:r>
      <w:r>
        <w:t xml:space="preserve">treatment and the estimated propensity score reaches the boundary. The second</w:t>
      </w:r>
      <w:r>
        <w:t xml:space="preserve"> </w:t>
      </w:r>
      <w:r>
        <w:t xml:space="preserve">is unmeasured confounding with a latent binary factor shifting treatment and</w:t>
      </w:r>
      <w:r>
        <w:t xml:space="preserve"> </w:t>
      </w:r>
      <w:r>
        <w:t xml:space="preserve">outcome on the odds scale across odds ratios from 3 to 8. The third is</w:t>
      </w:r>
      <w:r>
        <w:t xml:space="preserve"> </w:t>
      </w:r>
      <w:r>
        <w:t xml:space="preserve">covariate missingness completely at random with median imputation. Decision</w:t>
      </w:r>
      <w:r>
        <w:t xml:space="preserve"> </w:t>
      </w:r>
      <w:r>
        <w:t xml:space="preserve">thresholds were locked before the sweep, at most a doubling of root</w:t>
      </w:r>
      <w:r>
        <w:t xml:space="preserve"> </w:t>
      </w:r>
      <w:r>
        <w:t xml:space="preserve">mean squared error relative to a candidate’s own baseline. The study uses 200</w:t>
      </w:r>
      <w:r>
        <w:t xml:space="preserve"> </w:t>
      </w:r>
      <w:r>
        <w:t xml:space="preserve">synthetic replicates per cell and five independent batches, and reports Monte</w:t>
      </w:r>
      <w:r>
        <w:t xml:space="preserve"> </w:t>
      </w:r>
      <w:r>
        <w:t xml:space="preserve">Carlo standard errors from the between-batch spread.</w:t>
      </w:r>
    </w:p>
    <w:p>
      <w:pPr>
        <w:pStyle w:val="TableCaption"/>
      </w:pPr>
      <w:r>
        <w:t xml:space="preserve">Baseline and worst-case root mean squared error for the three truncation candidates, each with Monte Carlo standard error, and the candidate each rule selects.</w:t>
      </w:r>
      <w:r>
        <w:t xml:space="preserve"> </w:t>
      </w:r>
      <w:r>
        <w:rPr>
          <w:rStyle w:val="VerbatimChar"/>
        </w:rPr>
        <w:t xml:space="preserve">min_rmse</w:t>
      </w:r>
      <w:r>
        <w:t xml:space="preserve"> </w:t>
      </w:r>
      <w:r>
        <w:t xml:space="preserve">selects the robust candidate;</w:t>
      </w:r>
      <w:r>
        <w:t xml:space="preserve"> </w:t>
      </w:r>
      <w:r>
        <w:rPr>
          <w:rStyle w:val="VerbatimChar"/>
        </w:rPr>
        <w:t xml:space="preserve">min_max_rmse</w:t>
      </w:r>
      <w:r>
        <w:t xml:space="preserve"> </w:t>
      </w:r>
      <w:r>
        <w:t xml:space="preserve">selects the middle candidate.</w:t>
      </w:r>
    </w:p>
    <w:tbl>
      <w:tblPr>
        <w:tblStyle w:val="Table"/>
        <w:tblW w:type="pct" w:w="5000"/>
        <w:tblLayout w:type="fixed"/>
        <w:tblLook w:firstRow="1" w:lastRow="0" w:firstColumn="0" w:lastColumn="0" w:noHBand="0" w:noVBand="0" w:val="0020"/>
        <w:tblCaption w:val="Baseline and worst-case root mean squared error for the three truncation candidates, each with Monte Carlo standard error, and the candidate each rule selects. min_rmse selects the robust candidate; min_max_rmse selects the middle candidate."/>
      </w:tblPr>
      <w:tblGrid>
        <w:gridCol w:w="675"/>
        <w:gridCol w:w="859"/>
        <w:gridCol w:w="1350"/>
        <w:gridCol w:w="1473"/>
        <w:gridCol w:w="1964"/>
        <w:gridCol w:w="798"/>
        <w:gridCol w:w="798"/>
      </w:tblGrid>
      <w:tr>
        <w:trPr>
          <w:tblHeader w:val="on"/>
        </w:trPr>
        <w:tc>
          <w:tcPr/>
          <w:p>
            <w:pPr>
              <w:pStyle w:val="Compact"/>
              <w:jc w:val="left"/>
            </w:pPr>
            <w:r>
              <w:t xml:space="preserve">Candidate</w:t>
            </w:r>
          </w:p>
        </w:tc>
        <w:tc>
          <w:tcPr/>
          <w:p>
            <w:pPr>
              <w:pStyle w:val="Compact"/>
              <w:jc w:val="right"/>
            </w:pPr>
            <w:r>
              <w:t xml:space="preserve">PS truncation</w:t>
            </w:r>
          </w:p>
        </w:tc>
        <w:tc>
          <w:tcPr/>
          <w:p>
            <w:pPr>
              <w:pStyle w:val="Compact"/>
              <w:jc w:val="left"/>
            </w:pPr>
            <w:r>
              <w:t xml:space="preserve">Baseline RMSE (MC SE)</w:t>
            </w:r>
          </w:p>
        </w:tc>
        <w:tc>
          <w:tcPr/>
          <w:p>
            <w:pPr>
              <w:pStyle w:val="Compact"/>
              <w:jc w:val="left"/>
            </w:pPr>
            <w:r>
              <w:t xml:space="preserve">Worst-case RMSE (MC SE)</w:t>
            </w:r>
          </w:p>
        </w:tc>
        <w:tc>
          <w:tcPr/>
          <w:p>
            <w:pPr>
              <w:pStyle w:val="Compact"/>
              <w:jc w:val="left"/>
            </w:pPr>
            <w:r>
              <w:t xml:space="preserve">Worst threat</w:t>
            </w:r>
          </w:p>
        </w:tc>
        <w:tc>
          <w:tcPr/>
          <w:p>
            <w:pPr>
              <w:pStyle w:val="Compact"/>
              <w:jc w:val="left"/>
            </w:pPr>
            <w:r>
              <w:t xml:space="preserve">min_rmse</w:t>
            </w:r>
          </w:p>
        </w:tc>
        <w:tc>
          <w:tcPr/>
          <w:p>
            <w:pPr>
              <w:pStyle w:val="Compact"/>
              <w:jc w:val="left"/>
            </w:pPr>
            <w:r>
              <w:t xml:space="preserve">min_max_rmse</w:t>
            </w:r>
          </w:p>
        </w:tc>
      </w:tr>
      <w:tr>
        <w:tc>
          <w:tcPr/>
          <w:p>
            <w:pPr>
              <w:pStyle w:val="Compact"/>
              <w:jc w:val="left"/>
            </w:pPr>
            <w:r>
              <w:t xml:space="preserve">aggressive</w:t>
            </w:r>
          </w:p>
        </w:tc>
        <w:tc>
          <w:tcPr/>
          <w:p>
            <w:pPr>
              <w:pStyle w:val="Compact"/>
              <w:jc w:val="right"/>
            </w:pPr>
            <w:r>
              <w:t xml:space="preserve">0.001</w:t>
            </w:r>
          </w:p>
        </w:tc>
        <w:tc>
          <w:tcPr/>
          <w:p>
            <w:pPr>
              <w:pStyle w:val="Compact"/>
              <w:jc w:val="left"/>
            </w:pPr>
            <w:r>
              <w:t xml:space="preserve">0.0214 (0.0004)</w:t>
            </w:r>
          </w:p>
        </w:tc>
        <w:tc>
          <w:tcPr/>
          <w:p>
            <w:pPr>
              <w:pStyle w:val="Compact"/>
              <w:jc w:val="left"/>
            </w:pPr>
            <w:r>
              <w:t xml:space="preserve">0.1495 (0.0010)</w:t>
            </w:r>
          </w:p>
        </w:tc>
        <w:tc>
          <w:tcPr/>
          <w:p>
            <w:pPr>
              <w:pStyle w:val="Compact"/>
              <w:jc w:val="left"/>
            </w:pPr>
            <w:r>
              <w:t xml:space="preserve">near_positivity [slope_x4.0]</w:t>
            </w:r>
          </w:p>
        </w:tc>
        <w:tc>
          <w:tcPr/>
          <w:p>
            <w:pPr>
              <w:pStyle w:val="Compact"/>
            </w:pPr>
          </w:p>
        </w:tc>
        <w:tc>
          <w:tcPr/>
          <w:p>
            <w:pPr>
              <w:pStyle w:val="Compact"/>
            </w:pPr>
          </w:p>
        </w:tc>
      </w:tr>
      <w:tr>
        <w:tc>
          <w:tcPr/>
          <w:p>
            <w:pPr>
              <w:pStyle w:val="Compact"/>
              <w:jc w:val="left"/>
            </w:pPr>
            <w:r>
              <w:t xml:space="preserve">middle</w:t>
            </w:r>
          </w:p>
        </w:tc>
        <w:tc>
          <w:tcPr/>
          <w:p>
            <w:pPr>
              <w:pStyle w:val="Compact"/>
              <w:jc w:val="right"/>
            </w:pPr>
            <w:r>
              <w:t xml:space="preserve">0.025</w:t>
            </w:r>
          </w:p>
        </w:tc>
        <w:tc>
          <w:tcPr/>
          <w:p>
            <w:pPr>
              <w:pStyle w:val="Compact"/>
              <w:jc w:val="left"/>
            </w:pPr>
            <w:r>
              <w:t xml:space="preserve">0.0211 (0.0004)</w:t>
            </w:r>
          </w:p>
        </w:tc>
        <w:tc>
          <w:tcPr/>
          <w:p>
            <w:pPr>
              <w:pStyle w:val="Compact"/>
              <w:jc w:val="left"/>
            </w:pPr>
            <w:r>
              <w:t xml:space="preserve">0.0922 (0.0005)</w:t>
            </w:r>
          </w:p>
        </w:tc>
        <w:tc>
          <w:tcPr/>
          <w:p>
            <w:pPr>
              <w:pStyle w:val="Compact"/>
              <w:jc w:val="left"/>
            </w:pPr>
            <w:r>
              <w:t xml:space="preserve">unmeasured_U [OR_trt8.0_out8.0]</w:t>
            </w:r>
          </w:p>
        </w:tc>
        <w:tc>
          <w:tcPr/>
          <w:p>
            <w:pPr>
              <w:pStyle w:val="Compact"/>
            </w:pPr>
          </w:p>
        </w:tc>
        <w:tc>
          <w:tcPr/>
          <w:p>
            <w:pPr>
              <w:pStyle w:val="Compact"/>
              <w:jc w:val="left"/>
            </w:pPr>
            <w:r>
              <w:t xml:space="preserve">&lt;– selected</w:t>
            </w:r>
          </w:p>
        </w:tc>
      </w:tr>
      <w:tr>
        <w:tc>
          <w:tcPr/>
          <w:p>
            <w:pPr>
              <w:pStyle w:val="Compact"/>
              <w:jc w:val="left"/>
            </w:pPr>
            <w:r>
              <w:t xml:space="preserve">robust</w:t>
            </w:r>
          </w:p>
        </w:tc>
        <w:tc>
          <w:tcPr/>
          <w:p>
            <w:pPr>
              <w:pStyle w:val="Compact"/>
              <w:jc w:val="right"/>
            </w:pPr>
            <w:r>
              <w:t xml:space="preserve">0.200</w:t>
            </w:r>
          </w:p>
        </w:tc>
        <w:tc>
          <w:tcPr/>
          <w:p>
            <w:pPr>
              <w:pStyle w:val="Compact"/>
              <w:jc w:val="left"/>
            </w:pPr>
            <w:r>
              <w:t xml:space="preserve">0.0184 (0.0003)</w:t>
            </w:r>
          </w:p>
        </w:tc>
        <w:tc>
          <w:tcPr/>
          <w:p>
            <w:pPr>
              <w:pStyle w:val="Compact"/>
              <w:jc w:val="left"/>
            </w:pPr>
            <w:r>
              <w:t xml:space="preserve">0.0977 (0.0006)</w:t>
            </w:r>
          </w:p>
        </w:tc>
        <w:tc>
          <w:tcPr/>
          <w:p>
            <w:pPr>
              <w:pStyle w:val="Compact"/>
              <w:jc w:val="left"/>
            </w:pPr>
            <w:r>
              <w:t xml:space="preserve">unmeasured_U [OR_trt8.0_out8.0]</w:t>
            </w:r>
          </w:p>
        </w:tc>
        <w:tc>
          <w:tcPr/>
          <w:p>
            <w:pPr>
              <w:pStyle w:val="Compact"/>
              <w:jc w:val="left"/>
            </w:pPr>
            <w:r>
              <w:t xml:space="preserve">&lt;– selected</w:t>
            </w:r>
          </w:p>
        </w:tc>
        <w:tc>
          <w:tcPr/>
          <w:p>
            <w:pPr>
              <w:pStyle w:val="Compact"/>
            </w:pPr>
          </w:p>
        </w:tc>
      </w:tr>
    </w:tbl>
    <w:tbl>
      <w:tblPr>
        <w:tblStyle w:val="Table"/>
        <w:tblW w:type="pct" w:w="5000"/>
        <w:tblLayout w:type="fixed"/>
        <w:tblLook w:firstRow="0" w:lastRow="0" w:firstColumn="0" w:lastColumn="0" w:noHBand="0" w:noVBand="0" w:val="0000"/>
      </w:tblPr>
      <w:tblGrid>
        <w:gridCol w:w="7920"/>
      </w:tblGrid>
      <w:tr>
        <w:tc>
          <w:tcPr/>
          <w:bookmarkStart w:id="112" w:name="fig-divergence"/>
          <w:p>
            <w:pPr>
              <w:pStyle w:val="Compact"/>
              <w:jc w:val="center"/>
            </w:pPr>
            <w:r>
              <w:drawing>
                <wp:inline>
                  <wp:extent cx="5334000" cy="2424545"/>
                  <wp:effectExtent b="0" l="0" r="0" t="0"/>
                  <wp:docPr descr="" title="" id="110" name="Picture"/>
                  <a:graphic>
                    <a:graphicData uri="http://schemas.openxmlformats.org/drawingml/2006/picture">
                      <pic:pic>
                        <pic:nvPicPr>
                          <pic:cNvPr descr="../sandbox/candidate_divergence/figures/degradation_gradient.png" id="111" name="Picture"/>
                          <pic:cNvPicPr>
                            <a:picLocks noChangeArrowheads="1" noChangeAspect="1"/>
                          </pic:cNvPicPr>
                        </pic:nvPicPr>
                        <pic:blipFill>
                          <a:blip r:embed="rId109"/>
                          <a:stretch>
                            <a:fillRect/>
                          </a:stretch>
                        </pic:blipFill>
                        <pic:spPr bwMode="auto">
                          <a:xfrm>
                            <a:off x="0" y="0"/>
                            <a:ext cx="5334000" cy="24245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Degradation gradient for the three truncation candidates. Panel A, the near-positivity threat: the aggressive candidate crosses the locked threshold (2x baseline, dashed) while the robust candidate stays below it. Panel B, the unmeasured-confounding threat: the robust candidate degrades the most. Each candidate is fragile to a different threat, and the middle candidate has the lowest worst case.</w:t>
            </w:r>
          </w:p>
          <w:bookmarkEnd w:id="112"/>
        </w:tc>
      </w:tr>
    </w:tbl>
    <w:p>
      <w:pPr>
        <w:pStyle w:val="BodyText"/>
      </w:pPr>
      <w:r>
        <w:t xml:space="preserve">At baseline the heaviest truncation has the lowest root mean squared error</w:t>
      </w:r>
      <w:r>
        <w:t xml:space="preserve"> </w:t>
      </w:r>
      <w:r>
        <w:t xml:space="preserve">(0.0184 for robust against</w:t>
      </w:r>
      <w:r>
        <w:t xml:space="preserve"> </w:t>
      </w:r>
      <w:r>
        <w:t xml:space="preserve">0.0211 for middle and</w:t>
      </w:r>
      <w:r>
        <w:t xml:space="preserve"> </w:t>
      </w:r>
      <w:r>
        <w:t xml:space="preserve">0.0214 for aggressive), because under double</w:t>
      </w:r>
      <w:r>
        <w:t xml:space="preserve"> </w:t>
      </w:r>
      <w:r>
        <w:t xml:space="preserve">robustness clipping the smallest propensity scores removes weight variance at</w:t>
      </w:r>
      <w:r>
        <w:t xml:space="preserve"> </w:t>
      </w:r>
      <w:r>
        <w:t xml:space="preserve">almost no cost in bias. The</w:t>
      </w:r>
      <w:r>
        <w:t xml:space="preserve"> </w:t>
      </w:r>
      <w:r>
        <w:rPr>
          <w:rStyle w:val="VerbatimChar"/>
        </w:rPr>
        <w:t xml:space="preserve">min_rmse</w:t>
      </w:r>
      <w:r>
        <w:t xml:space="preserve"> </w:t>
      </w:r>
      <w:r>
        <w:t xml:space="preserve">rule therefore selects the robust</w:t>
      </w:r>
      <w:r>
        <w:t xml:space="preserve"> </w:t>
      </w:r>
      <w:r>
        <w:t xml:space="preserve">candidate. The threat sweep reorders the candidates. Under the positivity</w:t>
      </w:r>
      <w:r>
        <w:t xml:space="preserve"> </w:t>
      </w:r>
      <w:r>
        <w:t xml:space="preserve">violation the aggressive candidate’s inverse-probability weights reach a mean</w:t>
      </w:r>
      <w:r>
        <w:t xml:space="preserve"> </w:t>
      </w:r>
      <w:r>
        <w:t xml:space="preserve">maximum near 1,000 and its error rises past seven times baseline (</w:t>
      </w:r>
      <w:hyperlink w:anchor="fig-divergence">
        <w:r>
          <w:rPr>
            <w:rStyle w:val="Hyperlink"/>
          </w:rPr>
          <w:t xml:space="preserve">Figure 6</w:t>
        </w:r>
      </w:hyperlink>
      <w:r>
        <w:t xml:space="preserve">,</w:t>
      </w:r>
      <w:r>
        <w:t xml:space="preserve"> </w:t>
      </w:r>
      <w:r>
        <w:t xml:space="preserve">Panel A), well beyond the locked threshold, while truncation caps the weights</w:t>
      </w:r>
      <w:r>
        <w:t xml:space="preserve"> </w:t>
      </w:r>
      <w:r>
        <w:t xml:space="preserve">for the other two candidates. The binding threat for the middle and robust</w:t>
      </w:r>
      <w:r>
        <w:t xml:space="preserve"> </w:t>
      </w:r>
      <w:r>
        <w:t xml:space="preserve">candidates is the strongest unmeasured confounding, where the heaviest</w:t>
      </w:r>
      <w:r>
        <w:t xml:space="preserve"> </w:t>
      </w:r>
      <w:r>
        <w:t xml:space="preserve">truncation is the most exposed, since the observations it discards carry the</w:t>
      </w:r>
      <w:r>
        <w:t xml:space="preserve"> </w:t>
      </w:r>
      <w:r>
        <w:t xml:space="preserve">information needed to offset the latent factor (Panel B). Taking each</w:t>
      </w:r>
      <w:r>
        <w:t xml:space="preserve"> </w:t>
      </w:r>
      <w:r>
        <w:t xml:space="preserve">candidate’s worst case across all threats gives</w:t>
      </w:r>
      <w:r>
        <w:t xml:space="preserve"> </w:t>
      </w:r>
      <w:r>
        <w:t xml:space="preserve">0.1495 for aggressive,</w:t>
      </w:r>
      <w:r>
        <w:t xml:space="preserve"> </w:t>
      </w:r>
      <w:r>
        <w:t xml:space="preserve">0.0977 for robust, and</w:t>
      </w:r>
      <w:r>
        <w:t xml:space="preserve"> </w:t>
      </w:r>
      <w:r>
        <w:t xml:space="preserve">0.0922 for middle. The</w:t>
      </w:r>
      <w:r>
        <w:t xml:space="preserve"> </w:t>
      </w:r>
      <w:r>
        <w:rPr>
          <w:rStyle w:val="VerbatimChar"/>
        </w:rPr>
        <w:t xml:space="preserve">min_max_rmse</w:t>
      </w:r>
      <w:r>
        <w:t xml:space="preserve"> </w:t>
      </w:r>
      <w:r>
        <w:t xml:space="preserve">rule</w:t>
      </w:r>
      <w:r>
        <w:t xml:space="preserve"> </w:t>
      </w:r>
      <w:r>
        <w:t xml:space="preserve">therefore selects the middle candidate. The two rules disagree, the</w:t>
      </w:r>
      <w:r>
        <w:t xml:space="preserve"> </w:t>
      </w:r>
      <w:r>
        <w:t xml:space="preserve">disagreement holds in all five batches, and the worst-case separation between</w:t>
      </w:r>
      <w:r>
        <w:t xml:space="preserve"> </w:t>
      </w:r>
      <w:r>
        <w:t xml:space="preserve">the two selected candidates is</w:t>
      </w:r>
      <w:r>
        <w:t xml:space="preserve"> </w:t>
      </w:r>
      <w:r>
        <w:t xml:space="preserve">0.0055 against a combined Monte Carlo standard</w:t>
      </w:r>
      <w:r>
        <w:t xml:space="preserve"> </w:t>
      </w:r>
      <w:r>
        <w:t xml:space="preserve">error of 0.0008, so the change in decision is a</w:t>
      </w:r>
      <w:r>
        <w:t xml:space="preserve"> </w:t>
      </w:r>
      <w:r>
        <w:t xml:space="preserve">property of the design and not simulation noise.</w:t>
      </w:r>
    </w:p>
    <w:p>
      <w:pPr>
        <w:pStyle w:val="BodyText"/>
      </w:pPr>
      <w:r>
        <w:t xml:space="preserve">This stability is not automatic; it follows from the separation between the</w:t>
      </w:r>
      <w:r>
        <w:t xml:space="preserve"> </w:t>
      </w:r>
      <w:r>
        <w:t xml:space="preserve">candidates being large relative to Monte Carlo error. Here the worst-case</w:t>
      </w:r>
      <w:r>
        <w:t xml:space="preserve"> </w:t>
      </w:r>
      <w:r>
        <w:t xml:space="preserve">margin is roughly seven times the combined Monte Carlo standard error, so the</w:t>
      </w:r>
      <w:r>
        <w:t xml:space="preserve"> </w:t>
      </w:r>
      <w:r>
        <w:t xml:space="preserve">ranking is decisive and the selected candidate is the same in all five</w:t>
      </w:r>
      <w:r>
        <w:t xml:space="preserve"> </w:t>
      </w:r>
      <w:r>
        <w:t xml:space="preserve">independent batches. When candidates are nearly tied the selection is instead</w:t>
      </w:r>
      <w:r>
        <w:t xml:space="preserve"> </w:t>
      </w:r>
      <w:r>
        <w:t xml:space="preserve">fragile to the replicate count, as in the rescueCo case study</w:t>
      </w:r>
      <w:r>
        <w:t xml:space="preserve"> </w:t>
      </w:r>
      <w:r>
        <w:t xml:space="preserve">(</w:t>
      </w:r>
      <w:hyperlink w:anchor="sec-casestudy-dq">
        <w:r>
          <w:rPr>
            <w:rStyle w:val="Hyperlink"/>
          </w:rPr>
          <w:t xml:space="preserve">Section 12.6</w:t>
        </w:r>
      </w:hyperlink>
      <w:r>
        <w:t xml:space="preserve">), where the minimax rule moved between two closely matched</w:t>
      </w:r>
      <w:r>
        <w:t xml:space="preserve"> </w:t>
      </w:r>
      <w:r>
        <w:t xml:space="preserve">ensemble candidates as the replicate count rose. The practical recommendation</w:t>
      </w:r>
      <w:r>
        <w:t xml:space="preserve"> </w:t>
      </w:r>
      <w:r>
        <w:t xml:space="preserve">is to report the worst-case margin alongside its Monte Carlo standard error, so</w:t>
      </w:r>
      <w:r>
        <w:t xml:space="preserve"> </w:t>
      </w:r>
      <w:r>
        <w:t xml:space="preserve">that a reader can tell a decisive selection from a tie broken by noise; a</w:t>
      </w:r>
      <w:r>
        <w:t xml:space="preserve"> </w:t>
      </w:r>
      <w:r>
        <w:t xml:space="preserve">margin within one or two Monte Carlo standard errors should be read as a tie</w:t>
      </w:r>
      <w:r>
        <w:t xml:space="preserve"> </w:t>
      </w:r>
      <w:r>
        <w:t xml:space="preserve">rather than a preference.</w:t>
      </w:r>
    </w:p>
    <w:p>
      <w:pPr>
        <w:pStyle w:val="BodyText"/>
      </w:pPr>
      <w:r>
        <w:t xml:space="preserve">Propensity-score truncation trades variance against robustness, and the two</w:t>
      </w:r>
      <w:r>
        <w:t xml:space="preserve"> </w:t>
      </w:r>
      <w:r>
        <w:t xml:space="preserve">rules reward opposite ends of that trade. A rule that ranks candidates on</w:t>
      </w:r>
      <w:r>
        <w:t xml:space="preserve"> </w:t>
      </w:r>
      <w:r>
        <w:t xml:space="preserve">performance in an undisturbed reference sample rewards the heaviest truncation.</w:t>
      </w:r>
      <w:r>
        <w:t xml:space="preserve"> </w:t>
      </w:r>
      <w:r>
        <w:t xml:space="preserve">The same heavy truncation is the least able to recover from strong unmeasured</w:t>
      </w:r>
      <w:r>
        <w:t xml:space="preserve"> </w:t>
      </w:r>
      <w:r>
        <w:t xml:space="preserve">confounding, and the lightest truncation is destroyed by the positivity</w:t>
      </w:r>
      <w:r>
        <w:t xml:space="preserve"> </w:t>
      </w:r>
      <w:r>
        <w:t xml:space="preserve">violation. The intermediate truncation has neither failure at full severity, so</w:t>
      </w:r>
      <w:r>
        <w:t xml:space="preserve"> </w:t>
      </w:r>
      <w:r>
        <w:t xml:space="preserve">the worst-case rule selects it. This is a constructed illustration rather than a</w:t>
      </w:r>
      <w:r>
        <w:t xml:space="preserve"> </w:t>
      </w:r>
      <w:r>
        <w:t xml:space="preserve">property of every grid, and it does not weaken the prespecification logic of the</w:t>
      </w:r>
      <w:r>
        <w:t xml:space="preserve"> </w:t>
      </w:r>
      <w:r>
        <w:t xml:space="preserve">workflow. The threat list and its severities are declared in the locked</w:t>
      </w:r>
      <w:r>
        <w:t xml:space="preserve"> </w:t>
      </w:r>
      <w:r>
        <w:t xml:space="preserve">analysis plan, and the demonstration shows why declaring them, and selecting</w:t>
      </w:r>
      <w:r>
        <w:t xml:space="preserve"> </w:t>
      </w:r>
      <w:r>
        <w:t xml:space="preserve">against the worst case, can change which estimator is locked.</w:t>
      </w:r>
    </w:p>
    <w:p>
      <w:pPr>
        <w:pStyle w:val="BodyText"/>
      </w:pPr>
      <w:r>
        <w:t xml:space="preserve">One caveat applies to interpreting the candidate ranking. Propensity-score</w:t>
      </w:r>
      <w:r>
        <w:t xml:space="preserve"> </w:t>
      </w:r>
      <w:r>
        <w:t xml:space="preserve">truncation does not only trade variance against robustness; at heavier</w:t>
      </w:r>
      <w:r>
        <w:t xml:space="preserve"> </w:t>
      </w:r>
      <w:r>
        <w:t xml:space="preserve">thresholds it also shifts the target population, because truncating extreme</w:t>
      </w:r>
      <w:r>
        <w:t xml:space="preserve"> </w:t>
      </w:r>
      <w:r>
        <w:t xml:space="preserve">weights down-weights units with poor overlap and moves the estimand toward an</w:t>
      </w:r>
      <w:r>
        <w:t xml:space="preserve"> </w:t>
      </w:r>
      <w:r>
        <w:t xml:space="preserve">overlap-weighted contrast rather than the marginal risk difference in the full</w:t>
      </w:r>
      <w:r>
        <w:t xml:space="preserve"> </w:t>
      </w:r>
      <w:r>
        <w:t xml:space="preserve">eligible population. Scoring candidates by root mean squared error against a</w:t>
      </w:r>
      <w:r>
        <w:t xml:space="preserve"> </w:t>
      </w:r>
      <w:r>
        <w:t xml:space="preserve">fixed marginal-RD truth therefore mixes estimator quality with this estimand</w:t>
      </w:r>
      <w:r>
        <w:t xml:space="preserve"> </w:t>
      </w:r>
      <w:r>
        <w:t xml:space="preserve">shift, and a heavily truncated candidate can rank well partly because it</w:t>
      </w:r>
      <w:r>
        <w:t xml:space="preserve"> </w:t>
      </w:r>
      <w:r>
        <w:t xml:space="preserve">targets an easier quantity. We treat the truncated candidates as estimators of</w:t>
      </w:r>
      <w:r>
        <w:t xml:space="preserve"> </w:t>
      </w:r>
      <w:r>
        <w:t xml:space="preserve">the single prespecified marginal estimand and report their RMSE against it,</w:t>
      </w:r>
      <w:r>
        <w:t xml:space="preserve"> </w:t>
      </w:r>
      <w:r>
        <w:t xml:space="preserve">which is the conservative choice for selection; but we flag that under severe</w:t>
      </w:r>
      <w:r>
        <w:t xml:space="preserve"> </w:t>
      </w:r>
      <w:r>
        <w:t xml:space="preserve">positivity violations the overlap-weighted and marginal estimands diverge, and</w:t>
      </w:r>
      <w:r>
        <w:t xml:space="preserve"> </w:t>
      </w:r>
      <w:r>
        <w:t xml:space="preserve">the analyst should decide which is the inferential target before locking the</w:t>
      </w:r>
      <w:r>
        <w:t xml:space="preserve"> </w:t>
      </w:r>
      <w:r>
        <w:t xml:space="preserve">rule. The same caution applies to the marginal-overlap results in</w:t>
      </w:r>
      <w:r>
        <w:t xml:space="preserve"> </w:t>
      </w:r>
      <w:hyperlink w:anchor="sec-simulation">
        <w:r>
          <w:rPr>
            <w:rStyle w:val="Hyperlink"/>
          </w:rPr>
          <w:t xml:space="preserve">Section 10</w:t>
        </w:r>
      </w:hyperlink>
      <w:r>
        <w:t xml:space="preserve">, where the heavier-truncation candidate that the workflow</w:t>
      </w:r>
      <w:r>
        <w:t xml:space="preserve"> </w:t>
      </w:r>
      <w:r>
        <w:t xml:space="preserve">selects is implicitly estimating a contrast in a better-overlapped subgroup.</w:t>
      </w:r>
    </w:p>
    <w:bookmarkEnd w:id="113"/>
    <w:bookmarkStart w:id="114" w:name="sec-evalue"/>
    <w:p>
      <w:pPr>
        <w:pStyle w:val="Heading2"/>
      </w:pPr>
      <w:r>
        <w:t xml:space="preserve">10.5 Comparison with E-value-based sensitivity</w:t>
      </w:r>
    </w:p>
    <w:p>
      <w:pPr>
        <w:pStyle w:val="FirstParagraph"/>
      </w:pPr>
      <w:r>
        <w:t xml:space="preserve">The E-value</w:t>
      </w:r>
      <w:r>
        <w:t xml:space="preserve"> </w:t>
      </w:r>
      <w:r>
        <w:t xml:space="preserve">(VanderWeele and Ding 2017)</w:t>
      </w:r>
      <w:r>
        <w:t xml:space="preserve"> </w:t>
      </w:r>
      <w:r>
        <w:t xml:space="preserve">reports the minimum strength</w:t>
      </w:r>
      <w:r>
        <w:t xml:space="preserve"> </w:t>
      </w:r>
      <w:r>
        <w:t xml:space="preserve">of unmeasured confounding required to reduce the observed estimate</w:t>
      </w:r>
      <w:r>
        <w:t xml:space="preserve"> </w:t>
      </w:r>
      <w:r>
        <w:t xml:space="preserve">to the null. It is post-hoc: it is computed from the realised</w:t>
      </w:r>
      <w:r>
        <w:t xml:space="preserve"> </w:t>
      </w:r>
      <w:r>
        <w:t xml:space="preserve">estimate after the outcome is unblinded. The plasmode DQ stress</w:t>
      </w:r>
      <w:r>
        <w:t xml:space="preserve"> </w:t>
      </w:r>
      <w:r>
        <w:t xml:space="preserve">test runs in the opposite direction: given a hypothesised confounder</w:t>
      </w:r>
      <w:r>
        <w:t xml:space="preserve"> </w:t>
      </w:r>
      <w:r>
        <w:t xml:space="preserve">strength, it computes the bias of each candidate. The two are</w:t>
      </w:r>
      <w:r>
        <w:t xml:space="preserve"> </w:t>
      </w:r>
      <w:r>
        <w:t xml:space="preserve">complementary, and we recommend reporting both.</w:t>
      </w:r>
    </w:p>
    <w:p>
      <w:pPr>
        <w:pStyle w:val="TableCaption"/>
      </w:pPr>
      <w:r>
        <w:t xml:space="preserve">Unmeasured confounding under two methods: a single E-value threshold and a candidate-specific bias curve.</w:t>
      </w:r>
    </w:p>
    <w:tbl>
      <w:tblPr>
        <w:tblStyle w:val="Table"/>
        <w:tblW w:type="auto" w:w="0"/>
        <w:tblLook w:firstRow="1" w:lastRow="0" w:firstColumn="0" w:lastColumn="0" w:noHBand="0" w:noVBand="0" w:val="0020"/>
        <w:tblCaption w:val="Unmeasured confounding under two methods: a single E-value threshold and a candidate-specific bias curve."/>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True RD (no U)</w:t>
            </w:r>
          </w:p>
        </w:tc>
        <w:tc>
          <w:tcPr/>
          <w:p>
            <w:pPr>
              <w:pStyle w:val="Compact"/>
            </w:pPr>
            <w:r>
              <w:t xml:space="preserve">-0.02979</w:t>
            </w:r>
          </w:p>
        </w:tc>
      </w:tr>
      <w:tr>
        <w:tc>
          <w:tcPr/>
          <w:p>
            <w:pPr>
              <w:pStyle w:val="Compact"/>
            </w:pPr>
            <w:r>
              <w:t xml:space="preserve">True RD (U present, OR = 2.0)</w:t>
            </w:r>
          </w:p>
        </w:tc>
        <w:tc>
          <w:tcPr/>
          <w:p>
            <w:pPr>
              <w:pStyle w:val="Compact"/>
            </w:pPr>
            <w:r>
              <w:t xml:space="preserve">-0.04187</w:t>
            </w:r>
          </w:p>
        </w:tc>
      </w:tr>
      <w:tr>
        <w:tc>
          <w:tcPr/>
          <w:p>
            <w:pPr>
              <w:pStyle w:val="Compact"/>
            </w:pPr>
            <w:r>
              <w:t xml:space="preserve">TMLE estimate, Scenario A (no U)</w:t>
            </w:r>
          </w:p>
        </w:tc>
        <w:tc>
          <w:tcPr/>
          <w:p>
            <w:pPr>
              <w:pStyle w:val="Compact"/>
            </w:pPr>
            <w:r>
              <w:t xml:space="preserve">-0.03041</w:t>
            </w:r>
          </w:p>
        </w:tc>
      </w:tr>
      <w:tr>
        <w:tc>
          <w:tcPr/>
          <w:p>
            <w:pPr>
              <w:pStyle w:val="Compact"/>
            </w:pPr>
            <w:r>
              <w:t xml:space="preserve">TMLE estimate, Scenario C (U present, not adjusted)</w:t>
            </w:r>
          </w:p>
        </w:tc>
        <w:tc>
          <w:tcPr/>
          <w:p>
            <w:pPr>
              <w:pStyle w:val="Compact"/>
            </w:pPr>
            <w:r>
              <w:t xml:space="preserve">-0.00486</w:t>
            </w:r>
          </w:p>
        </w:tc>
      </w:tr>
      <w:tr>
        <w:tc>
          <w:tcPr/>
          <w:p>
            <w:pPr>
              <w:pStyle w:val="Compact"/>
            </w:pPr>
            <w:r>
              <w:t xml:space="preserve">MC bias from unmeasured U (Scenario C)</w:t>
            </w:r>
          </w:p>
        </w:tc>
        <w:tc>
          <w:tcPr/>
          <w:p>
            <w:pPr>
              <w:pStyle w:val="Compact"/>
            </w:pPr>
            <w:r>
              <w:t xml:space="preserve">0.03701</w:t>
            </w:r>
          </w:p>
        </w:tc>
      </w:tr>
      <w:tr>
        <w:tc>
          <w:tcPr/>
          <w:p>
            <w:pPr>
              <w:pStyle w:val="Compact"/>
            </w:pPr>
            <w:r>
              <w:t xml:space="preserve">E-value (from Scenario A estimate)</w:t>
            </w:r>
          </w:p>
        </w:tc>
        <w:tc>
          <w:tcPr/>
          <w:p>
            <w:pPr>
              <w:pStyle w:val="Compact"/>
            </w:pPr>
            <w:r>
              <w:t xml:space="preserve">2.04</w:t>
            </w:r>
          </w:p>
        </w:tc>
      </w:tr>
      <w:tr>
        <w:tc>
          <w:tcPr/>
          <w:p>
            <w:pPr>
              <w:pStyle w:val="Compact"/>
            </w:pPr>
            <w:r>
              <w:t xml:space="preserve">DQ stress bias at OR_trt2.0_out2.0</w:t>
            </w:r>
          </w:p>
        </w:tc>
        <w:tc>
          <w:tcPr/>
          <w:p>
            <w:pPr>
              <w:pStyle w:val="Compact"/>
            </w:pPr>
            <w:r>
              <w:t xml:space="preserve">0.01032</w:t>
            </w:r>
          </w:p>
        </w:tc>
      </w:tr>
      <w:tr>
        <w:tc>
          <w:tcPr/>
          <w:p>
            <w:pPr>
              <w:pStyle w:val="Compact"/>
            </w:pPr>
            <w:r>
              <w:t xml:space="preserve">DQ stress bias at OR_trt3.0_out3.0</w:t>
            </w:r>
          </w:p>
        </w:tc>
        <w:tc>
          <w:tcPr/>
          <w:p>
            <w:pPr>
              <w:pStyle w:val="Compact"/>
            </w:pPr>
            <w:r>
              <w:t xml:space="preserve">0.02640</w:t>
            </w:r>
          </w:p>
        </w:tc>
      </w:tr>
      <w:tr>
        <w:tc>
          <w:tcPr/>
          <w:p>
            <w:pPr>
              <w:pStyle w:val="Compact"/>
            </w:pPr>
            <w:r>
              <w:t xml:space="preserve">DQ stress bias at OR_trt4.0_out4.0</w:t>
            </w:r>
          </w:p>
        </w:tc>
        <w:tc>
          <w:tcPr/>
          <w:p>
            <w:pPr>
              <w:pStyle w:val="Compact"/>
            </w:pPr>
            <w:r>
              <w:t xml:space="preserve">0.04166</w:t>
            </w:r>
          </w:p>
        </w:tc>
      </w:tr>
      <w:tr>
        <w:tc>
          <w:tcPr/>
          <w:p>
            <w:pPr>
              <w:pStyle w:val="Compact"/>
            </w:pPr>
            <w:r>
              <w:t xml:space="preserve">DQ stress bias at OR_trt6.0_out6.0</w:t>
            </w:r>
          </w:p>
        </w:tc>
        <w:tc>
          <w:tcPr/>
          <w:p>
            <w:pPr>
              <w:pStyle w:val="Compact"/>
            </w:pPr>
            <w:r>
              <w:t xml:space="preserve">0.07562</w:t>
            </w:r>
          </w:p>
        </w:tc>
      </w:tr>
      <w:tr>
        <w:tc>
          <w:tcPr/>
          <w:p>
            <w:pPr>
              <w:pStyle w:val="Compact"/>
            </w:pPr>
            <w:r>
              <w:t xml:space="preserve">DQ stress bias at OR_trt8.0_out8.0</w:t>
            </w:r>
          </w:p>
        </w:tc>
        <w:tc>
          <w:tcPr/>
          <w:p>
            <w:pPr>
              <w:pStyle w:val="Compact"/>
            </w:pPr>
            <w:r>
              <w:t xml:space="preserve">0.09922</w:t>
            </w:r>
          </w:p>
        </w:tc>
      </w:tr>
    </w:tbl>
    <w:bookmarkEnd w:id="114"/>
    <w:bookmarkEnd w:id="115"/>
    <w:bookmarkStart w:id="117" w:name="sec-gate-oc"/>
    <w:p>
      <w:pPr>
        <w:pStyle w:val="Heading1"/>
      </w:pPr>
      <w:r>
        <w:t xml:space="preserve">11. Operating characteristics of the pre-outcome gate</w:t>
      </w:r>
    </w:p>
    <w:p>
      <w:pPr>
        <w:pStyle w:val="FirstParagraph"/>
      </w:pPr>
      <w:r>
        <w:t xml:space="preserve">The simulation in</w:t>
      </w:r>
      <w:r>
        <w:t xml:space="preserve"> </w:t>
      </w:r>
      <w:hyperlink w:anchor="sec-simulation">
        <w:r>
          <w:rPr>
            <w:rStyle w:val="Hyperlink"/>
          </w:rPr>
          <w:t xml:space="preserve">Section 10</w:t>
        </w:r>
      </w:hyperlink>
      <w:r>
        <w:t xml:space="preserve"> </w:t>
      </w:r>
      <w:r>
        <w:t xml:space="preserve">shows the workflow returning the</w:t>
      </w:r>
      <w:r>
        <w:t xml:space="preserve"> </w:t>
      </w:r>
      <w:r>
        <w:t xml:space="preserve">prespecified staged verdict in three scenarios, but it does not</w:t>
      </w:r>
      <w:r>
        <w:t xml:space="preserve"> </w:t>
      </w:r>
      <w:r>
        <w:t xml:space="preserve">measure the screen</w:t>
      </w:r>
      <w:r>
        <w:t xml:space="preserve"> </w:t>
      </w:r>
      <w:r>
        <w:rPr>
          <w:i/>
          <w:iCs/>
        </w:rPr>
        <w:t xml:space="preserve">as a decision rule</w:t>
      </w:r>
      <w:r>
        <w:t xml:space="preserve">. A reviewer is entitled to ask</w:t>
      </w:r>
      <w:r>
        <w:t xml:space="preserve"> </w:t>
      </w:r>
      <w:r>
        <w:t xml:space="preserve">how often the gate’s verdict agrees with the verdict an oracle would</w:t>
      </w:r>
      <w:r>
        <w:t xml:space="preserve"> </w:t>
      </w:r>
      <w:r>
        <w:t xml:space="preserve">reach knowing the realised estimator’s true bias, and how that agreement</w:t>
      </w:r>
      <w:r>
        <w:t xml:space="preserve"> </w:t>
      </w:r>
      <w:r>
        <w:t xml:space="preserve">degrades when the synthetic-outcome model is misspecified. We answer this</w:t>
      </w:r>
      <w:r>
        <w:t xml:space="preserve"> </w:t>
      </w:r>
      <w:r>
        <w:t xml:space="preserve">with a calibration meta-simulation (</w:t>
      </w:r>
      <w:r>
        <w:rPr>
          <w:rStyle w:val="VerbatimChar"/>
        </w:rPr>
        <w:t xml:space="preserve">run_gate_operating_characteristics.R</w:t>
      </w:r>
      <w:r>
        <w:t xml:space="preserve"> </w:t>
      </w:r>
      <w:r>
        <w:t xml:space="preserve">in the companion repository).</w:t>
      </w:r>
    </w:p>
    <w:p>
      <w:pPr>
        <w:pStyle w:val="BodyText"/>
      </w:pPr>
      <w:r>
        <w:t xml:space="preserve">The design isolates the unmeasured-confounding threat. For a grid of true</w:t>
      </w:r>
      <w:r>
        <w:t xml:space="preserve"> </w:t>
      </w:r>
      <w:r>
        <w:t xml:space="preserve">confounder strengths</w:t>
      </w:r>
      <w:r>
        <w:t xml:space="preserve"> </w:t>
      </w:r>
      <m:oMath>
        <m:r>
          <m:t>s</m:t>
        </m:r>
      </m:oMath>
      <w:r>
        <w:t xml:space="preserve"> </w:t>
      </w:r>
      <w:r>
        <w:t xml:space="preserve">(odds ratios on both treatment and outcome), we</w:t>
      </w:r>
      <w:r>
        <w:t xml:space="preserve"> </w:t>
      </w:r>
      <w:r>
        <w:t xml:space="preserve">compute two quantities at each</w:t>
      </w:r>
      <w:r>
        <w:t xml:space="preserve"> </w:t>
      </w:r>
      <m:oMath>
        <m:r>
          <m:t>s</m:t>
        </m:r>
      </m:oMath>
      <w:r>
        <w:t xml:space="preserve">. The</w:t>
      </w:r>
      <w:r>
        <w:t xml:space="preserve"> </w:t>
      </w:r>
      <w:r>
        <w:rPr>
          <w:i/>
          <w:iCs/>
        </w:rPr>
        <w:t xml:space="preserve">oracle</w:t>
      </w:r>
      <w:r>
        <w:t xml:space="preserve"> </w:t>
      </w:r>
      <w:r>
        <w:t xml:space="preserve">bias</w:t>
      </w:r>
      <w:r>
        <w:t xml:space="preserve"> </w:t>
      </w:r>
      <m:oMath>
        <m:sSub>
          <m:e>
            <m:r>
              <m:t>B</m:t>
            </m:r>
          </m:e>
          <m:sub>
            <m:r>
              <m:rPr>
                <m:nor/>
                <m:sty m:val="p"/>
              </m:rPr>
              <m:t>real</m:t>
            </m:r>
          </m:sub>
        </m:sSub>
        <m:d>
          <m:dPr>
            <m:begChr m:val="("/>
            <m:endChr m:val=")"/>
            <m:sepChr m:val=""/>
            <m:grow/>
          </m:dPr>
          <m:e>
            <m:r>
              <m:t>s</m:t>
            </m:r>
          </m:e>
        </m:d>
      </m:oMath>
      <w:r>
        <w:t xml:space="preserve"> </w:t>
      </w:r>
      <w:r>
        <w:t xml:space="preserve">is the mean bias of the realised TMLE, adjusting for the measured</w:t>
      </w:r>
      <w:r>
        <w:t xml:space="preserve"> </w:t>
      </w:r>
      <w:r>
        <w:t xml:space="preserve">covariates only, when a true unmeasured confounder of strength</w:t>
      </w:r>
      <w:r>
        <w:t xml:space="preserve"> </w:t>
      </w:r>
      <m:oMath>
        <m:r>
          <m:t>s</m:t>
        </m:r>
      </m:oMath>
      <w:r>
        <w:t xml:space="preserve"> </w:t>
      </w:r>
      <w:r>
        <w:t xml:space="preserve">acts on</w:t>
      </w:r>
      <w:r>
        <w:t xml:space="preserve"> </w:t>
      </w:r>
      <w:r>
        <w:t xml:space="preserve">both the treatment and the outcome. The</w:t>
      </w:r>
      <w:r>
        <w:t xml:space="preserve"> </w:t>
      </w:r>
      <w:r>
        <w:rPr>
          <w:i/>
          <w:iCs/>
        </w:rPr>
        <w:t xml:space="preserve">screen-predicted</w:t>
      </w:r>
      <w:r>
        <w:t xml:space="preserve"> </w:t>
      </w:r>
      <w:r>
        <w:t xml:space="preserve">bias</w:t>
      </w:r>
      <w:r>
        <w:t xml:space="preserve"> </w:t>
      </w:r>
      <m:oMath>
        <m:sSub>
          <m:e>
            <m:r>
              <m:t>B</m:t>
            </m:r>
          </m:e>
          <m:sub>
            <m:r>
              <m:rPr>
                <m:nor/>
                <m:sty m:val="p"/>
              </m:rPr>
              <m:t>screen</m:t>
            </m:r>
          </m:sub>
        </m:sSub>
        <m:d>
          <m:dPr>
            <m:begChr m:val="("/>
            <m:endChr m:val=")"/>
            <m:sepChr m:val=""/>
            <m:grow/>
          </m:dPr>
          <m:e>
            <m:r>
              <m:t>s</m:t>
            </m:r>
          </m:e>
        </m:d>
      </m:oMath>
      <w:r>
        <w:t xml:space="preserve"> </w:t>
      </w:r>
      <w:r>
        <w:t xml:space="preserve">is what the outcome-blind plasmode screen</w:t>
      </w:r>
      <w:r>
        <w:t xml:space="preserve"> </w:t>
      </w:r>
      <w:r>
        <w:t xml:space="preserve">anticipates at the same strength: the treatment and outcome nuisance</w:t>
      </w:r>
      <w:r>
        <w:t xml:space="preserve"> </w:t>
      </w:r>
      <w:r>
        <w:t xml:space="preserve">surfaces</w:t>
      </w:r>
      <w:r>
        <w:t xml:space="preserve"> </w:t>
      </w:r>
      <m:oMath>
        <m:sSub>
          <m:e>
            <m:r>
              <m:t>g</m:t>
            </m:r>
          </m:e>
          <m:sub>
            <m:r>
              <m:t>0</m:t>
            </m:r>
          </m:sub>
        </m:sSub>
        <m:d>
          <m:dPr>
            <m:begChr m:val="("/>
            <m:endChr m:val=")"/>
            <m:sepChr m:val=""/>
            <m:grow/>
          </m:dPr>
          <m:e>
            <m:r>
              <m:t>W</m:t>
            </m:r>
          </m:e>
        </m:d>
      </m:oMath>
      <w:r>
        <w:t xml:space="preserve"> </w:t>
      </w:r>
      <w:r>
        <w:t xml:space="preserve">and</w:t>
      </w:r>
      <w:r>
        <w:t xml:space="preserve"> </w:t>
      </w:r>
      <m:oMath>
        <m:sSub>
          <m:e>
            <m:r>
              <m:t>Q</m:t>
            </m:r>
          </m:e>
          <m:sub>
            <m:r>
              <m:t>0</m:t>
            </m:r>
          </m:sub>
        </m:sSub>
        <m:d>
          <m:dPr>
            <m:begChr m:val="("/>
            <m:endChr m:val=")"/>
            <m:sepChr m:val=""/>
            <m:grow/>
          </m:dPr>
          <m:e>
            <m:r>
              <m:t>W</m:t>
            </m:r>
          </m:e>
        </m:d>
      </m:oMath>
      <w:r>
        <w:t xml:space="preserve"> </w:t>
      </w:r>
      <w:r>
        <w:t xml:space="preserve">are fitted on the analyst’s cohort, a</w:t>
      </w:r>
      <w:r>
        <w:t xml:space="preserve"> </w:t>
      </w:r>
      <w:r>
        <w:t xml:space="preserve">what-if confounder of strength</w:t>
      </w:r>
      <w:r>
        <w:t xml:space="preserve"> </w:t>
      </w:r>
      <m:oMath>
        <m:r>
          <m:t>s</m:t>
        </m:r>
      </m:oMath>
      <w:r>
        <w:t xml:space="preserve"> </w:t>
      </w:r>
      <w:r>
        <w:t xml:space="preserve">is injected into</w:t>
      </w:r>
      <w:r>
        <w:t xml:space="preserve"> </w:t>
      </w:r>
      <w:r>
        <w:rPr>
          <w:i/>
          <w:iCs/>
        </w:rPr>
        <w:t xml:space="preserve">both</w:t>
      </w:r>
      <w:r>
        <w:t xml:space="preserve"> </w:t>
      </w:r>
      <w:r>
        <w:t xml:space="preserve">the synthetic</w:t>
      </w:r>
      <w:r>
        <w:t xml:space="preserve"> </w:t>
      </w:r>
      <w:r>
        <w:t xml:space="preserve">treatment and the synthetic outcome, and the same TMLE is scored against</w:t>
      </w:r>
      <w:r>
        <w:t xml:space="preserve"> </w:t>
      </w:r>
      <w:r>
        <w:t xml:space="preserve">the synthetic truth. The synthetic nuisances are fitted two ways, a</w:t>
      </w:r>
      <w:r>
        <w:t xml:space="preserve"> </w:t>
      </w:r>
      <w:r>
        <w:t xml:space="preserve">misspecified GLM and a flexible SuperLearner (GLM, MARS, and random</w:t>
      </w:r>
      <w:r>
        <w:t xml:space="preserve"> </w:t>
      </w:r>
      <w:r>
        <w:t xml:space="preserve">forest), under both a linear and a nonlinear true surface, and the locked</w:t>
      </w:r>
      <w:r>
        <w:t xml:space="preserve"> </w:t>
      </w:r>
      <w:r>
        <w:t xml:space="preserve">STOP threshold is applied to both the oracle and the screen. The realised</w:t>
      </w:r>
      <w:r>
        <w:t xml:space="preserve"> </w:t>
      </w:r>
      <w:r>
        <w:t xml:space="preserve">estimator uses a GLM nuisance library, so that under the nonlinear surface</w:t>
      </w:r>
      <w:r>
        <w:t xml:space="preserve"> </w:t>
      </w:r>
      <w:r>
        <w:t xml:space="preserve">its bias reflects nuisance misspecification as well as the omitted</w:t>
      </w:r>
      <w:r>
        <w:t xml:space="preserve"> </w:t>
      </w:r>
      <w:r>
        <w:t xml:space="preserve">confounder, and the screen can predict that bias only if its synthetic</w:t>
      </w:r>
      <w:r>
        <w:t xml:space="preserve"> </w:t>
      </w:r>
      <w:r>
        <w:t xml:space="preserve">nuisances reproduce the nonlinearity.</w:t>
      </w:r>
    </w:p>
    <w:tbl>
      <w:tblPr>
        <w:tblStyle w:val="Table"/>
        <w:tblW w:type="pct" w:w="5000"/>
        <w:tblLayout w:type="fixed"/>
        <w:tblLook w:firstRow="0" w:lastRow="0" w:firstColumn="0" w:lastColumn="0" w:noHBand="0" w:noVBand="0" w:val="0000"/>
      </w:tblPr>
      <w:tblGrid>
        <w:gridCol w:w="7920"/>
      </w:tblGrid>
      <w:tr>
        <w:tc>
          <w:tcPr/>
          <w:bookmarkStart w:id="116" w:name="tbl-gate-oc"/>
          <w:p>
            <w:pPr>
              <w:jc w:val="center"/>
            </w:pPr>
            <w:pPr>
              <w:jc w:val="start"/>
              <w:spacing w:before="200"/>
              <w:pStyle w:val="ImageCaption"/>
            </w:pPr>
            <w:r>
              <w:t xml:space="preserve">Table 7: Calibration of the pre-outcome gate. Oracle bias is the realised TMLE bias under a true confounder of the given strength; screen bias is the plasmode-predicted bias at the same strength under a GLM and a flexible (SuperLearner) synthetic-nuisance model. STOP columns apply the locked |bias| threshold (0.02).</w:t>
            </w:r>
          </w:p>
          <w:tbl>
            <w:tblPr>
              <w:tblStyle w:val="Table"/>
              <w:tblW w:type="pct" w:w="5000"/>
              <w:tblLayout w:type="fixed"/>
              <w:tblLook w:firstRow="1" w:lastRow="0" w:firstColumn="0" w:lastColumn="0" w:noHBand="0" w:noVBand="0" w:val="0020"/>
            </w:tblPr>
            <w:tblGrid>
              <w:gridCol w:w="561"/>
              <w:gridCol w:w="449"/>
              <w:gridCol w:w="449"/>
              <w:gridCol w:w="786"/>
              <w:gridCol w:w="1572"/>
              <w:gridCol w:w="1348"/>
              <w:gridCol w:w="674"/>
              <w:gridCol w:w="898"/>
              <w:gridCol w:w="1179"/>
            </w:tblGrid>
            <w:tr>
              <w:trPr>
                <w:tblHeader w:val="on"/>
              </w:trPr>
              <w:tc>
                <w:tcPr/>
                <w:p>
                  <w:pPr>
                    <w:pStyle w:val="Compact"/>
                    <w:jc w:val="left"/>
                    <w:jc w:val="center"/>
                  </w:pPr>
                  <w:r>
                    <w:t xml:space="preserve">Surface</w:t>
                  </w:r>
                </w:p>
              </w:tc>
              <w:tc>
                <w:tcPr/>
                <w:p>
                  <w:pPr>
                    <w:pStyle w:val="Compact"/>
                    <w:jc w:val="right"/>
                    <w:jc w:val="center"/>
                  </w:pPr>
                  <w:r>
                    <w:t xml:space="preserve">True OR</w:t>
                  </w:r>
                </w:p>
              </w:tc>
              <w:tc>
                <w:tcPr/>
                <w:p>
                  <w:pPr>
                    <w:pStyle w:val="Compact"/>
                    <w:jc w:val="right"/>
                    <w:jc w:val="center"/>
                  </w:pPr>
                  <w:r>
                    <w:t xml:space="preserve">True RD</w:t>
                  </w:r>
                </w:p>
              </w:tc>
              <w:tc>
                <w:tcPr/>
                <w:p>
                  <w:pPr>
                    <w:pStyle w:val="Compact"/>
                    <w:jc w:val="right"/>
                    <w:jc w:val="center"/>
                  </w:pPr>
                  <w:r>
                    <w:t xml:space="preserve">Bias (oracle)</w:t>
                  </w:r>
                </w:p>
              </w:tc>
              <w:tc>
                <w:tcPr/>
                <w:p>
                  <w:pPr>
                    <w:pStyle w:val="Compact"/>
                    <w:jc w:val="right"/>
                    <w:jc w:val="center"/>
                  </w:pPr>
                  <w:r>
                    <w:t xml:space="preserve">Bias (screen, GLM nuisance)</w:t>
                  </w:r>
                </w:p>
              </w:tc>
              <w:tc>
                <w:tcPr/>
                <w:p>
                  <w:pPr>
                    <w:pStyle w:val="Compact"/>
                    <w:jc w:val="right"/>
                    <w:jc w:val="center"/>
                  </w:pPr>
                  <w:r>
                    <w:t xml:space="preserve">Bias (screen, flexible)</w:t>
                  </w:r>
                </w:p>
              </w:tc>
              <w:tc>
                <w:tcPr/>
                <w:p>
                  <w:pPr>
                    <w:pStyle w:val="Compact"/>
                    <w:jc w:val="right"/>
                    <w:jc w:val="center"/>
                  </w:pPr>
                  <w:r>
                    <w:t xml:space="preserve">STOP oracle</w:t>
                  </w:r>
                </w:p>
              </w:tc>
              <w:tc>
                <w:tcPr/>
                <w:p>
                  <w:pPr>
                    <w:pStyle w:val="Compact"/>
                    <w:jc w:val="right"/>
                    <w:jc w:val="center"/>
                  </w:pPr>
                  <w:r>
                    <w:t xml:space="preserve">STOP screen GLM</w:t>
                  </w:r>
                </w:p>
              </w:tc>
              <w:tc>
                <w:tcPr/>
                <w:p>
                  <w:pPr>
                    <w:pStyle w:val="Compact"/>
                    <w:jc w:val="right"/>
                    <w:jc w:val="center"/>
                  </w:pPr>
                  <w:r>
                    <w:t xml:space="preserve">STOP screen flexible</w:t>
                  </w:r>
                </w:p>
              </w:tc>
            </w:tr>
            <w:tr>
              <w:tc>
                <w:tcPr/>
                <w:p>
                  <w:pPr>
                    <w:pStyle w:val="Compact"/>
                    <w:jc w:val="left"/>
                    <w:jc w:val="center"/>
                  </w:pPr>
                  <w:r>
                    <w:t xml:space="preserve">linear</w:t>
                  </w:r>
                </w:p>
              </w:tc>
              <w:tc>
                <w:tcPr/>
                <w:p>
                  <w:pPr>
                    <w:pStyle w:val="Compact"/>
                    <w:jc w:val="right"/>
                    <w:jc w:val="center"/>
                  </w:pPr>
                  <w:r>
                    <w:t xml:space="preserve">1.0</w:t>
                  </w:r>
                </w:p>
              </w:tc>
              <w:tc>
                <w:tcPr/>
                <w:p>
                  <w:pPr>
                    <w:pStyle w:val="Compact"/>
                    <w:jc w:val="right"/>
                    <w:jc w:val="center"/>
                  </w:pPr>
                  <w:r>
                    <w:t xml:space="preserve">0.1308</w:t>
                  </w:r>
                </w:p>
              </w:tc>
              <w:tc>
                <w:tcPr/>
                <w:p>
                  <w:pPr>
                    <w:pStyle w:val="Compact"/>
                    <w:jc w:val="right"/>
                    <w:jc w:val="center"/>
                  </w:pPr>
                  <w:r>
                    <w:t xml:space="preserve">0.0018</w:t>
                  </w:r>
                </w:p>
              </w:tc>
              <w:tc>
                <w:tcPr/>
                <w:p>
                  <w:pPr>
                    <w:pStyle w:val="Compact"/>
                    <w:jc w:val="right"/>
                    <w:jc w:val="center"/>
                  </w:pPr>
                  <w:r>
                    <w:t xml:space="preserve">0.0015</w:t>
                  </w:r>
                </w:p>
              </w:tc>
              <w:tc>
                <w:tcPr/>
                <w:p>
                  <w:pPr>
                    <w:pStyle w:val="Compact"/>
                    <w:jc w:val="right"/>
                    <w:jc w:val="center"/>
                  </w:pPr>
                  <w:r>
                    <w:t xml:space="preserve">0.0003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linear</w:t>
                  </w:r>
                </w:p>
              </w:tc>
              <w:tc>
                <w:tcPr/>
                <w:p>
                  <w:pPr>
                    <w:pStyle w:val="Compact"/>
                    <w:jc w:val="right"/>
                    <w:jc w:val="center"/>
                  </w:pPr>
                  <w:r>
                    <w:t xml:space="preserve">1.5</w:t>
                  </w:r>
                </w:p>
              </w:tc>
              <w:tc>
                <w:tcPr/>
                <w:p>
                  <w:pPr>
                    <w:pStyle w:val="Compact"/>
                    <w:jc w:val="right"/>
                    <w:jc w:val="center"/>
                  </w:pPr>
                  <w:r>
                    <w:t xml:space="preserve">0.1324</w:t>
                  </w:r>
                </w:p>
              </w:tc>
              <w:tc>
                <w:tcPr/>
                <w:p>
                  <w:pPr>
                    <w:pStyle w:val="Compact"/>
                    <w:jc w:val="right"/>
                    <w:jc w:val="center"/>
                  </w:pPr>
                  <w:r>
                    <w:t xml:space="preserve">0.0087</w:t>
                  </w:r>
                </w:p>
              </w:tc>
              <w:tc>
                <w:tcPr/>
                <w:p>
                  <w:pPr>
                    <w:pStyle w:val="Compact"/>
                    <w:jc w:val="right"/>
                    <w:jc w:val="center"/>
                  </w:pPr>
                  <w:r>
                    <w:t xml:space="preserve">0.0065</w:t>
                  </w:r>
                </w:p>
              </w:tc>
              <w:tc>
                <w:tcPr/>
                <w:p>
                  <w:pPr>
                    <w:pStyle w:val="Compact"/>
                    <w:jc w:val="right"/>
                    <w:jc w:val="center"/>
                  </w:pPr>
                  <w:r>
                    <w:t xml:space="preserve">0.0076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linear</w:t>
                  </w:r>
                </w:p>
              </w:tc>
              <w:tc>
                <w:tcPr/>
                <w:p>
                  <w:pPr>
                    <w:pStyle w:val="Compact"/>
                    <w:jc w:val="right"/>
                    <w:jc w:val="center"/>
                  </w:pPr>
                  <w:r>
                    <w:t xml:space="preserve">2.0</w:t>
                  </w:r>
                </w:p>
              </w:tc>
              <w:tc>
                <w:tcPr/>
                <w:p>
                  <w:pPr>
                    <w:pStyle w:val="Compact"/>
                    <w:jc w:val="right"/>
                    <w:jc w:val="center"/>
                  </w:pPr>
                  <w:r>
                    <w:t xml:space="preserve">0.1319</w:t>
                  </w:r>
                </w:p>
              </w:tc>
              <w:tc>
                <w:tcPr/>
                <w:p>
                  <w:pPr>
                    <w:pStyle w:val="Compact"/>
                    <w:jc w:val="right"/>
                    <w:jc w:val="center"/>
                  </w:pPr>
                  <w:r>
                    <w:t xml:space="preserve">0.0233</w:t>
                  </w:r>
                </w:p>
              </w:tc>
              <w:tc>
                <w:tcPr/>
                <w:p>
                  <w:pPr>
                    <w:pStyle w:val="Compact"/>
                    <w:jc w:val="right"/>
                    <w:jc w:val="center"/>
                  </w:pPr>
                  <w:r>
                    <w:t xml:space="preserve">0.0208</w:t>
                  </w:r>
                </w:p>
              </w:tc>
              <w:tc>
                <w:tcPr/>
                <w:p>
                  <w:pPr>
                    <w:pStyle w:val="Compact"/>
                    <w:jc w:val="right"/>
                    <w:jc w:val="center"/>
                  </w:pPr>
                  <w:r>
                    <w:t xml:space="preserve">0.0217</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linear</w:t>
                  </w:r>
                </w:p>
              </w:tc>
              <w:tc>
                <w:tcPr/>
                <w:p>
                  <w:pPr>
                    <w:pStyle w:val="Compact"/>
                    <w:jc w:val="right"/>
                    <w:jc w:val="center"/>
                  </w:pPr>
                  <w:r>
                    <w:t xml:space="preserve">2.5</w:t>
                  </w:r>
                </w:p>
              </w:tc>
              <w:tc>
                <w:tcPr/>
                <w:p>
                  <w:pPr>
                    <w:pStyle w:val="Compact"/>
                    <w:jc w:val="right"/>
                    <w:jc w:val="center"/>
                  </w:pPr>
                  <w:r>
                    <w:t xml:space="preserve">0.1307</w:t>
                  </w:r>
                </w:p>
              </w:tc>
              <w:tc>
                <w:tcPr/>
                <w:p>
                  <w:pPr>
                    <w:pStyle w:val="Compact"/>
                    <w:jc w:val="right"/>
                    <w:jc w:val="center"/>
                  </w:pPr>
                  <w:r>
                    <w:t xml:space="preserve">0.0376</w:t>
                  </w:r>
                </w:p>
              </w:tc>
              <w:tc>
                <w:tcPr/>
                <w:p>
                  <w:pPr>
                    <w:pStyle w:val="Compact"/>
                    <w:jc w:val="right"/>
                    <w:jc w:val="center"/>
                  </w:pPr>
                  <w:r>
                    <w:t xml:space="preserve">0.0364</w:t>
                  </w:r>
                </w:p>
              </w:tc>
              <w:tc>
                <w:tcPr/>
                <w:p>
                  <w:pPr>
                    <w:pStyle w:val="Compact"/>
                    <w:jc w:val="right"/>
                    <w:jc w:val="center"/>
                  </w:pPr>
                  <w:r>
                    <w:t xml:space="preserve">0.0370</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linear</w:t>
                  </w:r>
                </w:p>
              </w:tc>
              <w:tc>
                <w:tcPr/>
                <w:p>
                  <w:pPr>
                    <w:pStyle w:val="Compact"/>
                    <w:jc w:val="right"/>
                    <w:jc w:val="center"/>
                  </w:pPr>
                  <w:r>
                    <w:t xml:space="preserve">3.0</w:t>
                  </w:r>
                </w:p>
              </w:tc>
              <w:tc>
                <w:tcPr/>
                <w:p>
                  <w:pPr>
                    <w:pStyle w:val="Compact"/>
                    <w:jc w:val="right"/>
                    <w:jc w:val="center"/>
                  </w:pPr>
                  <w:r>
                    <w:t xml:space="preserve">0.1292</w:t>
                  </w:r>
                </w:p>
              </w:tc>
              <w:tc>
                <w:tcPr/>
                <w:p>
                  <w:pPr>
                    <w:pStyle w:val="Compact"/>
                    <w:jc w:val="right"/>
                    <w:jc w:val="center"/>
                  </w:pPr>
                  <w:r>
                    <w:t xml:space="preserve">0.0530</w:t>
                  </w:r>
                </w:p>
              </w:tc>
              <w:tc>
                <w:tcPr/>
                <w:p>
                  <w:pPr>
                    <w:pStyle w:val="Compact"/>
                    <w:jc w:val="right"/>
                    <w:jc w:val="center"/>
                  </w:pPr>
                  <w:r>
                    <w:t xml:space="preserve">0.0453</w:t>
                  </w:r>
                </w:p>
              </w:tc>
              <w:tc>
                <w:tcPr/>
                <w:p>
                  <w:pPr>
                    <w:pStyle w:val="Compact"/>
                    <w:jc w:val="right"/>
                    <w:jc w:val="center"/>
                  </w:pPr>
                  <w:r>
                    <w:t xml:space="preserve">0.0446</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nonlinear</w:t>
                  </w:r>
                </w:p>
              </w:tc>
              <w:tc>
                <w:tcPr/>
                <w:p>
                  <w:pPr>
                    <w:pStyle w:val="Compact"/>
                    <w:jc w:val="right"/>
                    <w:jc w:val="center"/>
                  </w:pPr>
                  <w:r>
                    <w:t xml:space="preserve">1.0</w:t>
                  </w:r>
                </w:p>
              </w:tc>
              <w:tc>
                <w:tcPr/>
                <w:p>
                  <w:pPr>
                    <w:pStyle w:val="Compact"/>
                    <w:jc w:val="right"/>
                    <w:jc w:val="center"/>
                  </w:pPr>
                  <w:r>
                    <w:t xml:space="preserve">0.1053</w:t>
                  </w:r>
                </w:p>
              </w:tc>
              <w:tc>
                <w:tcPr/>
                <w:p>
                  <w:pPr>
                    <w:pStyle w:val="Compact"/>
                    <w:jc w:val="right"/>
                    <w:jc w:val="center"/>
                  </w:pPr>
                  <w:r>
                    <w:t xml:space="preserve">0.0742</w:t>
                  </w:r>
                </w:p>
              </w:tc>
              <w:tc>
                <w:tcPr/>
                <w:p>
                  <w:pPr>
                    <w:pStyle w:val="Compact"/>
                    <w:jc w:val="right"/>
                    <w:jc w:val="center"/>
                  </w:pPr>
                  <w:r>
                    <w:t xml:space="preserve">-0.0014</w:t>
                  </w:r>
                </w:p>
              </w:tc>
              <w:tc>
                <w:tcPr/>
                <w:p>
                  <w:pPr>
                    <w:pStyle w:val="Compact"/>
                    <w:jc w:val="right"/>
                    <w:jc w:val="center"/>
                  </w:pPr>
                  <w:r>
                    <w:t xml:space="preserve">0.0564</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nonlinear</w:t>
                  </w:r>
                </w:p>
              </w:tc>
              <w:tc>
                <w:tcPr/>
                <w:p>
                  <w:pPr>
                    <w:pStyle w:val="Compact"/>
                    <w:jc w:val="right"/>
                    <w:jc w:val="center"/>
                  </w:pPr>
                  <w:r>
                    <w:t xml:space="preserve">1.5</w:t>
                  </w:r>
                </w:p>
              </w:tc>
              <w:tc>
                <w:tcPr/>
                <w:p>
                  <w:pPr>
                    <w:pStyle w:val="Compact"/>
                    <w:jc w:val="right"/>
                    <w:jc w:val="center"/>
                  </w:pPr>
                  <w:r>
                    <w:t xml:space="preserve">0.1070</w:t>
                  </w:r>
                </w:p>
              </w:tc>
              <w:tc>
                <w:tcPr/>
                <w:p>
                  <w:pPr>
                    <w:pStyle w:val="Compact"/>
                    <w:jc w:val="right"/>
                    <w:jc w:val="center"/>
                  </w:pPr>
                  <w:r>
                    <w:t xml:space="preserve">0.0856</w:t>
                  </w:r>
                </w:p>
              </w:tc>
              <w:tc>
                <w:tcPr/>
                <w:p>
                  <w:pPr>
                    <w:pStyle w:val="Compact"/>
                    <w:jc w:val="right"/>
                    <w:jc w:val="center"/>
                  </w:pPr>
                  <w:r>
                    <w:t xml:space="preserve">0.0093</w:t>
                  </w:r>
                </w:p>
              </w:tc>
              <w:tc>
                <w:tcPr/>
                <w:p>
                  <w:pPr>
                    <w:pStyle w:val="Compact"/>
                    <w:jc w:val="right"/>
                    <w:jc w:val="center"/>
                  </w:pPr>
                  <w:r>
                    <w:t xml:space="preserve">0.0684</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nonlinear</w:t>
                  </w:r>
                </w:p>
              </w:tc>
              <w:tc>
                <w:tcPr/>
                <w:p>
                  <w:pPr>
                    <w:pStyle w:val="Compact"/>
                    <w:jc w:val="right"/>
                    <w:jc w:val="center"/>
                  </w:pPr>
                  <w:r>
                    <w:t xml:space="preserve">2.0</w:t>
                  </w:r>
                </w:p>
              </w:tc>
              <w:tc>
                <w:tcPr/>
                <w:p>
                  <w:pPr>
                    <w:pStyle w:val="Compact"/>
                    <w:jc w:val="right"/>
                    <w:jc w:val="center"/>
                  </w:pPr>
                  <w:r>
                    <w:t xml:space="preserve">0.1073</w:t>
                  </w:r>
                </w:p>
              </w:tc>
              <w:tc>
                <w:tcPr/>
                <w:p>
                  <w:pPr>
                    <w:pStyle w:val="Compact"/>
                    <w:jc w:val="right"/>
                    <w:jc w:val="center"/>
                  </w:pPr>
                  <w:r>
                    <w:t xml:space="preserve">0.1032</w:t>
                  </w:r>
                </w:p>
              </w:tc>
              <w:tc>
                <w:tcPr/>
                <w:p>
                  <w:pPr>
                    <w:pStyle w:val="Compact"/>
                    <w:jc w:val="right"/>
                    <w:jc w:val="center"/>
                  </w:pPr>
                  <w:r>
                    <w:t xml:space="preserve">0.0196</w:t>
                  </w:r>
                </w:p>
              </w:tc>
              <w:tc>
                <w:tcPr/>
                <w:p>
                  <w:pPr>
                    <w:pStyle w:val="Compact"/>
                    <w:jc w:val="right"/>
                    <w:jc w:val="center"/>
                  </w:pPr>
                  <w:r>
                    <w:t xml:space="preserve">0.0786</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nonlinear</w:t>
                  </w:r>
                </w:p>
              </w:tc>
              <w:tc>
                <w:tcPr/>
                <w:p>
                  <w:pPr>
                    <w:pStyle w:val="Compact"/>
                    <w:jc w:val="right"/>
                    <w:jc w:val="center"/>
                  </w:pPr>
                  <w:r>
                    <w:t xml:space="preserve">2.5</w:t>
                  </w:r>
                </w:p>
              </w:tc>
              <w:tc>
                <w:tcPr/>
                <w:p>
                  <w:pPr>
                    <w:pStyle w:val="Compact"/>
                    <w:jc w:val="right"/>
                    <w:jc w:val="center"/>
                  </w:pPr>
                  <w:r>
                    <w:t xml:space="preserve">0.1068</w:t>
                  </w:r>
                </w:p>
              </w:tc>
              <w:tc>
                <w:tcPr/>
                <w:p>
                  <w:pPr>
                    <w:pStyle w:val="Compact"/>
                    <w:jc w:val="right"/>
                    <w:jc w:val="center"/>
                  </w:pPr>
                  <w:r>
                    <w:t xml:space="preserve">0.1167</w:t>
                  </w:r>
                </w:p>
              </w:tc>
              <w:tc>
                <w:tcPr/>
                <w:p>
                  <w:pPr>
                    <w:pStyle w:val="Compact"/>
                    <w:jc w:val="right"/>
                    <w:jc w:val="center"/>
                  </w:pPr>
                  <w:r>
                    <w:t xml:space="preserve">0.0349</w:t>
                  </w:r>
                </w:p>
              </w:tc>
              <w:tc>
                <w:tcPr/>
                <w:p>
                  <w:pPr>
                    <w:pStyle w:val="Compact"/>
                    <w:jc w:val="right"/>
                    <w:jc w:val="center"/>
                  </w:pPr>
                  <w:r>
                    <w:t xml:space="preserve">0.0977</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nonlinear</w:t>
                  </w:r>
                </w:p>
              </w:tc>
              <w:tc>
                <w:tcPr/>
                <w:p>
                  <w:pPr>
                    <w:pStyle w:val="Compact"/>
                    <w:jc w:val="right"/>
                    <w:jc w:val="center"/>
                  </w:pPr>
                  <w:r>
                    <w:t xml:space="preserve">3.0</w:t>
                  </w:r>
                </w:p>
              </w:tc>
              <w:tc>
                <w:tcPr/>
                <w:p>
                  <w:pPr>
                    <w:pStyle w:val="Compact"/>
                    <w:jc w:val="right"/>
                    <w:jc w:val="center"/>
                  </w:pPr>
                  <w:r>
                    <w:t xml:space="preserve">0.1062</w:t>
                  </w:r>
                </w:p>
              </w:tc>
              <w:tc>
                <w:tcPr/>
                <w:p>
                  <w:pPr>
                    <w:pStyle w:val="Compact"/>
                    <w:jc w:val="right"/>
                    <w:jc w:val="center"/>
                  </w:pPr>
                  <w:r>
                    <w:t xml:space="preserve">0.1287</w:t>
                  </w:r>
                </w:p>
              </w:tc>
              <w:tc>
                <w:tcPr/>
                <w:p>
                  <w:pPr>
                    <w:pStyle w:val="Compact"/>
                    <w:jc w:val="right"/>
                    <w:jc w:val="center"/>
                  </w:pPr>
                  <w:r>
                    <w:t xml:space="preserve">0.0478</w:t>
                  </w:r>
                </w:p>
              </w:tc>
              <w:tc>
                <w:tcPr/>
                <w:p>
                  <w:pPr>
                    <w:pStyle w:val="Compact"/>
                    <w:jc w:val="right"/>
                    <w:jc w:val="center"/>
                  </w:pPr>
                  <w:r>
                    <w:t xml:space="preserve">0.1084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bl>
          <w:bookmarkEnd w:id="116"/>
          <w:p/>
        </w:tc>
      </w:tr>
    </w:tbl>
    <w:p>
      <w:pPr>
        <w:pStyle w:val="BodyText"/>
      </w:pPr>
      <w:r>
        <w:t xml:space="preserve">Against the oracle, over all 10 cells the screen with a flexible (SuperLearner) synthetic-nuisance model attains sensitivity 1.00 and specificity 1.00; with a GLM synthetic-nuisance model these are 0.62 and 1.00. The whole gap is on the nonlinear surface: the GLM screen’s sensitivity is 1.00 on the linear surface but falls to 0.40 on the nonlinear surface, whereas the flexible screen holds sensitivity 1.00 there. That difference quantifies the cost of misspecifying the synthetic-nuisance model, the central plasmode pitfall</w:t>
      </w:r>
      <w:r>
        <w:t xml:space="preserve"> </w:t>
      </w:r>
      <w:r>
        <w:t xml:space="preserve">(Schreck et al. 2024)</w:t>
      </w:r>
      <w:r>
        <w:t xml:space="preserve">.</w:t>
      </w:r>
    </w:p>
    <w:p>
      <w:pPr>
        <w:pStyle w:val="BodyText"/>
      </w:pPr>
      <w:r>
        <w:t xml:space="preserve">Two patterns bound what the screen can and cannot predict. First, the screen</w:t>
      </w:r>
      <w:r>
        <w:t xml:space="preserve"> </w:t>
      </w:r>
      <w:r>
        <w:t xml:space="preserve">predicts the realised bias well only to the extent that the analyst names</w:t>
      </w:r>
      <w:r>
        <w:t xml:space="preserve"> </w:t>
      </w:r>
      <w:r>
        <w:t xml:space="preserve">a confounder of the right strength: it calibrates against threats of the</w:t>
      </w:r>
      <w:r>
        <w:t xml:space="preserve"> </w:t>
      </w:r>
      <w:r>
        <w:t xml:space="preserve">specified magnitude, but a true confounder stronger than anticipated is</w:t>
      </w:r>
      <w:r>
        <w:t xml:space="preserve"> </w:t>
      </w:r>
      <w:r>
        <w:t xml:space="preserve">not detected, so a STOP is evidence of fragility while a GO is not a</w:t>
      </w:r>
      <w:r>
        <w:t xml:space="preserve"> </w:t>
      </w:r>
      <w:r>
        <w:t xml:space="preserve">certificate of robustness (</w:t>
      </w:r>
      <w:hyperlink w:anchor="sec-guarantees">
        <w:r>
          <w:rPr>
            <w:rStyle w:val="Hyperlink"/>
          </w:rPr>
          <w:t xml:space="preserve">Section 8.5</w:t>
        </w:r>
      </w:hyperlink>
      <w:r>
        <w:t xml:space="preserve">). Second, under a nonlinear</w:t>
      </w:r>
      <w:r>
        <w:t xml:space="preserve"> </w:t>
      </w:r>
      <w:r>
        <w:t xml:space="preserve">true surface the GLM screen under-predicts the realised bias, because its</w:t>
      </w:r>
      <w:r>
        <w:t xml:space="preserve"> </w:t>
      </w:r>
      <w:r>
        <w:t xml:space="preserve">synthetic treatment and outcome surfaces are too simple to reproduce the</w:t>
      </w:r>
      <w:r>
        <w:t xml:space="preserve"> </w:t>
      </w:r>
      <w:r>
        <w:t xml:space="preserve">nuisance misspecification that biases the realised estimator, whereas the</w:t>
      </w:r>
      <w:r>
        <w:t xml:space="preserve"> </w:t>
      </w:r>
      <w:r>
        <w:t xml:space="preserve">flexible screen reproduces it and tracks the oracle more closely. This is</w:t>
      </w:r>
      <w:r>
        <w:t xml:space="preserve"> </w:t>
      </w:r>
      <w:r>
        <w:t xml:space="preserve">the reason the package exposes a</w:t>
      </w:r>
      <w:r>
        <w:t xml:space="preserve"> </w:t>
      </w:r>
      <w:r>
        <w:rPr>
          <w:rStyle w:val="VerbatimChar"/>
        </w:rPr>
        <w:t xml:space="preserve">q0_library</w:t>
      </w:r>
      <w:r>
        <w:t xml:space="preserve"> </w:t>
      </w:r>
      <w:r>
        <w:t xml:space="preserve">argument and why we</w:t>
      </w:r>
      <w:r>
        <w:t xml:space="preserve"> </w:t>
      </w:r>
      <w:r>
        <w:t xml:space="preserve">recommend a flexible synthetic-nuisance model. Two limitations of this</w:t>
      </w:r>
      <w:r>
        <w:t xml:space="preserve"> </w:t>
      </w:r>
      <w:r>
        <w:t xml:space="preserve">grid temper the reported numbers. The specificity of 1.00 rests on only</w:t>
      </w:r>
      <w:r>
        <w:t xml:space="preserve"> </w:t>
      </w:r>
      <w:r>
        <w:t xml:space="preserve">the two GO cells in the sweep, both on the linear surface (the nonlinear</w:t>
      </w:r>
      <w:r>
        <w:t xml:space="preserve"> </w:t>
      </w:r>
      <w:r>
        <w:t xml:space="preserve">surface contains no GO cell), so the screen’s false-STOP behaviour on a</w:t>
      </w:r>
      <w:r>
        <w:t xml:space="preserve"> </w:t>
      </w:r>
      <w:r>
        <w:t xml:space="preserve">nonlinear surface is untested. And on the nonlinear surface the gate is</w:t>
      </w:r>
      <w:r>
        <w:t xml:space="preserve"> </w:t>
      </w:r>
      <w:r>
        <w:t xml:space="preserve">flagging nuisance misspecification, not only unmeasured confounding: at</w:t>
      </w:r>
      <w:r>
        <w:t xml:space="preserve"> </w:t>
      </w:r>
      <w:r>
        <w:t xml:space="preserve">the no-confounder cell (</w:t>
      </w:r>
      <m:oMath>
        <m:r>
          <m:t>s</m:t>
        </m:r>
        <m:r>
          <m:rPr>
            <m:sty m:val="p"/>
          </m:rPr>
          <m:t>=</m:t>
        </m:r>
        <m:r>
          <m:t>1</m:t>
        </m:r>
      </m:oMath>
      <w:r>
        <w:t xml:space="preserve">, OR</w:t>
      </w:r>
      <w:r>
        <w:t xml:space="preserve"> </w:t>
      </w:r>
      <m:oMath>
        <m:r>
          <m:rPr>
            <m:sty m:val="p"/>
          </m:rPr>
          <m:t>=</m:t>
        </m:r>
        <m:r>
          <m:t>1</m:t>
        </m:r>
      </m:oMath>
      <w:r>
        <w:t xml:space="preserve">) the realised bias is already</w:t>
      </w:r>
      <w:r>
        <w:t xml:space="preserve"> </w:t>
      </w:r>
      <w:r>
        <w:t xml:space="preserve">about 0.07 and the cell STOPs, so the nonlinear sensitivity measures the</w:t>
      </w:r>
      <w:r>
        <w:t xml:space="preserve"> </w:t>
      </w:r>
      <w:r>
        <w:t xml:space="preserve">screen’s detection of GLM misspecification as much as of the latent</w:t>
      </w:r>
      <w:r>
        <w:t xml:space="preserve"> </w:t>
      </w:r>
      <w:r>
        <w:t xml:space="preserve">confounder. The two failure modes coincide here by construction, and a</w:t>
      </w:r>
      <w:r>
        <w:t xml:space="preserve"> </w:t>
      </w:r>
      <w:r>
        <w:t xml:space="preserve">wider grid with more GO cells and a confounder-free nonlinear baseline</w:t>
      </w:r>
      <w:r>
        <w:t xml:space="preserve"> </w:t>
      </w:r>
      <w:r>
        <w:t xml:space="preserve">would be needed to separate them. These operating characteristics come</w:t>
      </w:r>
      <w:r>
        <w:t xml:space="preserve"> </w:t>
      </w:r>
      <w:r>
        <w:t xml:space="preserve">from the final 200-replicate run reported in</w:t>
      </w:r>
      <w:r>
        <w:t xml:space="preserve"> </w:t>
      </w:r>
      <w:hyperlink w:anchor="tbl-gate-oc">
        <w:r>
          <w:rPr>
            <w:rStyle w:val="Hyperlink"/>
          </w:rPr>
          <w:t xml:space="preserve">Table 7</w:t>
        </w:r>
      </w:hyperlink>
      <w:r>
        <w:t xml:space="preserve">; the per-cell bias estimates carry Monte Carlo standard errors</w:t>
      </w:r>
      <w:r>
        <w:t xml:space="preserve"> </w:t>
      </w:r>
      <w:r>
        <w:t xml:space="preserve">on the order of 0.001 to 0.002, well inside the margins that separate each</w:t>
      </w:r>
      <w:r>
        <w:t xml:space="preserve"> </w:t>
      </w:r>
      <w:r>
        <w:t xml:space="preserve">STOP verdict from the locked threshold.</w:t>
      </w:r>
    </w:p>
    <w:bookmarkEnd w:id="117"/>
    <w:bookmarkStart w:id="142" w:name="sec-casestudy"/>
    <w:p>
      <w:pPr>
        <w:pStyle w:val="Heading1"/>
      </w:pPr>
      <w:r>
        <w:t xml:space="preserve">12. Case Study: Rescue.Co Kenya Trauma Registry</w:t>
      </w:r>
    </w:p>
    <w:bookmarkStart w:id="118" w:name="why-a-real-data-workflow-demonstration"/>
    <w:p>
      <w:pPr>
        <w:pStyle w:val="Heading2"/>
      </w:pPr>
      <w:r>
        <w:t xml:space="preserve">12.1 Why a real-data workflow demonstration</w:t>
      </w:r>
    </w:p>
    <w:p>
      <w:pPr>
        <w:pStyle w:val="FirstParagraph"/>
      </w:pPr>
      <w:r>
        <w:t xml:space="preserve">We use the Rescue.Co Kenya Trauma Registry as a real</w:t>
      </w:r>
      <w:r>
        <w:t xml:space="preserve"> </w:t>
      </w:r>
      <w:r>
        <w:t xml:space="preserve">comparative-effectiveness study that exercises the full workflow on</w:t>
      </w:r>
      <w:r>
        <w:t xml:space="preserve"> </w:t>
      </w:r>
      <w:r>
        <w:t xml:space="preserve">genuine registry data, while presenting the resulting estimates as an</w:t>
      </w:r>
      <w:r>
        <w:t xml:space="preserve"> </w:t>
      </w:r>
      <w:r>
        <w:t xml:space="preserve">illustrative application rather than as confirmatory evidence about the</w:t>
      </w:r>
      <w:r>
        <w:t xml:space="preserve"> </w:t>
      </w:r>
      <w:r>
        <w:t xml:space="preserve">causal effect of Rescue.Co transport. The simulation in</w:t>
      </w:r>
      <w:r>
        <w:t xml:space="preserve"> </w:t>
      </w:r>
      <w:hyperlink w:anchor="sec-simulation">
        <w:r>
          <w:rPr>
            <w:rStyle w:val="Hyperlink"/>
          </w:rPr>
          <w:t xml:space="preserve">Section 10</w:t>
        </w:r>
      </w:hyperlink>
      <w:r>
        <w:t xml:space="preserve"> </w:t>
      </w:r>
      <w:r>
        <w:t xml:space="preserve">is small (5 covariates, n = 2,000, fully observed outcome) by design, so</w:t>
      </w:r>
      <w:r>
        <w:t xml:space="preserve"> </w:t>
      </w:r>
      <w:r>
        <w:t xml:space="preserve">that each threat can be controlled analytically. A working framework</w:t>
      </w:r>
      <w:r>
        <w:t xml:space="preserve"> </w:t>
      </w:r>
      <w:r>
        <w:t xml:space="preserve">also has to execute on real observational data: covariates drawn from</w:t>
      </w:r>
      <w:r>
        <w:t xml:space="preserve"> </w:t>
      </w:r>
      <w:r>
        <w:t xml:space="preserve">multiple instruments, outcomes missing for non-trivial fractions of the</w:t>
      </w:r>
      <w:r>
        <w:t xml:space="preserve"> </w:t>
      </w:r>
      <w:r>
        <w:t xml:space="preserve">cohort, and confounders the protocol did not anticipate. The registry is</w:t>
      </w:r>
      <w:r>
        <w:t xml:space="preserve"> </w:t>
      </w:r>
      <w:r>
        <w:t xml:space="preserve">an applied comparative-effectiveness study at three Nairobi hospitals</w:t>
      </w:r>
      <w:r>
        <w:t xml:space="preserve"> </w:t>
      </w:r>
      <w:r>
        <w:t xml:space="preserve">(KNH, Mama Lucy, Mbagathi) comparing prehospital transport by a</w:t>
      </w:r>
      <w:r>
        <w:t xml:space="preserve"> </w:t>
      </w:r>
      <w:r>
        <w:t xml:space="preserve">specialised emergency-medical-services provider (Rescue.Co) with other</w:t>
      </w:r>
      <w:r>
        <w:t xml:space="preserve"> </w:t>
      </w:r>
      <w:r>
        <w:t xml:space="preserve">modes of arrival, on six-month mortality, functional outcome, and</w:t>
      </w:r>
      <w:r>
        <w:t xml:space="preserve"> </w:t>
      </w:r>
      <w:r>
        <w:t xml:space="preserve">care-process timing. The case study analyses five prespecified transport</w:t>
      </w:r>
      <w:r>
        <w:t xml:space="preserve"> </w:t>
      </w:r>
      <w:r>
        <w:t xml:space="preserve">contrasts on the 8,323 patients with known transport mode, each under</w:t>
      </w:r>
      <w:r>
        <w:t xml:space="preserve"> </w:t>
      </w:r>
      <w:r>
        <w:t xml:space="preserve">its own lock on the shared cohort, and its central finding is about</w:t>
      </w:r>
      <w:r>
        <w:t xml:space="preserve"> </w:t>
      </w:r>
      <w:r>
        <w:t xml:space="preserve">estimability rather than about any single effect: the protocol’s primary</w:t>
      </w:r>
      <w:r>
        <w:t xml:space="preserve"> </w:t>
      </w:r>
      <w:r>
        <w:t xml:space="preserve">comparison places two-fifths of the sample outside the propensity band,</w:t>
      </w:r>
      <w:r>
        <w:t xml:space="preserve"> </w:t>
      </w:r>
      <w:r>
        <w:t xml:space="preserve">the design stage grades it severe, and the pre-registered ladder</w:t>
      </w:r>
      <w:r>
        <w:t xml:space="preserve"> </w:t>
      </w:r>
      <w:r>
        <w:t xml:space="preserve">re-targets the analysis before any outcome is joined. All stages were</w:t>
      </w:r>
      <w:r>
        <w:t xml:space="preserve"> </w:t>
      </w:r>
      <w:r>
        <w:t xml:space="preserve">run on cleanTMLE 0.2.0, with the package version and the lock</w:t>
      </w:r>
      <w:r>
        <w:t xml:space="preserve"> </w:t>
      </w:r>
      <w:r>
        <w:t xml:space="preserve">fingerprints recorded in the released case-study metadata, and the</w:t>
      </w:r>
      <w:r>
        <w:t xml:space="preserve"> </w:t>
      </w:r>
      <w:r>
        <w:t xml:space="preserve">analysis code is available in the companion repository. The</w:t>
      </w:r>
      <w:r>
        <w:t xml:space="preserve"> </w:t>
      </w:r>
      <w:r>
        <w:t xml:space="preserve">individual-level registry data are access-restricted (see the ethics and</w:t>
      </w:r>
      <w:r>
        <w:t xml:space="preserve"> </w:t>
      </w:r>
      <w:r>
        <w:t xml:space="preserve">data-availability statement below), so the case study is</w:t>
      </w:r>
      <w:r>
        <w:t xml:space="preserve"> </w:t>
      </w:r>
      <w:r>
        <w:t xml:space="preserve">code-reproducible rather than data-public. The DQ stress test reported</w:t>
      </w:r>
      <w:r>
        <w:t xml:space="preserve"> </w:t>
      </w:r>
      <w:r>
        <w:t xml:space="preserve">in</w:t>
      </w:r>
      <w:r>
        <w:t xml:space="preserve"> </w:t>
      </w:r>
      <w:hyperlink w:anchor="sec-casestudy-dq">
        <w:r>
          <w:rPr>
            <w:rStyle w:val="Hyperlink"/>
          </w:rPr>
          <w:t xml:space="preserve">Section 12.6</w:t>
        </w:r>
      </w:hyperlink>
      <w:r>
        <w:t xml:space="preserve"> </w:t>
      </w:r>
      <w:r>
        <w:t xml:space="preserve">comes from the earlier single-contrast run at 50</w:t>
      </w:r>
      <w:r>
        <w:t xml:space="preserve"> </w:t>
      </w:r>
      <w:r>
        <w:t xml:space="preserve">replicates, an illustration below the 200-replicate bar used for</w:t>
      </w:r>
      <w:r>
        <w:t xml:space="preserve"> </w:t>
      </w:r>
      <w:r>
        <w:t xml:space="preserve">inferential interpretation; the support maps and design comparison of</w:t>
      </w:r>
      <w:r>
        <w:t xml:space="preserve"> </w:t>
      </w:r>
      <w:hyperlink w:anchor="sec-casestudy-support">
        <w:r>
          <w:rPr>
            <w:rStyle w:val="Hyperlink"/>
          </w:rPr>
          <w:t xml:space="preserve">Section 12.3</w:t>
        </w:r>
      </w:hyperlink>
      <w:r>
        <w:t xml:space="preserve"> </w:t>
      </w:r>
      <w:r>
        <w:t xml:space="preserve">run at 200 replicates. The example illustrates a</w:t>
      </w:r>
      <w:r>
        <w:t xml:space="preserve"> </w:t>
      </w:r>
      <w:r>
        <w:t xml:space="preserve">real-registry execution of the workflow and is not primary evidence of</w:t>
      </w:r>
      <w:r>
        <w:t xml:space="preserve"> </w:t>
      </w:r>
      <w:r>
        <w:t xml:space="preserve">DQ-stress validity, which the simulation in</w:t>
      </w:r>
      <w:r>
        <w:t xml:space="preserve"> </w:t>
      </w:r>
      <w:hyperlink w:anchor="sec-simulation">
        <w:r>
          <w:rPr>
            <w:rStyle w:val="Hyperlink"/>
          </w:rPr>
          <w:t xml:space="preserve">Section 10</w:t>
        </w:r>
      </w:hyperlink>
      <w:r>
        <w:t xml:space="preserve"> </w:t>
      </w:r>
      <w:r>
        <w:t xml:space="preserve">provides.</w:t>
      </w:r>
    </w:p>
    <w:p>
      <w:pPr>
        <w:pStyle w:val="BodyText"/>
      </w:pPr>
      <w:r>
        <w:rPr>
          <w:b/>
          <w:bCs/>
        </w:rPr>
        <w:t xml:space="preserve">Ethics and data availability.</w:t>
      </w:r>
      <w:r>
        <w:t xml:space="preserve"> </w:t>
      </w:r>
      <w:r>
        <w:t xml:space="preserve">The Rescue.Co Kenya Trauma Registry is a</w:t>
      </w:r>
      <w:r>
        <w:t xml:space="preserve"> </w:t>
      </w:r>
      <w:r>
        <w:t xml:space="preserve">real, IRB-governed dataset of human trauma patients. The study was approved</w:t>
      </w:r>
      <w:r>
        <w:t xml:space="preserve"> </w:t>
      </w:r>
      <w:r>
        <w:t xml:space="preserve">by [approving ethics committee and approval number to be completed], and</w:t>
      </w:r>
      <w:r>
        <w:t xml:space="preserve"> </w:t>
      </w:r>
      <w:r>
        <w:t xml:space="preserve">participation was covered by [informed consent / an approved waiver of</w:t>
      </w:r>
      <w:r>
        <w:t xml:space="preserve"> </w:t>
      </w:r>
      <w:r>
        <w:t xml:space="preserve">consent to be completed]. Because the registry contains identifiable and</w:t>
      </w:r>
      <w:r>
        <w:t xml:space="preserve"> </w:t>
      </w:r>
      <w:r>
        <w:t xml:space="preserve">sensitive individual-level information (including HIV/ART status and</w:t>
      </w:r>
      <w:r>
        <w:t xml:space="preserve"> </w:t>
      </w:r>
      <w:r>
        <w:t xml:space="preserve">socioeconomic indicators), the patient-level data cannot be shared publicly</w:t>
      </w:r>
      <w:r>
        <w:t xml:space="preserve"> </w:t>
      </w:r>
      <w:r>
        <w:t xml:space="preserve">and are not included in the companion repository; the</w:t>
      </w:r>
      <w:r>
        <w:t xml:space="preserve"> </w:t>
      </w:r>
      <w:r>
        <w:rPr>
          <w:rStyle w:val="VerbatimChar"/>
        </w:rPr>
        <w:t xml:space="preserve">rescueCo/</w:t>
      </w:r>
      <w:r>
        <w:t xml:space="preserve"> </w:t>
      </w:r>
      <w:r>
        <w:t xml:space="preserve">data and</w:t>
      </w:r>
      <w:r>
        <w:t xml:space="preserve"> </w:t>
      </w:r>
      <w:r>
        <w:t xml:space="preserve">result artefacts are excluded from version control for this reason. The</w:t>
      </w:r>
      <w:r>
        <w:t xml:space="preserve"> </w:t>
      </w:r>
      <w:r>
        <w:t xml:space="preserve">analysis code, the analysis-lock fingerprint, and aggregate outputs are</w:t>
      </w:r>
      <w:r>
        <w:t xml:space="preserve"> </w:t>
      </w:r>
      <w:r>
        <w:t xml:space="preserve">available in the companion repository, and de-identified individual-level</w:t>
      </w:r>
      <w:r>
        <w:t xml:space="preserve"> </w:t>
      </w:r>
      <w:r>
        <w:t xml:space="preserve">data are available from the authors on reasonable request, subject to the</w:t>
      </w:r>
      <w:r>
        <w:t xml:space="preserve"> </w:t>
      </w:r>
      <w:r>
        <w:t xml:space="preserve">governing data-use agreement and ethics approval.</w:t>
      </w:r>
    </w:p>
    <w:p>
      <w:pPr>
        <w:pStyle w:val="BodyText"/>
      </w:pPr>
      <w:r>
        <w:t xml:space="preserve">The example is interesting for five reasons that the simulation does</w:t>
      </w:r>
      <w:r>
        <w:t xml:space="preserve"> </w:t>
      </w:r>
      <w:r>
        <w:t xml:space="preserve">not exercise: (a) the protocol’s primary comparison has a severe</w:t>
      </w:r>
      <w:r>
        <w:t xml:space="preserve"> </w:t>
      </w:r>
      <w:r>
        <w:t xml:space="preserve">practical positivity violation, so the estimability machinery of</w:t>
      </w:r>
      <w:r>
        <w:t xml:space="preserve"> </w:t>
      </w:r>
      <w:hyperlink w:anchor="sec-support">
        <w:r>
          <w:rPr>
            <w:rStyle w:val="Hyperlink"/>
          </w:rPr>
          <w:t xml:space="preserve">Section 6</w:t>
        </w:r>
      </w:hyperlink>
      <w:r>
        <w:t xml:space="preserve"> </w:t>
      </w:r>
      <w:r>
        <w:t xml:space="preserve">is load-bearing rather than decorative; (b) the</w:t>
      </w:r>
      <w:r>
        <w:t xml:space="preserve"> </w:t>
      </w:r>
      <w:r>
        <w:t xml:space="preserve">functional outcome (Glasgow Outcome Scale Extended, GOSE 1–8)</w:t>
      </w:r>
      <w:r>
        <w:t xml:space="preserve"> </w:t>
      </w:r>
      <w:r>
        <w:t xml:space="preserve">(Wilson, Pettigrew, and Teasdale 1998)</w:t>
      </w:r>
      <w:r>
        <w:t xml:space="preserve"> </w:t>
      </w:r>
      <w:r>
        <w:t xml:space="preserve">is missing for a quarter of the cohort from loss to</w:t>
      </w:r>
      <w:r>
        <w:t xml:space="preserve"> </w:t>
      </w:r>
      <w:r>
        <w:t xml:space="preserve">6-month follow-up; (c) inter-facility transfers and patients with</w:t>
      </w:r>
      <w:r>
        <w:t xml:space="preserve"> </w:t>
      </w:r>
      <w:r>
        <w:t xml:space="preserve">prior care are unevenly distributed across arms, and the</w:t>
      </w:r>
      <w:r>
        <w:t xml:space="preserve"> </w:t>
      </w:r>
      <w:r>
        <w:t xml:space="preserve">pre-registered exclusions that remove them turn out to carry the</w:t>
      </w:r>
      <w:r>
        <w:t xml:space="preserve"> </w:t>
      </w:r>
      <w:r>
        <w:t xml:space="preserve">measurable confounding; (d) an 8-week healthcare-worker strike</w:t>
      </w:r>
      <w:r>
        <w:t xml:space="preserve"> </w:t>
      </w:r>
      <w:r>
        <w:t xml:space="preserve">(15 March 2024 to 8 May 2024) acts as a quasi-natural-experiment</w:t>
      </w:r>
      <w:r>
        <w:t xml:space="preserve"> </w:t>
      </w:r>
      <w:r>
        <w:t xml:space="preserve">confounder that is not part of either SPIFD2 or the five threats</w:t>
      </w:r>
      <w:r>
        <w:t xml:space="preserve"> </w:t>
      </w:r>
      <w:r>
        <w:t xml:space="preserve">encoded by</w:t>
      </w:r>
      <w:r>
        <w:t xml:space="preserve"> </w:t>
      </w:r>
      <w:r>
        <w:rPr>
          <w:rStyle w:val="VerbatimChar"/>
        </w:rPr>
        <w:t xml:space="preserve">run_plasmode_dq_stress()</w:t>
      </w:r>
      <w:r>
        <w:t xml:space="preserve">; and (e) five prespecified</w:t>
      </w:r>
      <w:r>
        <w:t xml:space="preserve"> </w:t>
      </w:r>
      <w:r>
        <w:t xml:space="preserve">negative controls, two socioeconomic and three chronic-condition,</w:t>
      </w:r>
      <w:r>
        <w:t xml:space="preserve"> </w:t>
      </w:r>
      <w:r>
        <w:t xml:space="preserve">screen for residual confounding, with two of them too rare to</w:t>
      </w:r>
      <w:r>
        <w:t xml:space="preserve"> </w:t>
      </w:r>
      <w:r>
        <w:t xml:space="preserve">estimate and labelled as such rather than dropped silently</w:t>
      </w:r>
      <w:r>
        <w:t xml:space="preserve"> </w:t>
      </w:r>
      <w:r>
        <w:t xml:space="preserve">(Conover et al. 2025)</w:t>
      </w:r>
      <w:r>
        <w:t xml:space="preserve">.</w:t>
      </w:r>
    </w:p>
    <w:bookmarkEnd w:id="118"/>
    <w:bookmarkStart w:id="120" w:name="contrasts-outcomes-and-pre-specification"/>
    <w:p>
      <w:pPr>
        <w:pStyle w:val="Heading2"/>
      </w:pPr>
      <w:r>
        <w:t xml:space="preserve">12.2 Contrasts, outcomes, and pre-specification</w:t>
      </w:r>
    </w:p>
    <w:p>
      <w:pPr>
        <w:pStyle w:val="FirstParagraph"/>
      </w:pPr>
      <w:r>
        <w:t xml:space="preserve">The study cohort is the 8,323 registry patients with known transport</w:t>
      </w:r>
      <w:r>
        <w:t xml:space="preserve"> </w:t>
      </w:r>
      <w:r>
        <w:t xml:space="preserve">mode. Five contrasts are prespecified, each with its own analysis</w:t>
      </w:r>
      <w:r>
        <w:t xml:space="preserve"> </w:t>
      </w:r>
      <w:r>
        <w:t xml:space="preserve">lock built by</w:t>
      </w:r>
      <w:r>
        <w:t xml:space="preserve"> </w:t>
      </w:r>
      <w:r>
        <w:rPr>
          <w:rStyle w:val="VerbatimChar"/>
        </w:rPr>
        <w:t xml:space="preserve">create_contrast_locks()</w:t>
      </w:r>
      <w:r>
        <w:t xml:space="preserve"> </w:t>
      </w:r>
      <w:r>
        <w:t xml:space="preserve">on the shared cohort</w:t>
      </w:r>
      <w:r>
        <w:t xml:space="preserve"> </w:t>
      </w:r>
      <w:r>
        <w:t xml:space="preserve">(</w:t>
      </w:r>
      <w:hyperlink w:anchor="tbl-cs-locks">
        <w:r>
          <w:rPr>
            <w:rStyle w:val="Hyperlink"/>
          </w:rPr>
          <w:t xml:space="preserve">Table 8</w:t>
        </w:r>
      </w:hyperlink>
      <w:r>
        <w:t xml:space="preserve">): the protocol’s primary comparison C1 (Rescue.Co</w:t>
      </w:r>
      <w:r>
        <w:t xml:space="preserve"> </w:t>
      </w:r>
      <w:r>
        <w:t xml:space="preserve">against everyone else), C2 (Rescue.Co against non-ambulance arrival),</w:t>
      </w:r>
      <w:r>
        <w:t xml:space="preserve"> </w:t>
      </w:r>
      <w:r>
        <w:t xml:space="preserve">C3 (any ambulance against non-ambulance), C4 (Rescue.Co against other</w:t>
      </w:r>
      <w:r>
        <w:t xml:space="preserve"> </w:t>
      </w:r>
      <w:r>
        <w:t xml:space="preserve">ambulance, transfers included), and the PRIMARY cohort contrast</w:t>
      </w:r>
      <w:r>
        <w:t xml:space="preserve"> </w:t>
      </w:r>
      <w:r>
        <w:t xml:space="preserve">(Rescue.Co against other ambulance with inter-facility transfers and</w:t>
      </w:r>
      <w:r>
        <w:t xml:space="preserve"> </w:t>
      </w:r>
      <w:r>
        <w:t xml:space="preserve">prior-care patients excluded, the cohort the study’s earlier</w:t>
      </w:r>
      <w:r>
        <w:t xml:space="preserve"> </w:t>
      </w:r>
      <w:r>
        <w:t xml:space="preserve">single-contrast demonstration analysed). The presented outcomes are</w:t>
      </w:r>
      <w:r>
        <w:t xml:space="preserve"> </w:t>
      </w:r>
      <w:r>
        <w:t xml:space="preserve">six-month mortality (</w:t>
      </w:r>
      <w:r>
        <w:rPr>
          <w:rStyle w:val="VerbatimChar"/>
        </w:rPr>
        <w:t xml:space="preserve">death_by_6mo</w:t>
      </w:r>
      <w:r>
        <w:t xml:space="preserve">, the primary) and time to</w:t>
      </w:r>
      <w:r>
        <w:t xml:space="preserve"> </w:t>
      </w:r>
      <w:r>
        <w:t xml:space="preserve">ambulance arrival in minutes, the outcome whose extrapolated estimate</w:t>
      </w:r>
      <w:r>
        <w:t xml:space="preserve"> </w:t>
      </w:r>
      <w:r>
        <w:t xml:space="preserve">motivates the Introduction; severe disability (GOSE</w:t>
      </w:r>
      <w:r>
        <w:t xml:space="preserve"> </w:t>
      </w:r>
      <m:oMath>
        <m:r>
          <m:rPr>
            <m:sty m:val="p"/>
          </m:rPr>
          <m:t>≤</m:t>
        </m:r>
      </m:oMath>
      <w:r>
        <w:t xml:space="preserve"> </w:t>
      </w:r>
      <w:r>
        <w:t xml:space="preserve">4, so the</w:t>
      </w:r>
      <w:r>
        <w:t xml:space="preserve"> </w:t>
      </w:r>
      <w:r>
        <w:t xml:space="preserve">rare category is the event) and the remaining registry outcomes run</w:t>
      </w:r>
      <w:r>
        <w:t xml:space="preserve"> </w:t>
      </w:r>
      <w:r>
        <w:t xml:space="preserve">through the same locks. Missing follow-up is handled by IPCW as the</w:t>
      </w:r>
      <w:r>
        <w:t xml:space="preserve"> </w:t>
      </w:r>
      <w:r>
        <w:t xml:space="preserve">primary missingness path with complete case as the sensitivity. The</w:t>
      </w:r>
      <w:r>
        <w:t xml:space="preserve"> </w:t>
      </w:r>
      <w:r>
        <w:t xml:space="preserve">outcome columns are physically absent from the design stage: the</w:t>
      </w:r>
      <w:r>
        <w:t xml:space="preserve"> </w:t>
      </w:r>
      <w:r>
        <w:t xml:space="preserve">locks carry masked placeholders, and the outcome store is joined only</w:t>
      </w:r>
      <w:r>
        <w:t xml:space="preserve"> </w:t>
      </w:r>
      <w:r>
        <w:t xml:space="preserve">at estimation.</w:t>
      </w:r>
    </w:p>
    <w:tbl>
      <w:tblPr>
        <w:tblStyle w:val="Table"/>
        <w:tblW w:type="pct" w:w="5000"/>
        <w:tblLayout w:type="fixed"/>
        <w:tblLook w:firstRow="0" w:lastRow="0" w:firstColumn="0" w:lastColumn="0" w:noHBand="0" w:noVBand="0" w:val="0000"/>
      </w:tblPr>
      <w:tblGrid>
        <w:gridCol w:w="7920"/>
      </w:tblGrid>
      <w:tr>
        <w:tc>
          <w:tcPr/>
          <w:bookmarkStart w:id="119" w:name="tbl-cs-locks"/>
          <w:p>
            <w:pPr>
              <w:jc w:val="center"/>
            </w:pPr>
            <w:pPr>
              <w:jc w:val="start"/>
              <w:spacing w:before="200"/>
              <w:pStyle w:val="ImageCaption"/>
            </w:pPr>
            <w:r>
              <w:t xml:space="preserve">Table 8: The five prespecified transport contrasts,</w:t>
            </w:r>
            <w:r>
              <w:t xml:space="preserve"> </w:t>
            </w:r>
            <w:r>
              <w:t xml:space="preserve">each under its own analysis lock on the shared known-transport cohort.</w:t>
            </w:r>
            <w:r>
              <w:t xml:space="preserve"> </w:t>
            </w:r>
            <w:r>
              <w:t xml:space="preserve">Design columns count the sanitised covariate set entering the</w:t>
            </w:r>
            <w:r>
              <w:t xml:space="preserve"> </w:t>
            </w:r>
            <w:r>
              <w:t xml:space="preserve">propensity model.</w:t>
            </w:r>
          </w:p>
          <w:tbl>
            <w:tblPr>
              <w:tblStyle w:val="Table"/>
              <w:tblW w:type="pct" w:w="5000"/>
              <w:tblLayout w:type="fixed"/>
              <w:tblLook w:firstRow="1" w:lastRow="0" w:firstColumn="0" w:lastColumn="0" w:noHBand="0" w:noVBand="0" w:val="0020"/>
            </w:tblPr>
            <w:tblGrid>
              <w:gridCol w:w="653"/>
              <w:gridCol w:w="4650"/>
              <w:gridCol w:w="363"/>
              <w:gridCol w:w="581"/>
              <w:gridCol w:w="581"/>
              <w:gridCol w:w="1089"/>
            </w:tblGrid>
            <w:tr>
              <w:trPr>
                <w:tblHeader w:val="on"/>
              </w:trPr>
              <w:tc>
                <w:tcPr/>
                <w:p>
                  <w:pPr>
                    <w:pStyle w:val="Compact"/>
                    <w:jc w:val="left"/>
                    <w:jc w:val="center"/>
                  </w:pPr>
                  <w:r>
                    <w:t xml:space="preserve">Contrast</w:t>
                  </w:r>
                </w:p>
              </w:tc>
              <w:tc>
                <w:tcPr/>
                <w:p>
                  <w:pPr>
                    <w:pStyle w:val="Compact"/>
                    <w:jc w:val="left"/>
                    <w:jc w:val="center"/>
                  </w:pPr>
                  <w:r>
                    <w:t xml:space="preserve">Comparison</w:t>
                  </w:r>
                </w:p>
              </w:tc>
              <w:tc>
                <w:tcPr/>
                <w:p>
                  <w:pPr>
                    <w:pStyle w:val="Compact"/>
                    <w:jc w:val="right"/>
                    <w:jc w:val="center"/>
                  </w:pPr>
                  <w:r>
                    <w:t xml:space="preserve">N</w:t>
                  </w:r>
                </w:p>
              </w:tc>
              <w:tc>
                <w:tcPr/>
                <w:p>
                  <w:pPr>
                    <w:pStyle w:val="Compact"/>
                    <w:jc w:val="right"/>
                    <w:jc w:val="center"/>
                  </w:pPr>
                  <w:r>
                    <w:t xml:space="preserve">Treated</w:t>
                  </w:r>
                </w:p>
              </w:tc>
              <w:tc>
                <w:tcPr/>
                <w:p>
                  <w:pPr>
                    <w:pStyle w:val="Compact"/>
                    <w:jc w:val="right"/>
                    <w:jc w:val="center"/>
                  </w:pPr>
                  <w:r>
                    <w:t xml:space="preserve">Control</w:t>
                  </w:r>
                </w:p>
              </w:tc>
              <w:tc>
                <w:tcPr/>
                <w:p>
                  <w:pPr>
                    <w:pStyle w:val="Compact"/>
                    <w:jc w:val="right"/>
                    <w:jc w:val="center"/>
                  </w:pPr>
                  <w:r>
                    <w:t xml:space="preserve">Design columns</w:t>
                  </w:r>
                </w:p>
              </w:tc>
            </w:tr>
            <w:tr>
              <w:tc>
                <w:tcPr/>
                <w:p>
                  <w:pPr>
                    <w:pStyle w:val="Compact"/>
                    <w:jc w:val="left"/>
                    <w:jc w:val="center"/>
                  </w:pPr>
                  <w:r>
                    <w:t xml:space="preserve">C1</w:t>
                  </w:r>
                </w:p>
              </w:tc>
              <w:tc>
                <w:tcPr/>
                <w:p>
                  <w:pPr>
                    <w:pStyle w:val="Compact"/>
                    <w:jc w:val="left"/>
                    <w:jc w:val="center"/>
                  </w:pPr>
                  <w:r>
                    <w:t xml:space="preserve">Rescue.Co vs everyone else (protocol comparator)</w:t>
                  </w:r>
                </w:p>
              </w:tc>
              <w:tc>
                <w:tcPr/>
                <w:p>
                  <w:pPr>
                    <w:pStyle w:val="Compact"/>
                    <w:jc w:val="right"/>
                    <w:jc w:val="center"/>
                  </w:pPr>
                  <w:r>
                    <w:t xml:space="preserve">8323</w:t>
                  </w:r>
                </w:p>
              </w:tc>
              <w:tc>
                <w:tcPr/>
                <w:p>
                  <w:pPr>
                    <w:pStyle w:val="Compact"/>
                    <w:jc w:val="right"/>
                    <w:jc w:val="center"/>
                  </w:pPr>
                  <w:r>
                    <w:t xml:space="preserve">1039</w:t>
                  </w:r>
                </w:p>
              </w:tc>
              <w:tc>
                <w:tcPr/>
                <w:p>
                  <w:pPr>
                    <w:pStyle w:val="Compact"/>
                    <w:jc w:val="right"/>
                    <w:jc w:val="center"/>
                  </w:pPr>
                  <w:r>
                    <w:t xml:space="preserve">7284</w:t>
                  </w:r>
                </w:p>
              </w:tc>
              <w:tc>
                <w:tcPr/>
                <w:p>
                  <w:pPr>
                    <w:pStyle w:val="Compact"/>
                    <w:jc w:val="right"/>
                    <w:jc w:val="center"/>
                  </w:pPr>
                  <w:r>
                    <w:t xml:space="preserve">90</w:t>
                  </w:r>
                </w:p>
              </w:tc>
            </w:tr>
            <w:tr>
              <w:tc>
                <w:tcPr/>
                <w:p>
                  <w:pPr>
                    <w:pStyle w:val="Compact"/>
                    <w:jc w:val="left"/>
                    <w:jc w:val="center"/>
                  </w:pPr>
                  <w:r>
                    <w:t xml:space="preserve">C2</w:t>
                  </w:r>
                </w:p>
              </w:tc>
              <w:tc>
                <w:tcPr/>
                <w:p>
                  <w:pPr>
                    <w:pStyle w:val="Compact"/>
                    <w:jc w:val="left"/>
                    <w:jc w:val="center"/>
                  </w:pPr>
                  <w:r>
                    <w:t xml:space="preserve">Rescue.Co vs non-ambulance</w:t>
                  </w:r>
                </w:p>
              </w:tc>
              <w:tc>
                <w:tcPr/>
                <w:p>
                  <w:pPr>
                    <w:pStyle w:val="Compact"/>
                    <w:jc w:val="right"/>
                    <w:jc w:val="center"/>
                  </w:pPr>
                  <w:r>
                    <w:t xml:space="preserve">7165</w:t>
                  </w:r>
                </w:p>
              </w:tc>
              <w:tc>
                <w:tcPr/>
                <w:p>
                  <w:pPr>
                    <w:pStyle w:val="Compact"/>
                    <w:jc w:val="right"/>
                    <w:jc w:val="center"/>
                  </w:pPr>
                  <w:r>
                    <w:t xml:space="preserve">1039</w:t>
                  </w:r>
                </w:p>
              </w:tc>
              <w:tc>
                <w:tcPr/>
                <w:p>
                  <w:pPr>
                    <w:pStyle w:val="Compact"/>
                    <w:jc w:val="right"/>
                    <w:jc w:val="center"/>
                  </w:pPr>
                  <w:r>
                    <w:t xml:space="preserve">6126</w:t>
                  </w:r>
                </w:p>
              </w:tc>
              <w:tc>
                <w:tcPr/>
                <w:p>
                  <w:pPr>
                    <w:pStyle w:val="Compact"/>
                    <w:jc w:val="right"/>
                    <w:jc w:val="center"/>
                  </w:pPr>
                  <w:r>
                    <w:t xml:space="preserve">90</w:t>
                  </w:r>
                </w:p>
              </w:tc>
            </w:tr>
            <w:tr>
              <w:tc>
                <w:tcPr/>
                <w:p>
                  <w:pPr>
                    <w:pStyle w:val="Compact"/>
                    <w:jc w:val="left"/>
                    <w:jc w:val="center"/>
                  </w:pPr>
                  <w:r>
                    <w:t xml:space="preserve">C3</w:t>
                  </w:r>
                </w:p>
              </w:tc>
              <w:tc>
                <w:tcPr/>
                <w:p>
                  <w:pPr>
                    <w:pStyle w:val="Compact"/>
                    <w:jc w:val="left"/>
                    <w:jc w:val="center"/>
                  </w:pPr>
                  <w:r>
                    <w:t xml:space="preserve">Any ambulance vs non-ambulance</w:t>
                  </w:r>
                </w:p>
              </w:tc>
              <w:tc>
                <w:tcPr/>
                <w:p>
                  <w:pPr>
                    <w:pStyle w:val="Compact"/>
                    <w:jc w:val="right"/>
                    <w:jc w:val="center"/>
                  </w:pPr>
                  <w:r>
                    <w:t xml:space="preserve">8323</w:t>
                  </w:r>
                </w:p>
              </w:tc>
              <w:tc>
                <w:tcPr/>
                <w:p>
                  <w:pPr>
                    <w:pStyle w:val="Compact"/>
                    <w:jc w:val="right"/>
                    <w:jc w:val="center"/>
                  </w:pPr>
                  <w:r>
                    <w:t xml:space="preserve">2197</w:t>
                  </w:r>
                </w:p>
              </w:tc>
              <w:tc>
                <w:tcPr/>
                <w:p>
                  <w:pPr>
                    <w:pStyle w:val="Compact"/>
                    <w:jc w:val="right"/>
                    <w:jc w:val="center"/>
                  </w:pPr>
                  <w:r>
                    <w:t xml:space="preserve">6126</w:t>
                  </w:r>
                </w:p>
              </w:tc>
              <w:tc>
                <w:tcPr/>
                <w:p>
                  <w:pPr>
                    <w:pStyle w:val="Compact"/>
                    <w:jc w:val="right"/>
                    <w:jc w:val="center"/>
                  </w:pPr>
                  <w:r>
                    <w:t xml:space="preserve">90</w:t>
                  </w:r>
                </w:p>
              </w:tc>
            </w:tr>
            <w:tr>
              <w:tc>
                <w:tcPr/>
                <w:p>
                  <w:pPr>
                    <w:pStyle w:val="Compact"/>
                    <w:jc w:val="left"/>
                    <w:jc w:val="center"/>
                  </w:pPr>
                  <w:r>
                    <w:t xml:space="preserve">C4</w:t>
                  </w:r>
                </w:p>
              </w:tc>
              <w:tc>
                <w:tcPr/>
                <w:p>
                  <w:pPr>
                    <w:pStyle w:val="Compact"/>
                    <w:jc w:val="left"/>
                    <w:jc w:val="center"/>
                  </w:pPr>
                  <w:r>
                    <w:t xml:space="preserve">Rescue.Co vs other ambulance (transfers included)</w:t>
                  </w:r>
                </w:p>
              </w:tc>
              <w:tc>
                <w:tcPr/>
                <w:p>
                  <w:pPr>
                    <w:pStyle w:val="Compact"/>
                    <w:jc w:val="right"/>
                    <w:jc w:val="center"/>
                  </w:pPr>
                  <w:r>
                    <w:t xml:space="preserve">2197</w:t>
                  </w:r>
                </w:p>
              </w:tc>
              <w:tc>
                <w:tcPr/>
                <w:p>
                  <w:pPr>
                    <w:pStyle w:val="Compact"/>
                    <w:jc w:val="right"/>
                    <w:jc w:val="center"/>
                  </w:pPr>
                  <w:r>
                    <w:t xml:space="preserve">1039</w:t>
                  </w:r>
                </w:p>
              </w:tc>
              <w:tc>
                <w:tcPr/>
                <w:p>
                  <w:pPr>
                    <w:pStyle w:val="Compact"/>
                    <w:jc w:val="right"/>
                    <w:jc w:val="center"/>
                  </w:pPr>
                  <w:r>
                    <w:t xml:space="preserve">1158</w:t>
                  </w:r>
                </w:p>
              </w:tc>
              <w:tc>
                <w:tcPr/>
                <w:p>
                  <w:pPr>
                    <w:pStyle w:val="Compact"/>
                    <w:jc w:val="right"/>
                    <w:jc w:val="center"/>
                  </w:pPr>
                  <w:r>
                    <w:t xml:space="preserve">90</w:t>
                  </w:r>
                </w:p>
              </w:tc>
            </w:tr>
            <w:tr>
              <w:tc>
                <w:tcPr/>
                <w:p>
                  <w:pPr>
                    <w:pStyle w:val="Compact"/>
                    <w:jc w:val="left"/>
                    <w:jc w:val="center"/>
                  </w:pPr>
                  <w:r>
                    <w:t xml:space="preserve">PRIMARY</w:t>
                  </w:r>
                </w:p>
              </w:tc>
              <w:tc>
                <w:tcPr/>
                <w:p>
                  <w:pPr>
                    <w:pStyle w:val="Compact"/>
                    <w:jc w:val="left"/>
                    <w:jc w:val="center"/>
                  </w:pPr>
                  <w:r>
                    <w:t xml:space="preserve">Rescue.Co vs other ambulance, transfers and prior care excluded</w:t>
                  </w:r>
                </w:p>
              </w:tc>
              <w:tc>
                <w:tcPr/>
                <w:p>
                  <w:pPr>
                    <w:pStyle w:val="Compact"/>
                    <w:jc w:val="right"/>
                    <w:jc w:val="center"/>
                  </w:pPr>
                  <w:r>
                    <w:t xml:space="preserve">1616</w:t>
                  </w:r>
                </w:p>
              </w:tc>
              <w:tc>
                <w:tcPr/>
                <w:p>
                  <w:pPr>
                    <w:pStyle w:val="Compact"/>
                    <w:jc w:val="right"/>
                    <w:jc w:val="center"/>
                  </w:pPr>
                  <w:r>
                    <w:t xml:space="preserve">1003</w:t>
                  </w:r>
                </w:p>
              </w:tc>
              <w:tc>
                <w:tcPr/>
                <w:p>
                  <w:pPr>
                    <w:pStyle w:val="Compact"/>
                    <w:jc w:val="right"/>
                    <w:jc w:val="center"/>
                  </w:pPr>
                  <w:r>
                    <w:t xml:space="preserve">613</w:t>
                  </w:r>
                </w:p>
              </w:tc>
              <w:tc>
                <w:tcPr/>
                <w:p>
                  <w:pPr>
                    <w:pStyle w:val="Compact"/>
                    <w:jc w:val="right"/>
                    <w:jc w:val="center"/>
                  </w:pPr>
                  <w:r>
                    <w:t xml:space="preserve">90</w:t>
                  </w:r>
                </w:p>
              </w:tc>
            </w:tr>
          </w:tbl>
          <w:bookmarkEnd w:id="119"/>
          <w:p/>
        </w:tc>
      </w:tr>
    </w:tbl>
    <w:p>
      <w:pPr>
        <w:pStyle w:val="BodyText"/>
      </w:pPr>
      <w:r>
        <w:t xml:space="preserve">Each lock declares the same estimand ladder before outcome access:</w:t>
      </w:r>
      <w:r>
        <w:t xml:space="preserve"> </w:t>
      </w:r>
      <w:r>
        <w:t xml:space="preserve">ATE as the primary, then trimmed ATE, ATT, and ATO as ordered</w:t>
      </w:r>
      <w:r>
        <w:t xml:space="preserve"> </w:t>
      </w:r>
      <w:r>
        <w:t xml:space="preserve">fallbacks, with a SEVERE support verdict as the switching trigger and</w:t>
      </w:r>
      <w:r>
        <w:t xml:space="preserve"> </w:t>
      </w:r>
      <w:r>
        <w:t xml:space="preserve">a matched ATT carried as a sensitivity analysis. Ninety design</w:t>
      </w:r>
      <w:r>
        <w:t xml:space="preserve"> </w:t>
      </w:r>
      <w:r>
        <w:t xml:space="preserve">columns survive the</w:t>
      </w:r>
      <w:r>
        <w:t xml:space="preserve"> </w:t>
      </w:r>
      <w:r>
        <w:rPr>
          <w:rStyle w:val="VerbatimChar"/>
        </w:rPr>
        <w:t xml:space="preserve">sanitize_covariates()</w:t>
      </w:r>
      <w:r>
        <w:t xml:space="preserve"> </w:t>
      </w:r>
      <w:r>
        <w:t xml:space="preserve">near-zero-variance and</w:t>
      </w:r>
      <w:r>
        <w:t xml:space="preserve"> </w:t>
      </w:r>
      <w:r>
        <w:t xml:space="preserve">aliasing filters, covering demographics, injury place, mechanism and</w:t>
      </w:r>
      <w:r>
        <w:t xml:space="preserve"> </w:t>
      </w:r>
      <w:r>
        <w:t xml:space="preserve">intent, severity (GCS, ISS components), distance, payment, SES</w:t>
      </w:r>
      <w:r>
        <w:t xml:space="preserve"> </w:t>
      </w:r>
      <w:r>
        <w:t xml:space="preserve">proxies, the chronic-condition panel, and calendar time. The</w:t>
      </w:r>
      <w:r>
        <w:t xml:space="preserve"> </w:t>
      </w:r>
      <w:r>
        <w:t xml:space="preserve">propensity library is the</w:t>
      </w:r>
      <w:r>
        <w:t xml:space="preserve"> </w:t>
      </w:r>
      <w:r>
        <w:rPr>
          <w:rStyle w:val="VerbatimChar"/>
        </w:rPr>
        <w:t xml:space="preserve">build_sl_library()</w:t>
      </w:r>
      <w:r>
        <w:t xml:space="preserve"> </w:t>
      </w:r>
      <w:r>
        <w:t xml:space="preserve">“rwe_wide”</w:t>
      </w:r>
      <w:r>
        <w:t xml:space="preserve"> </w:t>
      </w:r>
      <w:r>
        <w:t xml:space="preserve">preset</w:t>
      </w:r>
      <w:r>
        <w:t xml:space="preserve"> </w:t>
      </w:r>
      <w:r>
        <w:t xml:space="preserve">(penalised logistic learners, PCA-reduced GLMs, and the marginal</w:t>
      </w:r>
      <w:r>
        <w:t xml:space="preserve"> </w:t>
      </w:r>
      <w:r>
        <w:t xml:space="preserve">mean; no tree learners, which can separate arms on wide indicator</w:t>
      </w:r>
      <w:r>
        <w:t xml:space="preserve"> </w:t>
      </w:r>
      <w:r>
        <w:t xml:space="preserve">designs), with</w:t>
      </w:r>
      <w:r>
        <w:t xml:space="preserve"> </w:t>
      </w:r>
      <m:oMath>
        <m:r>
          <m:t>V</m:t>
        </m:r>
        <m:r>
          <m:rPr>
            <m:sty m:val="p"/>
          </m:rPr>
          <m:t>=</m:t>
        </m:r>
        <m:r>
          <m:t>10</m:t>
        </m:r>
      </m:oMath>
      <w:r>
        <w:t xml:space="preserve"> </w:t>
      </w:r>
      <w:r>
        <w:t xml:space="preserve">following</w:t>
      </w:r>
      <w:r>
        <w:t xml:space="preserve"> </w:t>
      </w:r>
      <w:r>
        <w:t xml:space="preserve">Phillips et al. (2023)</w:t>
      </w:r>
      <w:r>
        <w:t xml:space="preserve">. Five negative</w:t>
      </w:r>
      <w:r>
        <w:t xml:space="preserve"> </w:t>
      </w:r>
      <w:r>
        <w:t xml:space="preserve">controls are registered on every lock, tagged with their</w:t>
      </w:r>
      <w:r>
        <w:t xml:space="preserve"> </w:t>
      </w:r>
      <w:r>
        <w:t xml:space="preserve">Muntner et al. (2024)</w:t>
      </w:r>
      <w:r>
        <w:t xml:space="preserve"> </w:t>
      </w:r>
      <w:r>
        <w:t xml:space="preserve">confounding domains: urban household and</w:t>
      </w:r>
      <w:r>
        <w:t xml:space="preserve"> </w:t>
      </w:r>
      <w:r>
        <w:t xml:space="preserve">wood-or-charcoal cooking fuel (health-seeking behaviour, access to</w:t>
      </w:r>
      <w:r>
        <w:t xml:space="preserve"> </w:t>
      </w:r>
      <w:r>
        <w:t xml:space="preserve">care), and hypertension, insulin-treated diabetes, and HIV on ART</w:t>
      </w:r>
      <w:r>
        <w:t xml:space="preserve"> </w:t>
      </w:r>
      <w:r>
        <w:t xml:space="preserve">(confounding by indication, functional status). Care-process</w:t>
      </w:r>
      <w:r>
        <w:t xml:space="preserve"> </w:t>
      </w:r>
      <w:r>
        <w:t xml:space="preserve">indicators (vitals missingness, examination markers) are registered</w:t>
      </w:r>
      <w:r>
        <w:t xml:space="preserve"> </w:t>
      </w:r>
      <w:r>
        <w:t xml:space="preserve">for the collider check and excluded from the adjustment set.</w:t>
      </w:r>
    </w:p>
    <w:bookmarkEnd w:id="120"/>
    <w:bookmarkStart w:id="131" w:name="sec-casestudy-support"/>
    <w:p>
      <w:pPr>
        <w:pStyle w:val="Heading2"/>
      </w:pPr>
      <w:r>
        <w:t xml:space="preserve">12.3 The design stage: support and estimand feasibility</w:t>
      </w:r>
    </w:p>
    <w:p>
      <w:pPr>
        <w:pStyle w:val="FirstParagraph"/>
      </w:pPr>
      <w:hyperlink w:anchor="tbl-cs-support">
        <w:r>
          <w:rPr>
            <w:rStyle w:val="Hyperlink"/>
          </w:rPr>
          <w:t xml:space="preserve">Table 9</w:t>
        </w:r>
      </w:hyperlink>
      <w:r>
        <w:t xml:space="preserve"> </w:t>
      </w:r>
      <w:r>
        <w:t xml:space="preserve">shows the support assessment per contrast, computed</w:t>
      </w:r>
      <w:r>
        <w:t xml:space="preserve"> </w:t>
      </w:r>
      <w:r>
        <w:t xml:space="preserve">by</w:t>
      </w:r>
      <w:r>
        <w:t xml:space="preserve"> </w:t>
      </w:r>
      <w:r>
        <w:rPr>
          <w:rStyle w:val="VerbatimChar"/>
        </w:rPr>
        <w:t xml:space="preserve">assess_support()</w:t>
      </w:r>
      <w:r>
        <w:t xml:space="preserve"> </w:t>
      </w:r>
      <w:r>
        <w:t xml:space="preserve">on each lock’s fitted propensity.</w:t>
      </w:r>
    </w:p>
    <w:tbl>
      <w:tblPr>
        <w:tblStyle w:val="Table"/>
        <w:tblW w:type="pct" w:w="5000"/>
        <w:tblLayout w:type="fixed"/>
        <w:tblLook w:firstRow="0" w:lastRow="0" w:firstColumn="0" w:lastColumn="0" w:noHBand="0" w:noVBand="0" w:val="0000"/>
      </w:tblPr>
      <w:tblGrid>
        <w:gridCol w:w="7920"/>
      </w:tblGrid>
      <w:tr>
        <w:tc>
          <w:tcPr/>
          <w:bookmarkStart w:id="121" w:name="tbl-cs-support"/>
          <w:p>
            <w:pPr>
              <w:jc w:val="center"/>
            </w:pPr>
            <w:pPr>
              <w:jc w:val="start"/>
              <w:spacing w:before="200"/>
              <w:pStyle w:val="ImageCaption"/>
            </w:pPr>
            <w:r>
              <w:t xml:space="preserve">Table 9: Support assessment by contrast on the fitted propensity</w:t>
            </w:r>
            <w:r>
              <w:t xml:space="preserve"> </w:t>
            </w:r>
            <w:r>
              <w:t xml:space="preserve">score. The effective sample size (ESS) is the Kish approximation under</w:t>
            </w:r>
            <w:r>
              <w:t xml:space="preserve"> </w:t>
            </w:r>
            <w:r>
              <w:t xml:space="preserve">ATE weights. The verdict thresholds are the package defaults stated in</w:t>
            </w:r>
            <w:r>
              <w:t xml:space="preserve"> </w:t>
            </w:r>
            <w:r>
              <w:t xml:space="preserve">the locks.</w:t>
            </w:r>
          </w:p>
          <w:tbl>
            <w:tblPr>
              <w:tblStyle w:val="Table"/>
              <w:tblW w:type="pct" w:w="5000"/>
              <w:tblLayout w:type="fixed"/>
              <w:tblLook w:firstRow="1" w:lastRow="0" w:firstColumn="0" w:lastColumn="0" w:noHBand="0" w:noVBand="0" w:val="0020"/>
            </w:tblPr>
            <w:tblGrid>
              <w:gridCol w:w="774"/>
              <w:gridCol w:w="1980"/>
              <w:gridCol w:w="1377"/>
              <w:gridCol w:w="1033"/>
              <w:gridCol w:w="1033"/>
              <w:gridCol w:w="1033"/>
              <w:gridCol w:w="688"/>
            </w:tblGrid>
            <w:tr>
              <w:trPr>
                <w:tblHeader w:val="on"/>
              </w:trPr>
              <w:tc>
                <w:tcPr/>
                <w:p>
                  <w:pPr>
                    <w:pStyle w:val="Compact"/>
                    <w:jc w:val="left"/>
                    <w:jc w:val="center"/>
                  </w:pPr>
                  <w:r>
                    <w:t xml:space="preserve">Contrast</w:t>
                  </w:r>
                </w:p>
              </w:tc>
              <w:tc>
                <w:tcPr/>
                <w:p>
                  <w:pPr>
                    <w:pStyle w:val="Compact"/>
                    <w:jc w:val="right"/>
                    <w:jc w:val="center"/>
                  </w:pPr>
                  <w:r>
                    <w:t xml:space="preserve">% outside [0.05, 0.95]</w:t>
                  </w:r>
                </w:p>
              </w:tc>
              <w:tc>
                <w:tcPr/>
                <w:p>
                  <w:pPr>
                    <w:pStyle w:val="Compact"/>
                    <w:jc w:val="right"/>
                    <w:jc w:val="center"/>
                  </w:pPr>
                  <w:r>
                    <w:t xml:space="preserve">Max IPTW weight</w:t>
                  </w:r>
                </w:p>
              </w:tc>
              <w:tc>
                <w:tcPr/>
                <w:p>
                  <w:pPr>
                    <w:pStyle w:val="Compact"/>
                    <w:jc w:val="right"/>
                    <w:jc w:val="center"/>
                  </w:pPr>
                  <w:r>
                    <w:t xml:space="preserve">ESS treated</w:t>
                  </w:r>
                </w:p>
              </w:tc>
              <w:tc>
                <w:tcPr/>
                <w:p>
                  <w:pPr>
                    <w:pStyle w:val="Compact"/>
                    <w:jc w:val="right"/>
                    <w:jc w:val="center"/>
                  </w:pPr>
                  <w:r>
                    <w:t xml:space="preserve">ESS control</w:t>
                  </w:r>
                </w:p>
              </w:tc>
              <w:tc>
                <w:tcPr/>
                <w:p>
                  <w:pPr>
                    <w:pStyle w:val="Compact"/>
                    <w:jc w:val="right"/>
                    <w:jc w:val="center"/>
                  </w:pPr>
                  <w:r>
                    <w:t xml:space="preserve">c-statistic</w:t>
                  </w:r>
                </w:p>
              </w:tc>
              <w:tc>
                <w:tcPr/>
                <w:p>
                  <w:pPr>
                    <w:pStyle w:val="Compact"/>
                    <w:jc w:val="left"/>
                    <w:jc w:val="center"/>
                  </w:pPr>
                  <w:r>
                    <w:t xml:space="preserve">Verdict</w:t>
                  </w:r>
                </w:p>
              </w:tc>
            </w:tr>
            <w:tr>
              <w:tc>
                <w:tcPr/>
                <w:p>
                  <w:pPr>
                    <w:pStyle w:val="Compact"/>
                    <w:jc w:val="left"/>
                    <w:jc w:val="center"/>
                  </w:pPr>
                  <w:r>
                    <w:t xml:space="preserve">C1</w:t>
                  </w:r>
                </w:p>
              </w:tc>
              <w:tc>
                <w:tcPr/>
                <w:p>
                  <w:pPr>
                    <w:pStyle w:val="Compact"/>
                    <w:jc w:val="right"/>
                    <w:jc w:val="center"/>
                  </w:pPr>
                  <w:r>
                    <w:t xml:space="preserve">40.6</w:t>
                  </w:r>
                </w:p>
              </w:tc>
              <w:tc>
                <w:tcPr/>
                <w:p>
                  <w:pPr>
                    <w:pStyle w:val="Compact"/>
                    <w:jc w:val="right"/>
                    <w:jc w:val="center"/>
                  </w:pPr>
                  <w:r>
                    <w:t xml:space="preserve">257</w:t>
                  </w:r>
                </w:p>
              </w:tc>
              <w:tc>
                <w:tcPr/>
                <w:p>
                  <w:pPr>
                    <w:pStyle w:val="Compact"/>
                    <w:jc w:val="right"/>
                    <w:jc w:val="center"/>
                  </w:pPr>
                  <w:r>
                    <w:t xml:space="preserve">256</w:t>
                  </w:r>
                </w:p>
              </w:tc>
              <w:tc>
                <w:tcPr/>
                <w:p>
                  <w:pPr>
                    <w:pStyle w:val="Compact"/>
                    <w:jc w:val="right"/>
                    <w:jc w:val="center"/>
                  </w:pPr>
                  <w:r>
                    <w:t xml:space="preserve">7051</w:t>
                  </w:r>
                </w:p>
              </w:tc>
              <w:tc>
                <w:tcPr/>
                <w:p>
                  <w:pPr>
                    <w:pStyle w:val="Compact"/>
                    <w:jc w:val="right"/>
                    <w:jc w:val="center"/>
                  </w:pPr>
                  <w:r>
                    <w:t xml:space="preserve">0.84</w:t>
                  </w:r>
                </w:p>
              </w:tc>
              <w:tc>
                <w:tcPr/>
                <w:p>
                  <w:pPr>
                    <w:pStyle w:val="Compact"/>
                    <w:jc w:val="left"/>
                    <w:jc w:val="center"/>
                  </w:pPr>
                  <w:r>
                    <w:t xml:space="preserve">SEVERE</w:t>
                  </w:r>
                </w:p>
              </w:tc>
            </w:tr>
            <w:tr>
              <w:tc>
                <w:tcPr/>
                <w:p>
                  <w:pPr>
                    <w:pStyle w:val="Compact"/>
                    <w:jc w:val="left"/>
                    <w:jc w:val="center"/>
                  </w:pPr>
                  <w:r>
                    <w:t xml:space="preserve">C2</w:t>
                  </w:r>
                </w:p>
              </w:tc>
              <w:tc>
                <w:tcPr/>
                <w:p>
                  <w:pPr>
                    <w:pStyle w:val="Compact"/>
                    <w:jc w:val="right"/>
                    <w:jc w:val="center"/>
                  </w:pPr>
                  <w:r>
                    <w:t xml:space="preserve">39.6</w:t>
                  </w:r>
                </w:p>
              </w:tc>
              <w:tc>
                <w:tcPr/>
                <w:p>
                  <w:pPr>
                    <w:pStyle w:val="Compact"/>
                    <w:jc w:val="right"/>
                    <w:jc w:val="center"/>
                  </w:pPr>
                  <w:r>
                    <w:t xml:space="preserve">208</w:t>
                  </w:r>
                </w:p>
              </w:tc>
              <w:tc>
                <w:tcPr/>
                <w:p>
                  <w:pPr>
                    <w:pStyle w:val="Compact"/>
                    <w:jc w:val="right"/>
                    <w:jc w:val="center"/>
                  </w:pPr>
                  <w:r>
                    <w:t xml:space="preserve">222</w:t>
                  </w:r>
                </w:p>
              </w:tc>
              <w:tc>
                <w:tcPr/>
                <w:p>
                  <w:pPr>
                    <w:pStyle w:val="Compact"/>
                    <w:jc w:val="right"/>
                    <w:jc w:val="center"/>
                  </w:pPr>
                  <w:r>
                    <w:t xml:space="preserve">5748</w:t>
                  </w:r>
                </w:p>
              </w:tc>
              <w:tc>
                <w:tcPr/>
                <w:p>
                  <w:pPr>
                    <w:pStyle w:val="Compact"/>
                    <w:jc w:val="right"/>
                    <w:jc w:val="center"/>
                  </w:pPr>
                  <w:r>
                    <w:t xml:space="preserve">0.86</w:t>
                  </w:r>
                </w:p>
              </w:tc>
              <w:tc>
                <w:tcPr/>
                <w:p>
                  <w:pPr>
                    <w:pStyle w:val="Compact"/>
                    <w:jc w:val="left"/>
                    <w:jc w:val="center"/>
                  </w:pPr>
                  <w:r>
                    <w:t xml:space="preserve">SEVERE</w:t>
                  </w:r>
                </w:p>
              </w:tc>
            </w:tr>
            <w:tr>
              <w:tc>
                <w:tcPr/>
                <w:p>
                  <w:pPr>
                    <w:pStyle w:val="Compact"/>
                    <w:jc w:val="left"/>
                    <w:jc w:val="center"/>
                  </w:pPr>
                  <w:r>
                    <w:t xml:space="preserve">C3</w:t>
                  </w:r>
                </w:p>
              </w:tc>
              <w:tc>
                <w:tcPr/>
                <w:p>
                  <w:pPr>
                    <w:pStyle w:val="Compact"/>
                    <w:jc w:val="right"/>
                    <w:jc w:val="center"/>
                  </w:pPr>
                  <w:r>
                    <w:t xml:space="preserve">3.8</w:t>
                  </w:r>
                </w:p>
              </w:tc>
              <w:tc>
                <w:tcPr/>
                <w:p>
                  <w:pPr>
                    <w:pStyle w:val="Compact"/>
                    <w:jc w:val="right"/>
                    <w:jc w:val="center"/>
                  </w:pPr>
                  <w:r>
                    <w:t xml:space="preserve">40</w:t>
                  </w:r>
                </w:p>
              </w:tc>
              <w:tc>
                <w:tcPr/>
                <w:p>
                  <w:pPr>
                    <w:pStyle w:val="Compact"/>
                    <w:jc w:val="right"/>
                    <w:jc w:val="center"/>
                  </w:pPr>
                  <w:r>
                    <w:t xml:space="preserve">1401</w:t>
                  </w:r>
                </w:p>
              </w:tc>
              <w:tc>
                <w:tcPr/>
                <w:p>
                  <w:pPr>
                    <w:pStyle w:val="Compact"/>
                    <w:jc w:val="right"/>
                    <w:jc w:val="center"/>
                  </w:pPr>
                  <w:r>
                    <w:t xml:space="preserve">5509</w:t>
                  </w:r>
                </w:p>
              </w:tc>
              <w:tc>
                <w:tcPr/>
                <w:p>
                  <w:pPr>
                    <w:pStyle w:val="Compact"/>
                    <w:jc w:val="right"/>
                    <w:jc w:val="center"/>
                  </w:pPr>
                  <w:r>
                    <w:t xml:space="preserve">0.78</w:t>
                  </w:r>
                </w:p>
              </w:tc>
              <w:tc>
                <w:tcPr/>
                <w:p>
                  <w:pPr>
                    <w:pStyle w:val="Compact"/>
                    <w:jc w:val="left"/>
                    <w:jc w:val="center"/>
                  </w:pPr>
                  <w:r>
                    <w:t xml:space="preserve">FLAG</w:t>
                  </w:r>
                </w:p>
              </w:tc>
            </w:tr>
            <w:tr>
              <w:tc>
                <w:tcPr/>
                <w:p>
                  <w:pPr>
                    <w:pStyle w:val="Compact"/>
                    <w:jc w:val="left"/>
                    <w:jc w:val="center"/>
                  </w:pPr>
                  <w:r>
                    <w:t xml:space="preserve">C4</w:t>
                  </w:r>
                </w:p>
              </w:tc>
              <w:tc>
                <w:tcPr/>
                <w:p>
                  <w:pPr>
                    <w:pStyle w:val="Compact"/>
                    <w:jc w:val="right"/>
                    <w:jc w:val="center"/>
                  </w:pPr>
                  <w:r>
                    <w:t xml:space="preserve">4.5</w:t>
                  </w:r>
                </w:p>
              </w:tc>
              <w:tc>
                <w:tcPr/>
                <w:p>
                  <w:pPr>
                    <w:pStyle w:val="Compact"/>
                    <w:jc w:val="right"/>
                    <w:jc w:val="center"/>
                  </w:pPr>
                  <w:r>
                    <w:t xml:space="preserve">19</w:t>
                  </w:r>
                </w:p>
              </w:tc>
              <w:tc>
                <w:tcPr/>
                <w:p>
                  <w:pPr>
                    <w:pStyle w:val="Compact"/>
                    <w:jc w:val="right"/>
                    <w:jc w:val="center"/>
                  </w:pPr>
                  <w:r>
                    <w:t xml:space="preserve">725</w:t>
                  </w:r>
                </w:p>
              </w:tc>
              <w:tc>
                <w:tcPr/>
                <w:p>
                  <w:pPr>
                    <w:pStyle w:val="Compact"/>
                    <w:jc w:val="right"/>
                    <w:jc w:val="center"/>
                  </w:pPr>
                  <w:r>
                    <w:t xml:space="preserve">921</w:t>
                  </w:r>
                </w:p>
              </w:tc>
              <w:tc>
                <w:tcPr/>
                <w:p>
                  <w:pPr>
                    <w:pStyle w:val="Compact"/>
                    <w:jc w:val="right"/>
                    <w:jc w:val="center"/>
                  </w:pPr>
                  <w:r>
                    <w:t xml:space="preserve">0.83</w:t>
                  </w:r>
                </w:p>
              </w:tc>
              <w:tc>
                <w:tcPr/>
                <w:p>
                  <w:pPr>
                    <w:pStyle w:val="Compact"/>
                    <w:jc w:val="left"/>
                    <w:jc w:val="center"/>
                  </w:pPr>
                  <w:r>
                    <w:t xml:space="preserve">FLAG</w:t>
                  </w:r>
                </w:p>
              </w:tc>
            </w:tr>
            <w:tr>
              <w:tc>
                <w:tcPr/>
                <w:p>
                  <w:pPr>
                    <w:pStyle w:val="Compact"/>
                    <w:jc w:val="left"/>
                    <w:jc w:val="center"/>
                  </w:pPr>
                  <w:r>
                    <w:t xml:space="preserve">PRIMARY</w:t>
                  </w:r>
                </w:p>
              </w:tc>
              <w:tc>
                <w:tcPr/>
                <w:p>
                  <w:pPr>
                    <w:pStyle w:val="Compact"/>
                    <w:jc w:val="right"/>
                    <w:jc w:val="center"/>
                  </w:pPr>
                  <w:r>
                    <w:t xml:space="preserve">0.1</w:t>
                  </w:r>
                </w:p>
              </w:tc>
              <w:tc>
                <w:tcPr/>
                <w:p>
                  <w:pPr>
                    <w:pStyle w:val="Compact"/>
                    <w:jc w:val="right"/>
                    <w:jc w:val="center"/>
                  </w:pPr>
                  <w:r>
                    <w:t xml:space="preserve">8</w:t>
                  </w:r>
                </w:p>
              </w:tc>
              <w:tc>
                <w:tcPr/>
                <w:p>
                  <w:pPr>
                    <w:pStyle w:val="Compact"/>
                    <w:jc w:val="right"/>
                    <w:jc w:val="center"/>
                  </w:pPr>
                  <w:r>
                    <w:t xml:space="preserve">934</w:t>
                  </w:r>
                </w:p>
              </w:tc>
              <w:tc>
                <w:tcPr/>
                <w:p>
                  <w:pPr>
                    <w:pStyle w:val="Compact"/>
                    <w:jc w:val="right"/>
                    <w:jc w:val="center"/>
                  </w:pPr>
                  <w:r>
                    <w:t xml:space="preserve">512</w:t>
                  </w:r>
                </w:p>
              </w:tc>
              <w:tc>
                <w:tcPr/>
                <w:p>
                  <w:pPr>
                    <w:pStyle w:val="Compact"/>
                    <w:jc w:val="right"/>
                    <w:jc w:val="center"/>
                  </w:pPr>
                  <w:r>
                    <w:t xml:space="preserve">0.80</w:t>
                  </w:r>
                </w:p>
              </w:tc>
              <w:tc>
                <w:tcPr/>
                <w:p>
                  <w:pPr>
                    <w:pStyle w:val="Compact"/>
                    <w:jc w:val="left"/>
                    <w:jc w:val="center"/>
                  </w:pPr>
                  <w:r>
                    <w:t xml:space="preserve">PASS</w:t>
                  </w:r>
                </w:p>
              </w:tc>
            </w:tr>
          </w:tbl>
          <w:bookmarkEnd w:id="121"/>
          <w:p/>
        </w:tc>
      </w:tr>
    </w:tbl>
    <w:p>
      <w:pPr>
        <w:pStyle w:val="BodyText"/>
      </w:pPr>
      <w:r>
        <w:t xml:space="preserve">The protocol comparison C1 places</w:t>
      </w:r>
      <w:r>
        <w:t xml:space="preserve"> </w:t>
      </w:r>
      <w:r>
        <w:t xml:space="preserve">40.6% of the sample outside</w:t>
      </w:r>
      <w:r>
        <w:t xml:space="preserve"> </w:t>
      </w:r>
      <w:r>
        <w:t xml:space="preserve">the band with a maximum ATE weight of</w:t>
      </w:r>
      <w:r>
        <w:t xml:space="preserve"> </w:t>
      </w:r>
      <w:r>
        <w:t xml:space="preserve">257, and C2 is nearly as bad;</w:t>
      </w:r>
      <w:r>
        <w:t xml:space="preserve"> </w:t>
      </w:r>
      <w:r>
        <w:t xml:space="preserve">both are graded SEVERE, which is the declared ladder trigger. The</w:t>
      </w:r>
      <w:r>
        <w:t xml:space="preserve"> </w:t>
      </w:r>
      <w:r>
        <w:t xml:space="preserve">violation is not a thin tail. The tree search localises it to</w:t>
      </w:r>
      <w:r>
        <w:t xml:space="preserve"> </w:t>
      </w:r>
      <w:r>
        <w:t xml:space="preserve">interpretable regions: patients injured at home (1,386 patients, 1.4%</w:t>
      </w:r>
      <w:r>
        <w:t xml:space="preserve"> </w:t>
      </w:r>
      <w:r>
        <w:t xml:space="preserve">treated), other non-street injury places, and assault victims outside</w:t>
      </w:r>
      <w:r>
        <w:t xml:space="preserve"> </w:t>
      </w:r>
      <w:r>
        <w:t xml:space="preserve">those places (4.2% treated). These patients essentially never receive</w:t>
      </w:r>
      <w:r>
        <w:t xml:space="preserve"> </w:t>
      </w:r>
      <w:r>
        <w:t xml:space="preserve">Rescue.Co transport, so the counterfactual</w:t>
      </w:r>
      <w:r>
        <w:t xml:space="preserve"> </w:t>
      </w:r>
      <w:r>
        <w:t xml:space="preserve">“everyone transported by</w:t>
      </w:r>
      <w:r>
        <w:t xml:space="preserve"> </w:t>
      </w:r>
      <w:r>
        <w:t xml:space="preserve">Rescue.Co”</w:t>
      </w:r>
      <w:r>
        <w:t xml:space="preserve"> </w:t>
      </w:r>
      <w:r>
        <w:t xml:space="preserve">is unanswerable for them without extrapolation. C3 and C4</w:t>
      </w:r>
      <w:r>
        <w:t xml:space="preserve"> </w:t>
      </w:r>
      <w:r>
        <w:t xml:space="preserve">are graded FLAG, and the PRIMARY cohort contrast passes</w:t>
      </w:r>
      <w:r>
        <w:t xml:space="preserve"> </w:t>
      </w:r>
      <w:r>
        <w:t xml:space="preserve">(0.06% outside, maximum</w:t>
      </w:r>
      <w:r>
        <w:t xml:space="preserve"> </w:t>
      </w:r>
      <w:r>
        <w:t xml:space="preserve">weight 8): restricting to</w:t>
      </w:r>
      <w:r>
        <w:t xml:space="preserve"> </w:t>
      </w:r>
      <w:r>
        <w:t xml:space="preserve">ambulance arrivals without transfers or prior care removes the</w:t>
      </w:r>
      <w:r>
        <w:t xml:space="preserve"> </w:t>
      </w:r>
      <w:r>
        <w:t xml:space="preserve">never-treated strata, at the cost of a narrower question.</w:t>
      </w:r>
    </w:p>
    <w:p>
      <w:pPr>
        <w:pStyle w:val="BodyText"/>
      </w:pPr>
      <w:r>
        <w:t xml:space="preserve">The per-estimand feasibility table then reads each fitted propensity</w:t>
      </w:r>
      <w:r>
        <w:t xml:space="preserve"> </w:t>
      </w:r>
      <w:r>
        <w:t xml:space="preserve">per estimand. On C1 the ATE is infeasible, while the ATT bounds its</w:t>
      </w:r>
      <w:r>
        <w:t xml:space="preserve"> </w:t>
      </w:r>
      <w:r>
        <w:t xml:space="preserve">control weights at 5.0 (the largest treated propensity is 0.85), the</w:t>
      </w:r>
      <w:r>
        <w:t xml:space="preserve"> </w:t>
      </w:r>
      <w:r>
        <w:t xml:space="preserve">ATO bounds all weights at 1 by construction, and the trimmed ATE</w:t>
      </w:r>
      <w:r>
        <w:t xml:space="preserve"> </w:t>
      </w:r>
      <w:r>
        <w:t xml:space="preserve">retains 4,946 patients after removing 3,377, nearly all controls. The</w:t>
      </w:r>
      <w:r>
        <w:t xml:space="preserve"> </w:t>
      </w:r>
      <w:r>
        <w:t xml:space="preserve">removal profile makes the estimand change concrete: the removed</w:t>
      </w:r>
      <w:r>
        <w:t xml:space="preserve"> </w:t>
      </w:r>
      <w:r>
        <w:t xml:space="preserve">patients are far more often injured at home (40% versus 1% of the</w:t>
      </w:r>
      <w:r>
        <w:t xml:space="preserve"> </w:t>
      </w:r>
      <w:r>
        <w:t xml:space="preserve">retained, standardised difference 1.10) or in assaults (39% versus</w:t>
      </w:r>
      <w:r>
        <w:t xml:space="preserve"> </w:t>
      </w:r>
      <w:r>
        <w:t xml:space="preserve">10%), are younger, live farther away, and more often sought prior</w:t>
      </w:r>
      <w:r>
        <w:t xml:space="preserve"> </w:t>
      </w:r>
      <w:r>
        <w:t xml:space="preserve">care. A trimmed analysis of C1 is not about those patients, and the</w:t>
      </w:r>
      <w:r>
        <w:t xml:space="preserve"> </w:t>
      </w:r>
      <w:r>
        <w:t xml:space="preserve">design report says so in words rather than leaving the shift implicit</w:t>
      </w:r>
      <w:r>
        <w:t xml:space="preserve"> </w:t>
      </w:r>
      <w:r>
        <w:t xml:space="preserve">(Crump et al. 2009)</w:t>
      </w:r>
      <w:r>
        <w:t xml:space="preserve">.</w:t>
      </w:r>
    </w:p>
    <w:p>
      <w:pPr>
        <w:pStyle w:val="CaptionedFigure"/>
      </w:pPr>
      <w:r>
        <w:drawing>
          <wp:inline>
            <wp:extent cx="2613660" cy="1568196"/>
            <wp:effectExtent b="0" l="0" r="0" t="0"/>
            <wp:docPr descr="Mirrored propensity histograms for the protocol contrast C1 (left) and the PRIMARY cohort contrast (right). Treated propensities are plotted above the axis and controls below, with the [0.05, 0.95] band shaded. The C1 control mass piled against zero is the severe violation; the PRIMARY contrast shows the two arms sharing support." title="" id="123" name="Picture"/>
            <a:graphic>
              <a:graphicData uri="http://schemas.openxmlformats.org/drawingml/2006/picture">
                <pic:pic>
                  <pic:nvPicPr>
                    <pic:cNvPr descr="../rescueCo/results/multiarm/fig_support_C1.png" id="124" name="Picture"/>
                    <pic:cNvPicPr>
                      <a:picLocks noChangeArrowheads="1" noChangeAspect="1"/>
                    </pic:cNvPicPr>
                  </pic:nvPicPr>
                  <pic:blipFill>
                    <a:blip r:embed="rId122"/>
                    <a:stretch>
                      <a:fillRect/>
                    </a:stretch>
                  </pic:blipFill>
                  <pic:spPr bwMode="auto">
                    <a:xfrm>
                      <a:off x="0" y="0"/>
                      <a:ext cx="2613660" cy="1568196"/>
                    </a:xfrm>
                    <a:prstGeom prst="rect">
                      <a:avLst/>
                    </a:prstGeom>
                    <a:noFill/>
                    <a:ln w="9525">
                      <a:noFill/>
                      <a:headEnd/>
                      <a:tailEnd/>
                    </a:ln>
                  </pic:spPr>
                </pic:pic>
              </a:graphicData>
            </a:graphic>
          </wp:inline>
        </w:drawing>
      </w:r>
    </w:p>
    <w:p>
      <w:pPr>
        <w:pStyle w:val="ImageCaption"/>
      </w:pPr>
      <w:r>
        <w:t xml:space="preserve">Mirrored propensity histograms for the protocol contrast C1 (left) and the PRIMARY cohort contrast (right). Treated propensities are plotted above the axis and controls below, with the [0.05, 0.95] band shaded. The C1 control mass piled against zero is the severe violation; the PRIMARY contrast shows the two arms sharing support.</w:t>
      </w:r>
    </w:p>
    <w:p>
      <w:pPr>
        <w:pStyle w:val="CaptionedFigure"/>
      </w:pPr>
      <w:r>
        <w:drawing>
          <wp:inline>
            <wp:extent cx="2613660" cy="1568196"/>
            <wp:effectExtent b="0" l="0" r="0" t="0"/>
            <wp:docPr descr="Mirrored propensity histograms for the protocol contrast C1 (left) and the PRIMARY cohort contrast (right). Treated propensities are plotted above the axis and controls below, with the [0.05, 0.95] band shaded. The C1 control mass piled against zero is the severe violation; the PRIMARY contrast shows the two arms sharing support." title="" id="126" name="Picture"/>
            <a:graphic>
              <a:graphicData uri="http://schemas.openxmlformats.org/drawingml/2006/picture">
                <pic:pic>
                  <pic:nvPicPr>
                    <pic:cNvPr descr="../rescueCo/results/multiarm/fig_support_PRIMARY.png" id="127" name="Picture"/>
                    <pic:cNvPicPr>
                      <a:picLocks noChangeArrowheads="1" noChangeAspect="1"/>
                    </pic:cNvPicPr>
                  </pic:nvPicPr>
                  <pic:blipFill>
                    <a:blip r:embed="rId125"/>
                    <a:stretch>
                      <a:fillRect/>
                    </a:stretch>
                  </pic:blipFill>
                  <pic:spPr bwMode="auto">
                    <a:xfrm>
                      <a:off x="0" y="0"/>
                      <a:ext cx="2613660" cy="1568196"/>
                    </a:xfrm>
                    <a:prstGeom prst="rect">
                      <a:avLst/>
                    </a:prstGeom>
                    <a:noFill/>
                    <a:ln w="9525">
                      <a:noFill/>
                      <a:headEnd/>
                      <a:tailEnd/>
                    </a:ln>
                  </pic:spPr>
                </pic:pic>
              </a:graphicData>
            </a:graphic>
          </wp:inline>
        </w:drawing>
      </w:r>
    </w:p>
    <w:p>
      <w:pPr>
        <w:pStyle w:val="ImageCaption"/>
      </w:pPr>
      <w:r>
        <w:t xml:space="preserve">Mirrored propensity histograms for the protocol contrast C1 (left) and the PRIMARY cohort contrast (right). Treated propensities are plotted above the axis and controls below, with the [0.05, 0.95] band shaded. The C1 control mass piled against zero is the severe violation; the PRIMARY contrast shows the two arms sharing support.</w:t>
      </w:r>
    </w:p>
    <w:bookmarkStart w:id="128" w:name="the-outcome-blind-support-map"/>
    <w:p>
      <w:pPr>
        <w:pStyle w:val="Heading3"/>
      </w:pPr>
      <w:r>
        <w:t xml:space="preserve">12.3.1 The outcome-blind support map</w:t>
      </w:r>
    </w:p>
    <w:p>
      <w:pPr>
        <w:pStyle w:val="FirstParagraph"/>
      </w:pPr>
      <w:r>
        <w:rPr>
          <w:rStyle w:val="VerbatimChar"/>
        </w:rPr>
        <w:t xml:space="preserve">simulate_support()</w:t>
      </w:r>
      <w:r>
        <w:t xml:space="preserve"> </w:t>
      </w:r>
      <w:r>
        <w:t xml:space="preserve">ran 200 generate-treatment replicates per</w:t>
      </w:r>
      <w:r>
        <w:t xml:space="preserve"> </w:t>
      </w:r>
      <w:r>
        <w:t xml:space="preserve">contrast over the prespecified surface family (synthetic confounding</w:t>
      </w:r>
      <w:r>
        <w:t xml:space="preserve"> </w:t>
      </w:r>
      <w:r>
        <w:t xml:space="preserve">strength 0, 1, 2 along the separating direction, crossed with effect</w:t>
      </w:r>
      <w:r>
        <w:t xml:space="preserve"> </w:t>
      </w:r>
      <w:r>
        <w:t xml:space="preserve">modification off and on) and scored each estimand’s estimator against</w:t>
      </w:r>
      <w:r>
        <w:t xml:space="preserve"> </w:t>
      </w:r>
      <w:r>
        <w:t xml:space="preserve">a bias tolerance of 0.01 at a coverage floor of 0.90. Two readings of</w:t>
      </w:r>
      <w:r>
        <w:t xml:space="preserve"> </w:t>
      </w:r>
      <w:r>
        <w:t xml:space="preserve">the resulting map matter, and they answer different questions.</w:t>
      </w:r>
    </w:p>
    <w:p>
      <w:pPr>
        <w:pStyle w:val="BodyText"/>
      </w:pPr>
      <w:r>
        <w:t xml:space="preserve">On C1 the map corroborates the static verdict from an independent</w:t>
      </w:r>
      <w:r>
        <w:t xml:space="preserve"> </w:t>
      </w:r>
      <w:r>
        <w:t xml:space="preserve">direction: the ATE fails at the mildest surface (coverage 0.87 while</w:t>
      </w:r>
      <w:r>
        <w:t xml:space="preserve"> </w:t>
      </w:r>
      <w:r>
        <w:t xml:space="preserve">the bounded estimands sit at 0.95), before any synthetic confounding</w:t>
      </w:r>
      <w:r>
        <w:t xml:space="preserve"> </w:t>
      </w:r>
      <w:r>
        <w:t xml:space="preserve">is added, which is the signature of a support failure rather than of</w:t>
      </w:r>
      <w:r>
        <w:t xml:space="preserve"> </w:t>
      </w:r>
      <w:r>
        <w:t xml:space="preserve">the stress. The bounded estimands (ATT, ATO, matched ATT, and with</w:t>
      </w:r>
      <w:r>
        <w:t xml:space="preserve"> </w:t>
      </w:r>
      <w:r>
        <w:t xml:space="preserve">one marginal cell the trimmed ATE) hold through the moderate</w:t>
      </w:r>
      <w:r>
        <w:t xml:space="preserve"> </w:t>
      </w:r>
      <w:r>
        <w:t xml:space="preserve">surfaces and degrade only at the harshest rung. On the PRIMARY</w:t>
      </w:r>
      <w:r>
        <w:t xml:space="preserve"> </w:t>
      </w:r>
      <w:r>
        <w:t xml:space="preserve">contrast every estimand passes the mildest surface, and as the</w:t>
      </w:r>
      <w:r>
        <w:t xml:space="preserve"> </w:t>
      </w:r>
      <w:r>
        <w:t xml:space="preserve">synthetic confounding strengthens the unmatched estimands degrade</w:t>
      </w:r>
      <w:r>
        <w:t xml:space="preserve"> </w:t>
      </w:r>
      <w:r>
        <w:t xml:space="preserve">together (coverage 0.81 to 0.89 at the harshest rung) while the</w:t>
      </w:r>
      <w:r>
        <w:t xml:space="preserve"> </w:t>
      </w:r>
      <w:r>
        <w:t xml:space="preserve">matched ATT holds 0.93 to 0.96 throughout; degradation that arrives</w:t>
      </w:r>
      <w:r>
        <w:t xml:space="preserve"> </w:t>
      </w:r>
      <w:r>
        <w:t xml:space="preserve">only with the stress, and hits all weighting-based estimands alike,</w:t>
      </w:r>
      <w:r>
        <w:t xml:space="preserve"> </w:t>
      </w:r>
      <w:r>
        <w:t xml:space="preserve">reads as confounding-strength stress rather than as a positivity</w:t>
      </w:r>
      <w:r>
        <w:t xml:space="preserve"> </w:t>
      </w:r>
      <w:r>
        <w:t xml:space="preserve">problem, consistent with the PASS verdict. These two patterns are</w:t>
      </w:r>
      <w:r>
        <w:t xml:space="preserve"> </w:t>
      </w:r>
      <w:r>
        <w:t xml:space="preserve">the map’s value: it separates</w:t>
      </w:r>
      <w:r>
        <w:t xml:space="preserve"> </w:t>
      </w:r>
      <w:r>
        <w:t xml:space="preserve">“fails because the design lacks</w:t>
      </w:r>
      <w:r>
        <w:t xml:space="preserve"> </w:t>
      </w:r>
      <w:r>
        <w:t xml:space="preserve">support”</w:t>
      </w:r>
      <w:r>
        <w:t xml:space="preserve"> </w:t>
      </w:r>
      <w:r>
        <w:t xml:space="preserve">(C1’s ATE, failing at baseline) from</w:t>
      </w:r>
      <w:r>
        <w:t xml:space="preserve"> </w:t>
      </w:r>
      <w:r>
        <w:t xml:space="preserve">“fails because the</w:t>
      </w:r>
      <w:r>
        <w:t xml:space="preserve"> </w:t>
      </w:r>
      <w:r>
        <w:t xml:space="preserve">stress is harsh”</w:t>
      </w:r>
      <w:r>
        <w:t xml:space="preserve"> </w:t>
      </w:r>
      <w:r>
        <w:t xml:space="preserve">(the harshest rung everywhere). A summary rule that</w:t>
      </w:r>
      <w:r>
        <w:t xml:space="preserve"> </w:t>
      </w:r>
      <w:r>
        <w:t xml:space="preserve">requires a whole-grid pass conflates the two, and on these data</w:t>
      </w:r>
      <w:r>
        <w:t xml:space="preserve"> </w:t>
      </w:r>
      <w:r>
        <w:t xml:space="preserve">would keep only the matched ATT; the design reports therefore read</w:t>
      </w:r>
      <w:r>
        <w:t xml:space="preserve"> </w:t>
      </w:r>
      <w:r>
        <w:t xml:space="preserve">the map over the moderate-confounding region for the support</w:t>
      </w:r>
      <w:r>
        <w:t xml:space="preserve"> </w:t>
      </w:r>
      <w:r>
        <w:t xml:space="preserve">question and report the whole-grid result as a conservative bound,</w:t>
      </w:r>
      <w:r>
        <w:t xml:space="preserve"> </w:t>
      </w:r>
      <w:r>
        <w:t xml:space="preserve">a reading rule recorded in the design log before estimation.</w:t>
      </w:r>
    </w:p>
    <w:bookmarkEnd w:id="128"/>
    <w:bookmarkStart w:id="130" w:name="Xabee8f216188c9eaf57bed1ce0546922c997f84"/>
    <w:p>
      <w:pPr>
        <w:pStyle w:val="Heading3"/>
      </w:pPr>
      <w:r>
        <w:t xml:space="preserve">12.3.2 Generate-treatment versus sample-treatment on real data</w:t>
      </w:r>
    </w:p>
    <w:p>
      <w:pPr>
        <w:pStyle w:val="FirstParagraph"/>
      </w:pPr>
      <w:r>
        <w:t xml:space="preserve">The C1 lock also reruns its support simulation under the legacy</w:t>
      </w:r>
      <w:r>
        <w:t xml:space="preserve"> </w:t>
      </w:r>
      <w:r>
        <w:t xml:space="preserve">sample-treatment design, holding everything else fixed, as a</w:t>
      </w:r>
      <w:r>
        <w:t xml:space="preserve"> </w:t>
      </w:r>
      <w:r>
        <w:t xml:space="preserve">real-data check of the</w:t>
      </w:r>
      <w:r>
        <w:t xml:space="preserve"> </w:t>
      </w:r>
      <w:r>
        <w:t xml:space="preserve">Shaw et al. (2025)</w:t>
      </w:r>
      <w:r>
        <w:t xml:space="preserve"> </w:t>
      </w:r>
      <w:r>
        <w:t xml:space="preserve">argument</w:t>
      </w:r>
      <w:r>
        <w:t xml:space="preserve"> </w:t>
      </w:r>
      <w:r>
        <w:t xml:space="preserve">(</w:t>
      </w:r>
      <w:hyperlink w:anchor="tbl-cs-designcmp">
        <w:r>
          <w:rPr>
            <w:rStyle w:val="Hyperlink"/>
          </w:rPr>
          <w:t xml:space="preserve">Table 10</w:t>
        </w:r>
      </w:hyperlink>
      <w:r>
        <w:t xml:space="preserve">). At the mild surface the two designs agree.</w:t>
      </w:r>
      <w:r>
        <w:t xml:space="preserve"> </w:t>
      </w:r>
      <w:r>
        <w:t xml:space="preserve">At the stressed surface the sample-treatment design, which carries</w:t>
      </w:r>
      <w:r>
        <w:t xml:space="preserve"> </w:t>
      </w:r>
      <w:r>
        <w:t xml:space="preserve">the observed 41% violation into every replicate, inflates the bias</w:t>
      </w:r>
      <w:r>
        <w:t xml:space="preserve"> </w:t>
      </w:r>
      <w:r>
        <w:t xml:space="preserve">of every bounded estimand by roughly half again (ATT 0.018 versus</w:t>
      </w:r>
      <w:r>
        <w:t xml:space="preserve"> </w:t>
      </w:r>
      <w:r>
        <w:t xml:space="preserve">0.013, ATO 0.016 versus 0.010) and collapses their coverage (ATT</w:t>
      </w:r>
      <w:r>
        <w:t xml:space="preserve"> </w:t>
      </w:r>
      <w:r>
        <w:t xml:space="preserve">0.69 versus 0.78, ATO 0.64 versus 0.79, matched ATT 0.63 versus</w:t>
      </w:r>
      <w:r>
        <w:t xml:space="preserve"> </w:t>
      </w:r>
      <w:r>
        <w:t xml:space="preserve">0.86), while the ATE’s RMSE balloons more than fivefold (0.066</w:t>
      </w:r>
      <w:r>
        <w:t xml:space="preserve"> </w:t>
      </w:r>
      <w:r>
        <w:t xml:space="preserve">versus 0.012) as the replicated violation meets the stressed</w:t>
      </w:r>
      <w:r>
        <w:t xml:space="preserve"> </w:t>
      </w:r>
      <w:r>
        <w:t xml:space="preserve">surface. A support map built on the sample-treatment design would</w:t>
      </w:r>
      <w:r>
        <w:t xml:space="preserve"> </w:t>
      </w:r>
      <w:r>
        <w:t xml:space="preserve">therefore have declared every estimand infeasible on C1, not because</w:t>
      </w:r>
      <w:r>
        <w:t xml:space="preserve"> </w:t>
      </w:r>
      <w:r>
        <w:t xml:space="preserve">the design cannot support them but because the simulation</w:t>
      </w:r>
      <w:r>
        <w:t xml:space="preserve"> </w:t>
      </w:r>
      <w:r>
        <w:t xml:space="preserve">manufactured the failure it was asked to detect.</w:t>
      </w:r>
    </w:p>
    <w:tbl>
      <w:tblPr>
        <w:tblStyle w:val="Table"/>
        <w:tblW w:type="pct" w:w="5000"/>
        <w:tblLayout w:type="fixed"/>
        <w:tblLook w:firstRow="0" w:lastRow="0" w:firstColumn="0" w:lastColumn="0" w:noHBand="0" w:noVBand="0" w:val="0000"/>
      </w:tblPr>
      <w:tblGrid>
        <w:gridCol w:w="7920"/>
      </w:tblGrid>
      <w:tr>
        <w:tc>
          <w:tcPr/>
          <w:bookmarkStart w:id="129" w:name="tbl-cs-designcmp"/>
          <w:p>
            <w:pPr>
              <w:jc w:val="center"/>
            </w:pPr>
            <w:pPr>
              <w:jc w:val="start"/>
              <w:spacing w:before="200"/>
              <w:pStyle w:val="ImageCaption"/>
            </w:pPr>
            <w:r>
              <w:t xml:space="preserve">Table 10: Plasmode design comparison on the C1 lock at the</w:t>
            </w:r>
            <w:r>
              <w:t xml:space="preserve"> </w:t>
            </w:r>
            <w:r>
              <w:t xml:space="preserve">stressed outcome surface (synthetic confounding strength 2), 200</w:t>
            </w:r>
            <w:r>
              <w:t xml:space="preserve"> </w:t>
            </w:r>
            <w:r>
              <w:t xml:space="preserve">replicates per design. The sample-treatment design reproduces the</w:t>
            </w:r>
            <w:r>
              <w:t xml:space="preserve"> </w:t>
            </w:r>
            <w:r>
              <w:t xml:space="preserve">observed positivity violation in every replicate and degrades every</w:t>
            </w:r>
            <w:r>
              <w:t xml:space="preserve"> </w:t>
            </w:r>
            <w:r>
              <w:t xml:space="preserve">estimand; the generate-treatment design lets the declared surface</w:t>
            </w:r>
            <w:r>
              <w:t xml:space="preserve"> </w:t>
            </w:r>
            <w:r>
              <w:t xml:space="preserve">family govern the stress.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Design</w:t>
                  </w:r>
                </w:p>
              </w:tc>
              <w:tc>
                <w:tcPr/>
                <w:p>
                  <w:pPr>
                    <w:pStyle w:val="Compact"/>
                    <w:jc w:val="left"/>
                    <w:jc w:val="center"/>
                  </w:pPr>
                  <w:r>
                    <w:t xml:space="preserve">Estimand</w:t>
                  </w:r>
                </w:p>
              </w:tc>
              <w:tc>
                <w:tcPr/>
                <w:p>
                  <w:pPr>
                    <w:pStyle w:val="Compact"/>
                    <w:jc w:val="right"/>
                    <w:jc w:val="center"/>
                  </w:pPr>
                  <w:r>
                    <w:t xml:space="preserve">Bias</w:t>
                  </w:r>
                </w:p>
              </w:tc>
              <w:tc>
                <w:tcPr/>
                <w:p>
                  <w:pPr>
                    <w:pStyle w:val="Compact"/>
                    <w:jc w:val="right"/>
                    <w:jc w:val="center"/>
                  </w:pPr>
                  <w:r>
                    <w:t xml:space="preserve">RMSE</w:t>
                  </w:r>
                </w:p>
              </w:tc>
              <w:tc>
                <w:tcPr/>
                <w:p>
                  <w:pPr>
                    <w:pStyle w:val="Compact"/>
                    <w:jc w:val="right"/>
                    <w:jc w:val="center"/>
                  </w:pPr>
                  <w:r>
                    <w:t xml:space="preserve">Coverage</w:t>
                  </w:r>
                </w:p>
              </w:tc>
            </w:tr>
            <w:tr>
              <w:tc>
                <w:tcPr/>
                <w:p>
                  <w:pPr>
                    <w:pStyle w:val="Compact"/>
                    <w:jc w:val="left"/>
                    <w:jc w:val="center"/>
                  </w:pPr>
                  <w:r>
                    <w:t xml:space="preserve">generate</w:t>
                  </w:r>
                </w:p>
              </w:tc>
              <w:tc>
                <w:tcPr/>
                <w:p>
                  <w:pPr>
                    <w:pStyle w:val="Compact"/>
                    <w:jc w:val="left"/>
                    <w:jc w:val="center"/>
                  </w:pPr>
                  <w:r>
                    <w:t xml:space="preserve">ATE</w:t>
                  </w:r>
                </w:p>
              </w:tc>
              <w:tc>
                <w:tcPr/>
                <w:p>
                  <w:pPr>
                    <w:pStyle w:val="Compact"/>
                    <w:jc w:val="right"/>
                    <w:jc w:val="center"/>
                  </w:pPr>
                  <w:r>
                    <w:t xml:space="preserve">0.0052</w:t>
                  </w:r>
                </w:p>
              </w:tc>
              <w:tc>
                <w:tcPr/>
                <w:p>
                  <w:pPr>
                    <w:pStyle w:val="Compact"/>
                    <w:jc w:val="right"/>
                    <w:jc w:val="center"/>
                  </w:pPr>
                  <w:r>
                    <w:t xml:space="preserve">0.0121</w:t>
                  </w:r>
                </w:p>
              </w:tc>
              <w:tc>
                <w:tcPr/>
                <w:p>
                  <w:pPr>
                    <w:pStyle w:val="Compact"/>
                    <w:jc w:val="right"/>
                    <w:jc w:val="center"/>
                  </w:pPr>
                  <w:r>
                    <w:t xml:space="preserve">0.96</w:t>
                  </w:r>
                </w:p>
              </w:tc>
            </w:tr>
            <w:tr>
              <w:tc>
                <w:tcPr/>
                <w:p>
                  <w:pPr>
                    <w:pStyle w:val="Compact"/>
                    <w:jc w:val="left"/>
                    <w:jc w:val="center"/>
                  </w:pPr>
                  <w:r>
                    <w:t xml:space="preserve">generate</w:t>
                  </w:r>
                </w:p>
              </w:tc>
              <w:tc>
                <w:tcPr/>
                <w:p>
                  <w:pPr>
                    <w:pStyle w:val="Compact"/>
                    <w:jc w:val="left"/>
                    <w:jc w:val="center"/>
                  </w:pPr>
                  <w:r>
                    <w:t xml:space="preserve">ATT</w:t>
                  </w:r>
                </w:p>
              </w:tc>
              <w:tc>
                <w:tcPr/>
                <w:p>
                  <w:pPr>
                    <w:pStyle w:val="Compact"/>
                    <w:jc w:val="right"/>
                    <w:jc w:val="center"/>
                  </w:pPr>
                  <w:r>
                    <w:t xml:space="preserve">0.0131</w:t>
                  </w:r>
                </w:p>
              </w:tc>
              <w:tc>
                <w:tcPr/>
                <w:p>
                  <w:pPr>
                    <w:pStyle w:val="Compact"/>
                    <w:jc w:val="right"/>
                    <w:jc w:val="center"/>
                  </w:pPr>
                  <w:r>
                    <w:t xml:space="preserve">0.0174</w:t>
                  </w:r>
                </w:p>
              </w:tc>
              <w:tc>
                <w:tcPr/>
                <w:p>
                  <w:pPr>
                    <w:pStyle w:val="Compact"/>
                    <w:jc w:val="right"/>
                    <w:jc w:val="center"/>
                  </w:pPr>
                  <w:r>
                    <w:t xml:space="preserve">0.78</w:t>
                  </w:r>
                </w:p>
              </w:tc>
            </w:tr>
            <w:tr>
              <w:tc>
                <w:tcPr/>
                <w:p>
                  <w:pPr>
                    <w:pStyle w:val="Compact"/>
                    <w:jc w:val="left"/>
                    <w:jc w:val="center"/>
                  </w:pPr>
                  <w:r>
                    <w:t xml:space="preserve">generate</w:t>
                  </w:r>
                </w:p>
              </w:tc>
              <w:tc>
                <w:tcPr/>
                <w:p>
                  <w:pPr>
                    <w:pStyle w:val="Compact"/>
                    <w:jc w:val="left"/>
                    <w:jc w:val="center"/>
                  </w:pPr>
                  <w:r>
                    <w:t xml:space="preserve">ATO</w:t>
                  </w:r>
                </w:p>
              </w:tc>
              <w:tc>
                <w:tcPr/>
                <w:p>
                  <w:pPr>
                    <w:pStyle w:val="Compact"/>
                    <w:jc w:val="right"/>
                    <w:jc w:val="center"/>
                  </w:pPr>
                  <w:r>
                    <w:t xml:space="preserve">0.0102</w:t>
                  </w:r>
                </w:p>
              </w:tc>
              <w:tc>
                <w:tcPr/>
                <w:p>
                  <w:pPr>
                    <w:pStyle w:val="Compact"/>
                    <w:jc w:val="right"/>
                    <w:jc w:val="center"/>
                  </w:pPr>
                  <w:r>
                    <w:t xml:space="preserve">0.0141</w:t>
                  </w:r>
                </w:p>
              </w:tc>
              <w:tc>
                <w:tcPr/>
                <w:p>
                  <w:pPr>
                    <w:pStyle w:val="Compact"/>
                    <w:jc w:val="right"/>
                    <w:jc w:val="center"/>
                  </w:pPr>
                  <w:r>
                    <w:t xml:space="preserve">0.78</w:t>
                  </w:r>
                </w:p>
              </w:tc>
            </w:tr>
            <w:tr>
              <w:tc>
                <w:tcPr/>
                <w:p>
                  <w:pPr>
                    <w:pStyle w:val="Compact"/>
                    <w:jc w:val="left"/>
                    <w:jc w:val="center"/>
                  </w:pPr>
                  <w:r>
                    <w:t xml:space="preserve">generate</w:t>
                  </w:r>
                </w:p>
              </w:tc>
              <w:tc>
                <w:tcPr/>
                <w:p>
                  <w:pPr>
                    <w:pStyle w:val="Compact"/>
                    <w:jc w:val="left"/>
                    <w:jc w:val="center"/>
                  </w:pPr>
                  <w:r>
                    <w:t xml:space="preserve">trimmed_ATE</w:t>
                  </w:r>
                </w:p>
              </w:tc>
              <w:tc>
                <w:tcPr/>
                <w:p>
                  <w:pPr>
                    <w:pStyle w:val="Compact"/>
                    <w:jc w:val="right"/>
                    <w:jc w:val="center"/>
                  </w:pPr>
                  <w:r>
                    <w:t xml:space="preserve">0.0079</w:t>
                  </w:r>
                </w:p>
              </w:tc>
              <w:tc>
                <w:tcPr/>
                <w:p>
                  <w:pPr>
                    <w:pStyle w:val="Compact"/>
                    <w:jc w:val="right"/>
                    <w:jc w:val="center"/>
                  </w:pPr>
                  <w:r>
                    <w:t xml:space="preserve">0.0120</w:t>
                  </w:r>
                </w:p>
              </w:tc>
              <w:tc>
                <w:tcPr/>
                <w:p>
                  <w:pPr>
                    <w:pStyle w:val="Compact"/>
                    <w:jc w:val="right"/>
                    <w:jc w:val="center"/>
                  </w:pPr>
                  <w:r>
                    <w:t xml:space="preserve">0.86</w:t>
                  </w:r>
                </w:p>
              </w:tc>
            </w:tr>
            <w:tr>
              <w:tc>
                <w:tcPr/>
                <w:p>
                  <w:pPr>
                    <w:pStyle w:val="Compact"/>
                    <w:jc w:val="left"/>
                    <w:jc w:val="center"/>
                  </w:pPr>
                  <w:r>
                    <w:t xml:space="preserve">generate</w:t>
                  </w:r>
                </w:p>
              </w:tc>
              <w:tc>
                <w:tcPr/>
                <w:p>
                  <w:pPr>
                    <w:pStyle w:val="Compact"/>
                    <w:jc w:val="left"/>
                    <w:jc w:val="center"/>
                  </w:pPr>
                  <w:r>
                    <w:t xml:space="preserve">matched_ATT</w:t>
                  </w:r>
                </w:p>
              </w:tc>
              <w:tc>
                <w:tcPr/>
                <w:p>
                  <w:pPr>
                    <w:pStyle w:val="Compact"/>
                    <w:jc w:val="right"/>
                    <w:jc w:val="center"/>
                  </w:pPr>
                  <w:r>
                    <w:t xml:space="preserve">0.0114</w:t>
                  </w:r>
                </w:p>
              </w:tc>
              <w:tc>
                <w:tcPr/>
                <w:p>
                  <w:pPr>
                    <w:pStyle w:val="Compact"/>
                    <w:jc w:val="right"/>
                    <w:jc w:val="center"/>
                  </w:pPr>
                  <w:r>
                    <w:t xml:space="preserve">0.0165</w:t>
                  </w:r>
                </w:p>
              </w:tc>
              <w:tc>
                <w:tcPr/>
                <w:p>
                  <w:pPr>
                    <w:pStyle w:val="Compact"/>
                    <w:jc w:val="right"/>
                    <w:jc w:val="center"/>
                  </w:pPr>
                  <w:r>
                    <w:t xml:space="preserve">0.86</w:t>
                  </w:r>
                </w:p>
              </w:tc>
            </w:tr>
            <w:tr>
              <w:tc>
                <w:tcPr/>
                <w:p>
                  <w:pPr>
                    <w:pStyle w:val="Compact"/>
                    <w:jc w:val="left"/>
                    <w:jc w:val="center"/>
                  </w:pPr>
                  <w:r>
                    <w:t xml:space="preserve">sample</w:t>
                  </w:r>
                </w:p>
              </w:tc>
              <w:tc>
                <w:tcPr/>
                <w:p>
                  <w:pPr>
                    <w:pStyle w:val="Compact"/>
                    <w:jc w:val="left"/>
                    <w:jc w:val="center"/>
                  </w:pPr>
                  <w:r>
                    <w:t xml:space="preserve">ATE</w:t>
                  </w:r>
                </w:p>
              </w:tc>
              <w:tc>
                <w:tcPr/>
                <w:p>
                  <w:pPr>
                    <w:pStyle w:val="Compact"/>
                    <w:jc w:val="right"/>
                    <w:jc w:val="center"/>
                  </w:pPr>
                  <w:r>
                    <w:t xml:space="preserve">0.0135</w:t>
                  </w:r>
                </w:p>
              </w:tc>
              <w:tc>
                <w:tcPr/>
                <w:p>
                  <w:pPr>
                    <w:pStyle w:val="Compact"/>
                    <w:jc w:val="right"/>
                    <w:jc w:val="center"/>
                  </w:pPr>
                  <w:r>
                    <w:t xml:space="preserve">0.0661</w:t>
                  </w:r>
                </w:p>
              </w:tc>
              <w:tc>
                <w:tcPr/>
                <w:p>
                  <w:pPr>
                    <w:pStyle w:val="Compact"/>
                    <w:jc w:val="right"/>
                    <w:jc w:val="center"/>
                  </w:pPr>
                  <w:r>
                    <w:t xml:space="preserve">0.87</w:t>
                  </w:r>
                </w:p>
              </w:tc>
            </w:tr>
            <w:tr>
              <w:tc>
                <w:tcPr/>
                <w:p>
                  <w:pPr>
                    <w:pStyle w:val="Compact"/>
                    <w:jc w:val="left"/>
                    <w:jc w:val="center"/>
                  </w:pPr>
                  <w:r>
                    <w:t xml:space="preserve">sample</w:t>
                  </w:r>
                </w:p>
              </w:tc>
              <w:tc>
                <w:tcPr/>
                <w:p>
                  <w:pPr>
                    <w:pStyle w:val="Compact"/>
                    <w:jc w:val="left"/>
                    <w:jc w:val="center"/>
                  </w:pPr>
                  <w:r>
                    <w:t xml:space="preserve">ATT</w:t>
                  </w:r>
                </w:p>
              </w:tc>
              <w:tc>
                <w:tcPr/>
                <w:p>
                  <w:pPr>
                    <w:pStyle w:val="Compact"/>
                    <w:jc w:val="right"/>
                    <w:jc w:val="center"/>
                  </w:pPr>
                  <w:r>
                    <w:t xml:space="preserve">0.0182</w:t>
                  </w:r>
                </w:p>
              </w:tc>
              <w:tc>
                <w:tcPr/>
                <w:p>
                  <w:pPr>
                    <w:pStyle w:val="Compact"/>
                    <w:jc w:val="right"/>
                    <w:jc w:val="center"/>
                  </w:pPr>
                  <w:r>
                    <w:t xml:space="preserve">0.0217</w:t>
                  </w:r>
                </w:p>
              </w:tc>
              <w:tc>
                <w:tcPr/>
                <w:p>
                  <w:pPr>
                    <w:pStyle w:val="Compact"/>
                    <w:jc w:val="right"/>
                    <w:jc w:val="center"/>
                  </w:pPr>
                  <w:r>
                    <w:t xml:space="preserve">0.69</w:t>
                  </w:r>
                </w:p>
              </w:tc>
            </w:tr>
            <w:tr>
              <w:tc>
                <w:tcPr/>
                <w:p>
                  <w:pPr>
                    <w:pStyle w:val="Compact"/>
                    <w:jc w:val="left"/>
                    <w:jc w:val="center"/>
                  </w:pPr>
                  <w:r>
                    <w:t xml:space="preserve">sample</w:t>
                  </w:r>
                </w:p>
              </w:tc>
              <w:tc>
                <w:tcPr/>
                <w:p>
                  <w:pPr>
                    <w:pStyle w:val="Compact"/>
                    <w:jc w:val="left"/>
                    <w:jc w:val="center"/>
                  </w:pPr>
                  <w:r>
                    <w:t xml:space="preserve">ATO</w:t>
                  </w:r>
                </w:p>
              </w:tc>
              <w:tc>
                <w:tcPr/>
                <w:p>
                  <w:pPr>
                    <w:pStyle w:val="Compact"/>
                    <w:jc w:val="right"/>
                    <w:jc w:val="center"/>
                  </w:pPr>
                  <w:r>
                    <w:t xml:space="preserve">0.0159</w:t>
                  </w:r>
                </w:p>
              </w:tc>
              <w:tc>
                <w:tcPr/>
                <w:p>
                  <w:pPr>
                    <w:pStyle w:val="Compact"/>
                    <w:jc w:val="right"/>
                    <w:jc w:val="center"/>
                  </w:pPr>
                  <w:r>
                    <w:t xml:space="preserve">0.0184</w:t>
                  </w:r>
                </w:p>
              </w:tc>
              <w:tc>
                <w:tcPr/>
                <w:p>
                  <w:pPr>
                    <w:pStyle w:val="Compact"/>
                    <w:jc w:val="right"/>
                    <w:jc w:val="center"/>
                  </w:pPr>
                  <w:r>
                    <w:t xml:space="preserve">0.64</w:t>
                  </w:r>
                </w:p>
              </w:tc>
            </w:tr>
            <w:tr>
              <w:tc>
                <w:tcPr/>
                <w:p>
                  <w:pPr>
                    <w:pStyle w:val="Compact"/>
                    <w:jc w:val="left"/>
                    <w:jc w:val="center"/>
                  </w:pPr>
                  <w:r>
                    <w:t xml:space="preserve">sample</w:t>
                  </w:r>
                </w:p>
              </w:tc>
              <w:tc>
                <w:tcPr/>
                <w:p>
                  <w:pPr>
                    <w:pStyle w:val="Compact"/>
                    <w:jc w:val="left"/>
                    <w:jc w:val="center"/>
                  </w:pPr>
                  <w:r>
                    <w:t xml:space="preserve">trimmed_ATE</w:t>
                  </w:r>
                </w:p>
              </w:tc>
              <w:tc>
                <w:tcPr/>
                <w:p>
                  <w:pPr>
                    <w:pStyle w:val="Compact"/>
                    <w:jc w:val="right"/>
                    <w:jc w:val="center"/>
                  </w:pPr>
                  <w:r>
                    <w:t xml:space="preserve">0.0130</w:t>
                  </w:r>
                </w:p>
              </w:tc>
              <w:tc>
                <w:tcPr/>
                <w:p>
                  <w:pPr>
                    <w:pStyle w:val="Compact"/>
                    <w:jc w:val="right"/>
                    <w:jc w:val="center"/>
                  </w:pPr>
                  <w:r>
                    <w:t xml:space="preserve">0.0156</w:t>
                  </w:r>
                </w:p>
              </w:tc>
              <w:tc>
                <w:tcPr/>
                <w:p>
                  <w:pPr>
                    <w:pStyle w:val="Compact"/>
                    <w:jc w:val="right"/>
                    <w:jc w:val="center"/>
                  </w:pPr>
                  <w:r>
                    <w:t xml:space="preserve">0.77</w:t>
                  </w:r>
                </w:p>
              </w:tc>
            </w:tr>
            <w:tr>
              <w:tc>
                <w:tcPr/>
                <w:p>
                  <w:pPr>
                    <w:pStyle w:val="Compact"/>
                    <w:jc w:val="left"/>
                    <w:jc w:val="center"/>
                  </w:pPr>
                  <w:r>
                    <w:t xml:space="preserve">sample</w:t>
                  </w:r>
                </w:p>
              </w:tc>
              <w:tc>
                <w:tcPr/>
                <w:p>
                  <w:pPr>
                    <w:pStyle w:val="Compact"/>
                    <w:jc w:val="left"/>
                    <w:jc w:val="center"/>
                  </w:pPr>
                  <w:r>
                    <w:t xml:space="preserve">matched_ATT</w:t>
                  </w:r>
                </w:p>
              </w:tc>
              <w:tc>
                <w:tcPr/>
                <w:p>
                  <w:pPr>
                    <w:pStyle w:val="Compact"/>
                    <w:jc w:val="right"/>
                    <w:jc w:val="center"/>
                  </w:pPr>
                  <w:r>
                    <w:t xml:space="preserve">0.0195</w:t>
                  </w:r>
                </w:p>
              </w:tc>
              <w:tc>
                <w:tcPr/>
                <w:p>
                  <w:pPr>
                    <w:pStyle w:val="Compact"/>
                    <w:jc w:val="right"/>
                    <w:jc w:val="center"/>
                  </w:pPr>
                  <w:r>
                    <w:t xml:space="preserve">0.0229</w:t>
                  </w:r>
                </w:p>
              </w:tc>
              <w:tc>
                <w:tcPr/>
                <w:p>
                  <w:pPr>
                    <w:pStyle w:val="Compact"/>
                    <w:jc w:val="right"/>
                    <w:jc w:val="center"/>
                  </w:pPr>
                  <w:r>
                    <w:t xml:space="preserve">0.62</w:t>
                  </w:r>
                </w:p>
              </w:tc>
            </w:tr>
          </w:tbl>
          <w:bookmarkEnd w:id="129"/>
          <w:p/>
        </w:tc>
      </w:tr>
    </w:tbl>
    <w:bookmarkEnd w:id="130"/>
    <w:bookmarkEnd w:id="131"/>
    <w:bookmarkStart w:id="132" w:name="X5fa2969702917b04966080130fef44721438df5"/>
    <w:p>
      <w:pPr>
        <w:pStyle w:val="Heading2"/>
      </w:pPr>
      <w:r>
        <w:t xml:space="preserve">12.4 Negative-control ladder and the collider check</w:t>
      </w:r>
    </w:p>
    <w:p>
      <w:pPr>
        <w:pStyle w:val="FirstParagraph"/>
      </w:pPr>
      <w:r>
        <w:t xml:space="preserve">The negative-control ladder fits all five registered controls,</w:t>
      </w:r>
      <w:r>
        <w:t xml:space="preserve"> </w:t>
      </w:r>
      <w:r>
        <w:t xml:space="preserve">unadjusted, on each nested cohort: the full contrast cohort, then</w:t>
      </w:r>
      <w:r>
        <w:t xml:space="preserve"> </w:t>
      </w:r>
      <w:r>
        <w:t xml:space="preserve">transfers excluded, then transfers and prior care excluded. On the</w:t>
      </w:r>
      <w:r>
        <w:t xml:space="preserve"> </w:t>
      </w:r>
      <w:r>
        <w:t xml:space="preserve">full C4 cohort the two socioeconomic controls fail decisively (urban</w:t>
      </w:r>
      <w:r>
        <w:t xml:space="preserve"> </w:t>
      </w:r>
      <w:r>
        <w:t xml:space="preserve">household +0.068, 95% CI 0.049 to 0.086; wood-or-charcoal fuel</w:t>
      </w:r>
      <w:r>
        <w:t xml:space="preserve"> </w:t>
      </w:r>
      <w:r>
        <w:t xml:space="preserve">$-$0.052, CI $-$0.074 to $-$0.029): ambulance transfer patients</w:t>
      </w:r>
      <w:r>
        <w:t xml:space="preserve"> </w:t>
      </w:r>
      <w:r>
        <w:t xml:space="preserve">differ socioeconomically from direct arrivals. Both turn null after</w:t>
      </w:r>
      <w:r>
        <w:t xml:space="preserve"> </w:t>
      </w:r>
      <w:r>
        <w:t xml:space="preserve">the transfer exclusion (urban household +0.001) and stay null after</w:t>
      </w:r>
      <w:r>
        <w:t xml:space="preserve"> </w:t>
      </w:r>
      <w:r>
        <w:t xml:space="preserve">the prior-care exclusion, and on the PRIMARY cohort every estimable</w:t>
      </w:r>
      <w:r>
        <w:t xml:space="preserve"> </w:t>
      </w:r>
      <w:r>
        <w:t xml:space="preserve">control is null. On C1 the urban-household control fails on the full</w:t>
      </w:r>
      <w:r>
        <w:t xml:space="preserve"> </w:t>
      </w:r>
      <w:r>
        <w:t xml:space="preserve">cohort (+0.013, CI 0.003 to 0.024) and has no restriction rung that</w:t>
      </w:r>
      <w:r>
        <w:t xml:space="preserve"> </w:t>
      </w:r>
      <w:r>
        <w:t xml:space="preserve">repairs it, which corroborates the support verdict from an</w:t>
      </w:r>
      <w:r>
        <w:t xml:space="preserve"> </w:t>
      </w:r>
      <w:r>
        <w:t xml:space="preserve">independent direction. Hypertension is null everywhere, and the two</w:t>
      </w:r>
      <w:r>
        <w:t xml:space="preserve"> </w:t>
      </w:r>
      <w:r>
        <w:t xml:space="preserve">rare chronic controls (insulin-treated diabetes, HIV on ART) are</w:t>
      </w:r>
      <w:r>
        <w:t xml:space="preserve"> </w:t>
      </w:r>
      <w:r>
        <w:t xml:space="preserve">labelled inestimable on every rung, following the</w:t>
      </w:r>
      <w:r>
        <w:t xml:space="preserve"> </w:t>
      </w:r>
      <w:r>
        <w:t xml:space="preserve">Conover et al. (2025)</w:t>
      </w:r>
      <w:r>
        <w:t xml:space="preserve"> </w:t>
      </w:r>
      <w:r>
        <w:t xml:space="preserve">practice of reporting inestimability rather</w:t>
      </w:r>
      <w:r>
        <w:t xml:space="preserve"> </w:t>
      </w:r>
      <w:r>
        <w:t xml:space="preserve">than silently shrinking the panel. The reading is the study’s second</w:t>
      </w:r>
      <w:r>
        <w:t xml:space="preserve"> </w:t>
      </w:r>
      <w:r>
        <w:t xml:space="preserve">methodological point: the pre-registered exclusions, not covariate</w:t>
      </w:r>
      <w:r>
        <w:t xml:space="preserve"> </w:t>
      </w:r>
      <w:r>
        <w:t xml:space="preserve">adjustment, removed the measurable confounding, and the ladder shows</w:t>
      </w:r>
      <w:r>
        <w:t xml:space="preserve"> </w:t>
      </w:r>
      <w:r>
        <w:t xml:space="preserve">which restriction did the work. A TMLE-adjusted variant of the same</w:t>
      </w:r>
      <w:r>
        <w:t xml:space="preserve"> </w:t>
      </w:r>
      <w:r>
        <w:t xml:space="preserve">ladder is reported in the supplement with a caveat: on the restricted</w:t>
      </w:r>
      <w:r>
        <w:t xml:space="preserve"> </w:t>
      </w:r>
      <w:r>
        <w:t xml:space="preserve">rungs it conditions on design columns that are near-copies of the</w:t>
      </w:r>
      <w:r>
        <w:t xml:space="preserve"> </w:t>
      </w:r>
      <w:r>
        <w:t xml:space="preserve">socioeconomic controls, so its restricted-rung rows are not</w:t>
      </w:r>
      <w:r>
        <w:t xml:space="preserve"> </w:t>
      </w:r>
      <w:r>
        <w:t xml:space="preserve">comparable to the unadjusted ladder.</w:t>
      </w:r>
    </w:p>
    <w:p>
      <w:pPr>
        <w:pStyle w:val="BodyText"/>
      </w:pPr>
      <w:r>
        <w:t xml:space="preserve">The collider check regresses each care-process indicator on</w:t>
      </w:r>
      <w:r>
        <w:t xml:space="preserve"> </w:t>
      </w:r>
      <w:r>
        <w:t xml:space="preserve">treatment given severity. Vitals-recorded-within-an-hour and</w:t>
      </w:r>
      <w:r>
        <w:t xml:space="preserve"> </w:t>
      </w:r>
      <w:r>
        <w:t xml:space="preserve">blood-pressure-missingness are predicted by treatment on C3, C4, and</w:t>
      </w:r>
      <w:r>
        <w:t xml:space="preserve"> </w:t>
      </w:r>
      <w:r>
        <w:t xml:space="preserve">the PRIMARY contrast (standardised differences 0.11 to 0.34), which</w:t>
      </w:r>
      <w:r>
        <w:t xml:space="preserve"> </w:t>
      </w:r>
      <w:r>
        <w:t xml:space="preserve">is expected: transport mode changes the care process. The check</w:t>
      </w:r>
      <w:r>
        <w:t xml:space="preserve"> </w:t>
      </w:r>
      <w:r>
        <w:t xml:space="preserve">confirms these variables belong outside the adjustment set, where</w:t>
      </w:r>
      <w:r>
        <w:t xml:space="preserve"> </w:t>
      </w:r>
      <w:r>
        <w:t xml:space="preserve">the locks placed them; conditioning on them would open collider</w:t>
      </w:r>
      <w:r>
        <w:t xml:space="preserve"> </w:t>
      </w:r>
      <w:r>
        <w:t xml:space="preserve">paths through in-hospital care.</w:t>
      </w:r>
    </w:p>
    <w:bookmarkEnd w:id="132"/>
    <w:bookmarkStart w:id="133" w:name="pre-outcome-decision"/>
    <w:p>
      <w:pPr>
        <w:pStyle w:val="Heading2"/>
      </w:pPr>
      <w:r>
        <w:t xml:space="preserve">12.5 Pre-outcome decision</w:t>
      </w:r>
    </w:p>
    <w:p>
      <w:pPr>
        <w:pStyle w:val="FirstParagraph"/>
      </w:pPr>
      <w:r>
        <w:rPr>
          <w:rStyle w:val="VerbatimChar"/>
        </w:rPr>
        <w:t xml:space="preserve">design_report()</w:t>
      </w:r>
      <w:r>
        <w:t xml:space="preserve"> </w:t>
      </w:r>
      <w:r>
        <w:t xml:space="preserve">assembles, per contrast, the support verdict, the</w:t>
      </w:r>
      <w:r>
        <w:t xml:space="preserve"> </w:t>
      </w:r>
      <w:r>
        <w:t xml:space="preserve">feasibility table, the support map, the negative-control ladder, and</w:t>
      </w:r>
      <w:r>
        <w:t xml:space="preserve"> </w:t>
      </w:r>
      <w:r>
        <w:t xml:space="preserve">the collider check, and closes with the recommendation the review</w:t>
      </w:r>
      <w:r>
        <w:t xml:space="preserve"> </w:t>
      </w:r>
      <w:r>
        <w:t xml:space="preserve">team reads. For the PRIMARY contrast the recommendation is to</w:t>
      </w:r>
      <w:r>
        <w:t xml:space="preserve"> </w:t>
      </w:r>
      <w:r>
        <w:t xml:space="preserve">proceed. For C1 and C2 it is to proceed with qualification: the</w:t>
      </w:r>
      <w:r>
        <w:t xml:space="preserve"> </w:t>
      </w:r>
      <w:r>
        <w:t xml:space="preserve">declared primary (ATE) is not supported, the ladder moves to the</w:t>
      </w:r>
      <w:r>
        <w:t xml:space="preserve"> </w:t>
      </w:r>
      <w:r>
        <w:t xml:space="preserve">trimmed ATE, then ATT, then ATO, and the switch is logged as a</w:t>
      </w:r>
      <w:r>
        <w:t xml:space="preserve"> </w:t>
      </w:r>
      <w:r>
        <w:t xml:space="preserve">design decision with the SEVERE verdict as its recorded trigger. For</w:t>
      </w:r>
      <w:r>
        <w:t xml:space="preserve"> </w:t>
      </w:r>
      <w:r>
        <w:t xml:space="preserve">C3 and C4 the recommendation is to proceed with the FLAG caveat</w:t>
      </w:r>
      <w:r>
        <w:t xml:space="preserve"> </w:t>
      </w:r>
      <w:r>
        <w:t xml:space="preserve">attached. Every recommendation was fixed, and the design log</w:t>
      </w:r>
      <w:r>
        <w:t xml:space="preserve"> </w:t>
      </w:r>
      <w:r>
        <w:t xml:space="preserve">exported, before the outcome store was joined.</w:t>
      </w:r>
    </w:p>
    <w:bookmarkEnd w:id="133"/>
    <w:bookmarkStart w:id="134" w:name="sec-casestudy-dq"/>
    <w:p>
      <w:pPr>
        <w:pStyle w:val="Heading2"/>
      </w:pPr>
      <w:r>
        <w:t xml:space="preserve">12.6 Candidate selection and the DQ stress test</w:t>
      </w:r>
    </w:p>
    <w:p>
      <w:pPr>
        <w:pStyle w:val="FirstParagraph"/>
      </w:pPr>
      <w:r>
        <w:t xml:space="preserve">Candidate selection and the data-quality stress test were run on the</w:t>
      </w:r>
      <w:r>
        <w:t xml:space="preserve"> </w:t>
      </w:r>
      <w:r>
        <w:t xml:space="preserve">PRIMARY cohort’s earlier single-contrast lock (functional outcome, four</w:t>
      </w:r>
      <w:r>
        <w:t xml:space="preserve"> </w:t>
      </w:r>
      <w:r>
        <w:t xml:space="preserve">TMLE candidates varying the propensity library and truncation:</w:t>
      </w:r>
      <w:r>
        <w:t xml:space="preserve"> </w:t>
      </w:r>
      <w:r>
        <w:rPr>
          <w:rStyle w:val="VerbatimChar"/>
        </w:rPr>
        <w:t xml:space="preserve">glm_t01</w:t>
      </w:r>
      <w:r>
        <w:t xml:space="preserve">,</w:t>
      </w:r>
      <w:r>
        <w:t xml:space="preserve"> </w:t>
      </w:r>
      <w:r>
        <w:rPr>
          <w:rStyle w:val="VerbatimChar"/>
        </w:rPr>
        <w:t xml:space="preserve">glmnet_t01</w:t>
      </w:r>
      <w:r>
        <w:t xml:space="preserve">,</w:t>
      </w:r>
      <w:r>
        <w:t xml:space="preserve"> </w:t>
      </w:r>
      <w:r>
        <w:rPr>
          <w:rStyle w:val="VerbatimChar"/>
        </w:rPr>
        <w:t xml:space="preserve">ensemble_t01</w:t>
      </w:r>
      <w:r>
        <w:t xml:space="preserve">,</w:t>
      </w:r>
      <w:r>
        <w:t xml:space="preserve"> </w:t>
      </w:r>
      <w:r>
        <w:rPr>
          <w:rStyle w:val="VerbatimChar"/>
        </w:rPr>
        <w:t xml:space="preserve">ensemble_t05</w:t>
      </w:r>
      <w:r>
        <w:t xml:space="preserve">), and we report</w:t>
      </w:r>
      <w:r>
        <w:t xml:space="preserve"> </w:t>
      </w:r>
      <w:r>
        <w:t xml:space="preserve">them from that run; the multi-arm rebuild reuses the locked candidate.</w:t>
      </w:r>
      <w:r>
        <w:t xml:space="preserve"> </w:t>
      </w:r>
      <w:r>
        <w:t xml:space="preserve">The Stage 2b feasibility plasmode metrics on the locked DGP are:</w:t>
      </w:r>
    </w:p>
    <w:p>
      <w:pPr>
        <w:pStyle w:val="TableCaption"/>
      </w:pPr>
      <w:r>
        <w:t xml:space="preserve">Stage 2b feasibility plasmode metrics (rescueCo lock, 50 replicates</w:t>
      </w:r>
      <w:r>
        <w:t xml:space="preserve"> </w:t>
      </w:r>
      <w:r>
        <w:t xml:space="preserve">per candidate, additive risk-difference effect of 0.05). On the</w:t>
      </w:r>
      <w:r>
        <w:t xml:space="preserve"> </w:t>
      </w:r>
      <w:r>
        <w:t xml:space="preserve">clean-data baseline the four candidates are nearly tied (RMSE within</w:t>
      </w:r>
      <w:r>
        <w:t xml:space="preserve"> </w:t>
      </w:r>
      <w:r>
        <w:t xml:space="preserve">0.0002), so the</w:t>
      </w:r>
      <w:r>
        <w:t xml:space="preserve"> </w:t>
      </w:r>
      <w:r>
        <w:rPr>
          <w:rStyle w:val="VerbatimChar"/>
        </w:rPr>
        <w:t xml:space="preserve">min_rmse</w:t>
      </w:r>
      <w:r>
        <w:t xml:space="preserve"> </w:t>
      </w:r>
      <w:r>
        <w:t xml:space="preserve">rule would pick</w:t>
      </w:r>
      <w:r>
        <w:t xml:space="preserve"> </w:t>
      </w:r>
      <w:r>
        <w:rPr>
          <w:rStyle w:val="VerbatimChar"/>
        </w:rPr>
        <w:t xml:space="preserve">glm_t01</w:t>
      </w:r>
      <w:r>
        <w:t xml:space="preserve">; under the</w:t>
      </w:r>
      <w:r>
        <w:t xml:space="preserve"> </w:t>
      </w:r>
      <w:r>
        <w:t xml:space="preserve">five-threat DQ sweep they separate, and the minimax rule picks</w:t>
      </w:r>
      <w:r>
        <w:t xml:space="preserve"> </w:t>
      </w:r>
      <w:r>
        <w:rPr>
          <w:rStyle w:val="VerbatimChar"/>
        </w:rPr>
        <w:t xml:space="preserve">ensemble_t05</w:t>
      </w:r>
      <w:r>
        <w:t xml:space="preserve"> </w:t>
      </w:r>
      <w:r>
        <w:t xml:space="preserve">instead.</w:t>
      </w:r>
    </w:p>
    <w:tbl>
      <w:tblPr>
        <w:tblStyle w:val="Table"/>
        <w:tblW w:type="auto" w:w="0"/>
        <w:tblLook w:firstRow="1" w:lastRow="0" w:firstColumn="0" w:lastColumn="0" w:noHBand="0" w:noVBand="0" w:val="0020"/>
        <w:tblCaption w:val="Stage 2b feasibility plasmode metrics (rescueCo lock, 50 replicates per candidate, additive risk-difference effect of 0.05). On the clean-data baseline the four candidates are nearly tied (RMSE within 0.0002), so the min_rmse rule would pick glm_t01; under the five-threat DQ sweep they separate, and the minimax rule picks ensemble_t05 instead."/>
      </w:tblPr>
      <w:tblGrid>
        <w:gridCol w:w="1980"/>
        <w:gridCol w:w="1980"/>
        <w:gridCol w:w="1980"/>
        <w:gridCol w:w="1980"/>
      </w:tblGrid>
      <w:tr>
        <w:trPr>
          <w:tblHeader w:val="on"/>
        </w:trPr>
        <w:tc>
          <w:tcPr/>
          <w:p>
            <w:pPr>
              <w:pStyle w:val="Compact"/>
            </w:pPr>
            <w:r>
              <w:t xml:space="preserve">Candidate</w:t>
            </w:r>
          </w:p>
        </w:tc>
        <w:tc>
          <w:tcPr/>
          <w:p>
            <w:pPr>
              <w:pStyle w:val="Compact"/>
              <w:jc w:val="right"/>
            </w:pPr>
            <w:r>
              <w:t xml:space="preserve">Bias</w:t>
            </w:r>
          </w:p>
        </w:tc>
        <w:tc>
          <w:tcPr/>
          <w:p>
            <w:pPr>
              <w:pStyle w:val="Compact"/>
              <w:jc w:val="right"/>
            </w:pPr>
            <w:r>
              <w:t xml:space="preserve">RMSE</w:t>
            </w:r>
          </w:p>
        </w:tc>
        <w:tc>
          <w:tcPr/>
          <w:p>
            <w:pPr>
              <w:pStyle w:val="Compact"/>
              <w:jc w:val="right"/>
            </w:pPr>
            <w:r>
              <w:t xml:space="preserve">Coverage</w:t>
            </w:r>
          </w:p>
        </w:tc>
      </w:tr>
      <w:tr>
        <w:tc>
          <w:tcPr/>
          <w:p>
            <w:pPr>
              <w:pStyle w:val="Compact"/>
            </w:pPr>
            <w:r>
              <w:rPr>
                <w:rStyle w:val="VerbatimChar"/>
              </w:rPr>
              <w:t xml:space="preserve">glm_t01</w:t>
            </w:r>
          </w:p>
        </w:tc>
        <w:tc>
          <w:tcPr/>
          <w:p>
            <w:pPr>
              <w:pStyle w:val="Compact"/>
              <w:jc w:val="right"/>
            </w:pPr>
            <w:r>
              <w:t xml:space="preserve">+0.00001</w:t>
            </w:r>
          </w:p>
        </w:tc>
        <w:tc>
          <w:tcPr/>
          <w:p>
            <w:pPr>
              <w:pStyle w:val="Compact"/>
              <w:jc w:val="right"/>
            </w:pPr>
            <w:r>
              <w:t xml:space="preserve">0.0134</w:t>
            </w:r>
          </w:p>
        </w:tc>
        <w:tc>
          <w:tcPr/>
          <w:p>
            <w:pPr>
              <w:pStyle w:val="Compact"/>
              <w:jc w:val="right"/>
            </w:pPr>
            <w:r>
              <w:t xml:space="preserve">0.92</w:t>
            </w:r>
          </w:p>
        </w:tc>
      </w:tr>
      <w:tr>
        <w:tc>
          <w:tcPr/>
          <w:p>
            <w:pPr>
              <w:pStyle w:val="Compact"/>
            </w:pPr>
            <w:r>
              <w:rPr>
                <w:rStyle w:val="VerbatimChar"/>
              </w:rPr>
              <w:t xml:space="preserve">ensemble_t05</w:t>
            </w:r>
          </w:p>
        </w:tc>
        <w:tc>
          <w:tcPr/>
          <w:p>
            <w:pPr>
              <w:pStyle w:val="Compact"/>
              <w:jc w:val="right"/>
            </w:pPr>
            <w:r>
              <w:t xml:space="preserve">+0.00076</w:t>
            </w:r>
          </w:p>
        </w:tc>
        <w:tc>
          <w:tcPr/>
          <w:p>
            <w:pPr>
              <w:pStyle w:val="Compact"/>
              <w:jc w:val="right"/>
            </w:pPr>
            <w:r>
              <w:t xml:space="preserve">0.0135</w:t>
            </w:r>
          </w:p>
        </w:tc>
        <w:tc>
          <w:tcPr/>
          <w:p>
            <w:pPr>
              <w:pStyle w:val="Compact"/>
              <w:jc w:val="right"/>
            </w:pPr>
            <w:r>
              <w:t xml:space="preserve">0.92</w:t>
            </w:r>
          </w:p>
        </w:tc>
      </w:tr>
      <w:tr>
        <w:tc>
          <w:tcPr/>
          <w:p>
            <w:pPr>
              <w:pStyle w:val="Compact"/>
            </w:pPr>
            <w:r>
              <w:rPr>
                <w:rStyle w:val="VerbatimChar"/>
              </w:rPr>
              <w:t xml:space="preserve">glmnet_t01</w:t>
            </w:r>
          </w:p>
        </w:tc>
        <w:tc>
          <w:tcPr/>
          <w:p>
            <w:pPr>
              <w:pStyle w:val="Compact"/>
              <w:jc w:val="right"/>
            </w:pPr>
            <w:r>
              <w:t xml:space="preserve">+0.00019</w:t>
            </w:r>
          </w:p>
        </w:tc>
        <w:tc>
          <w:tcPr/>
          <w:p>
            <w:pPr>
              <w:pStyle w:val="Compact"/>
              <w:jc w:val="right"/>
            </w:pPr>
            <w:r>
              <w:t xml:space="preserve">0.0135</w:t>
            </w:r>
          </w:p>
        </w:tc>
        <w:tc>
          <w:tcPr/>
          <w:p>
            <w:pPr>
              <w:pStyle w:val="Compact"/>
              <w:jc w:val="right"/>
            </w:pPr>
            <w:r>
              <w:t xml:space="preserve">0.92</w:t>
            </w:r>
          </w:p>
        </w:tc>
      </w:tr>
      <w:tr>
        <w:tc>
          <w:tcPr/>
          <w:p>
            <w:pPr>
              <w:pStyle w:val="Compact"/>
            </w:pPr>
            <w:r>
              <w:rPr>
                <w:rStyle w:val="VerbatimChar"/>
              </w:rPr>
              <w:t xml:space="preserve">ensemble_t01</w:t>
            </w:r>
          </w:p>
        </w:tc>
        <w:tc>
          <w:tcPr/>
          <w:p>
            <w:pPr>
              <w:pStyle w:val="Compact"/>
              <w:jc w:val="right"/>
            </w:pPr>
            <w:r>
              <w:t xml:space="preserve">+0.00082</w:t>
            </w:r>
          </w:p>
        </w:tc>
        <w:tc>
          <w:tcPr/>
          <w:p>
            <w:pPr>
              <w:pStyle w:val="Compact"/>
              <w:jc w:val="right"/>
            </w:pPr>
            <w:r>
              <w:t xml:space="preserve">0.0136</w:t>
            </w:r>
          </w:p>
        </w:tc>
        <w:tc>
          <w:tcPr/>
          <w:p>
            <w:pPr>
              <w:pStyle w:val="Compact"/>
              <w:jc w:val="right"/>
            </w:pPr>
            <w:r>
              <w:t xml:space="preserve">0.92</w:t>
            </w:r>
          </w:p>
        </w:tc>
      </w:tr>
    </w:tbl>
    <w:p>
      <w:pPr>
        <w:pStyle w:val="BodyText"/>
      </w:pPr>
      <w:r>
        <w:t xml:space="preserve">All four candidates pass the prespecified decision targets</w:t>
      </w:r>
      <w:r>
        <w:t xml:space="preserve"> </w:t>
      </w:r>
      <w:r>
        <w:t xml:space="preserve">(</w:t>
      </w:r>
      <w:r>
        <w:rPr>
          <w:rStyle w:val="VerbatimChar"/>
        </w:rPr>
        <w:t xml:space="preserve">max_abs_bias = 0.01</w:t>
      </w:r>
      <w:r>
        <w:t xml:space="preserve">,</w:t>
      </w:r>
      <w:r>
        <w:t xml:space="preserve"> </w:t>
      </w:r>
      <w:r>
        <w:rPr>
          <w:rStyle w:val="VerbatimChar"/>
        </w:rPr>
        <w:t xml:space="preserve">min_coverage = 0.90</w:t>
      </w:r>
      <w:r>
        <w:t xml:space="preserve">) on the clean-data</w:t>
      </w:r>
      <w:r>
        <w:t xml:space="preserve"> </w:t>
      </w:r>
      <w:r>
        <w:t xml:space="preserve">baseline, where their performance is nearly indistinguishable because</w:t>
      </w:r>
      <w:r>
        <w:t xml:space="preserve"> </w:t>
      </w:r>
      <w:r>
        <w:t xml:space="preserve">the propensity scores stay well inside the [0.01, 0.99] bounds</w:t>
      </w:r>
      <w:r>
        <w:t xml:space="preserve"> </w:t>
      </w:r>
      <w:r>
        <w:t xml:space="preserve">(range 0.21–0.81). Under the prespecified five-threat DQ sweep, the</w:t>
      </w:r>
      <w:r>
        <w:t xml:space="preserve"> </w:t>
      </w:r>
      <w:r>
        <w:t xml:space="preserve">worst-case RMSE ratio relative to baseline is 1.82 for</w:t>
      </w:r>
      <w:r>
        <w:t xml:space="preserve"> </w:t>
      </w:r>
      <w:r>
        <w:rPr>
          <w:rStyle w:val="VerbatimChar"/>
        </w:rPr>
        <w:t xml:space="preserve">glm_t01</w:t>
      </w:r>
      <w:r>
        <w:t xml:space="preserve">,</w:t>
      </w:r>
      <w:r>
        <w:t xml:space="preserve"> </w:t>
      </w:r>
      <w:r>
        <w:t xml:space="preserve">1.73 for</w:t>
      </w:r>
      <w:r>
        <w:t xml:space="preserve"> </w:t>
      </w:r>
      <w:r>
        <w:rPr>
          <w:rStyle w:val="VerbatimChar"/>
        </w:rPr>
        <w:t xml:space="preserve">glmnet_t01</w:t>
      </w:r>
      <w:r>
        <w:t xml:space="preserve">, 1.53 for</w:t>
      </w:r>
      <w:r>
        <w:t xml:space="preserve"> </w:t>
      </w:r>
      <w:r>
        <w:rPr>
          <w:rStyle w:val="VerbatimChar"/>
        </w:rPr>
        <w:t xml:space="preserve">ensemble_t01</w:t>
      </w:r>
      <w:r>
        <w:t xml:space="preserve">, and 1.27 for</w:t>
      </w:r>
      <w:r>
        <w:t xml:space="preserve"> </w:t>
      </w:r>
      <w:r>
        <w:rPr>
          <w:rStyle w:val="VerbatimChar"/>
        </w:rPr>
        <w:t xml:space="preserve">ensemble_t05</w:t>
      </w:r>
      <w:r>
        <w:t xml:space="preserve">; the largest contributor for each candidate is the</w:t>
      </w:r>
      <w:r>
        <w:t xml:space="preserve"> </w:t>
      </w:r>
      <w:r>
        <w:t xml:space="preserve">near-positivity threat at slope</w:t>
      </w:r>
      <w:r>
        <w:t xml:space="preserve"> </w:t>
      </w:r>
      <m:oMath>
        <m:r>
          <m:rPr>
            <m:sty m:val="p"/>
          </m:rPr>
          <m:t>×</m:t>
        </m:r>
        <m:r>
          <m:t>4</m:t>
        </m:r>
      </m:oMath>
      <w:r>
        <w:t xml:space="preserve">. The minimax rule therefore</w:t>
      </w:r>
      <w:r>
        <w:t xml:space="preserve"> </w:t>
      </w:r>
      <w:r>
        <w:t xml:space="preserve">locks</w:t>
      </w:r>
      <w:r>
        <w:t xml:space="preserve"> </w:t>
      </w:r>
      <w:r>
        <w:rPr>
          <w:rStyle w:val="VerbatimChar"/>
        </w:rPr>
        <w:t xml:space="preserve">ensemble_t05</w:t>
      </w:r>
      <w:r>
        <w:t xml:space="preserve"> </w:t>
      </w:r>
      <w:r>
        <w:t xml:space="preserve">(the heaviest truncation), while a baseline-only</w:t>
      </w:r>
      <w:r>
        <w:t xml:space="preserve"> </w:t>
      </w:r>
      <w:r>
        <w:t xml:space="preserve">rule would have locked</w:t>
      </w:r>
      <w:r>
        <w:t xml:space="preserve"> </w:t>
      </w:r>
      <w:r>
        <w:rPr>
          <w:rStyle w:val="VerbatimChar"/>
        </w:rPr>
        <w:t xml:space="preserve">glm_t01</w:t>
      </w:r>
      <w:r>
        <w:t xml:space="preserve"> </w:t>
      </w:r>
      <w:r>
        <w:t xml:space="preserve">(the lowest baseline RMSE, but also</w:t>
      </w:r>
      <w:r>
        <w:t xml:space="preserve"> </w:t>
      </w:r>
      <w:r>
        <w:t xml:space="preserve">the most fragile candidate under stress). This makes the case study a</w:t>
      </w:r>
      <w:r>
        <w:t xml:space="preserve"> </w:t>
      </w:r>
      <w:r>
        <w:t xml:space="preserve">real-data instance of the divergence reported in</w:t>
      </w:r>
      <w:r>
        <w:t xml:space="preserve"> </w:t>
      </w:r>
      <w:hyperlink w:anchor="sec-divergence">
        <w:r>
          <w:rPr>
            <w:rStyle w:val="Hyperlink"/>
          </w:rPr>
          <w:t xml:space="preserve">Section 10.4</w:t>
        </w:r>
      </w:hyperlink>
      <w:r>
        <w:t xml:space="preserve"> </w:t>
      </w:r>
      <w:r>
        <w:t xml:space="preserve">on a</w:t>
      </w:r>
      <w:r>
        <w:t xml:space="preserve"> </w:t>
      </w:r>
      <w:r>
        <w:t xml:space="preserve">constructed grid.</w:t>
      </w:r>
    </w:p>
    <w:p>
      <w:pPr>
        <w:pStyle w:val="BodyText"/>
      </w:pPr>
      <w:r>
        <w:t xml:space="preserve">All four candidates passed the prespecified operating targets on the</w:t>
      </w:r>
      <w:r>
        <w:t xml:space="preserve"> </w:t>
      </w:r>
      <w:r>
        <w:t xml:space="preserve">well-overlapped PRIMARY cohort, where their baseline performance is</w:t>
      </w:r>
      <w:r>
        <w:t xml:space="preserve"> </w:t>
      </w:r>
      <w:r>
        <w:t xml:space="preserve">nearly indistinguishable. The Stage 2c DQ stress test sweeps the</w:t>
      </w:r>
      <w:r>
        <w:t xml:space="preserve"> </w:t>
      </w:r>
      <w:r>
        <w:t xml:space="preserve">prespecified five-threat grid (near-positivity, covariate missingness</w:t>
      </w:r>
      <w:r>
        <w:t xml:space="preserve"> </w:t>
      </w:r>
      <w:r>
        <w:t xml:space="preserve">under MCAR/MAR/MNAR, treatment and outcome misclassification, and</w:t>
      </w:r>
      <w:r>
        <w:t xml:space="preserve"> </w:t>
      </w:r>
      <w:r>
        <w:t xml:space="preserve">unmeasured confounding) over the candidate grid, and the minimax rule</w:t>
      </w:r>
      <w:r>
        <w:t xml:space="preserve"> </w:t>
      </w:r>
      <w:r>
        <w:t xml:space="preserve">locks</w:t>
      </w:r>
      <w:r>
        <w:t xml:space="preserve"> </w:t>
      </w:r>
      <w:r>
        <w:rPr>
          <w:rStyle w:val="VerbatimChar"/>
        </w:rPr>
        <w:t xml:space="preserve">ensemble_t05</w:t>
      </w:r>
      <w:r>
        <w:t xml:space="preserve"> </w:t>
      </w:r>
      <w:r>
        <w:t xml:space="preserve">as the primary specification. This is itself a</w:t>
      </w:r>
      <w:r>
        <w:t xml:space="preserve"> </w:t>
      </w:r>
      <w:r>
        <w:t xml:space="preserve">divergence: the</w:t>
      </w:r>
      <w:r>
        <w:t xml:space="preserve"> </w:t>
      </w:r>
      <w:r>
        <w:rPr>
          <w:rStyle w:val="VerbatimChar"/>
        </w:rPr>
        <w:t xml:space="preserve">min_rmse</w:t>
      </w:r>
      <w:r>
        <w:t xml:space="preserve"> </w:t>
      </w:r>
      <w:r>
        <w:t xml:space="preserve">rule would pick</w:t>
      </w:r>
      <w:r>
        <w:t xml:space="preserve"> </w:t>
      </w:r>
      <w:r>
        <w:rPr>
          <w:rStyle w:val="VerbatimChar"/>
        </w:rPr>
        <w:t xml:space="preserve">glm_t01</w:t>
      </w:r>
      <w:r>
        <w:t xml:space="preserve"> </w:t>
      </w:r>
      <w:r>
        <w:t xml:space="preserve">(the lowest</w:t>
      </w:r>
      <w:r>
        <w:t xml:space="preserve"> </w:t>
      </w:r>
      <w:r>
        <w:t xml:space="preserve">baseline RMSE, 0.0134), but under the stress sweep</w:t>
      </w:r>
      <w:r>
        <w:t xml:space="preserve"> </w:t>
      </w:r>
      <w:r>
        <w:rPr>
          <w:rStyle w:val="VerbatimChar"/>
        </w:rPr>
        <w:t xml:space="preserve">glm_t01</w:t>
      </w:r>
      <w:r>
        <w:t xml:space="preserve"> </w:t>
      </w:r>
      <w:r>
        <w:t xml:space="preserve">has the</w:t>
      </w:r>
      <w:r>
        <w:t xml:space="preserve"> </w:t>
      </w:r>
      <w:r>
        <w:t xml:space="preserve">highest worst-case RMSE ratio (1.82, driven by the near-positivity</w:t>
      </w:r>
      <w:r>
        <w:t xml:space="preserve"> </w:t>
      </w:r>
      <w:r>
        <w:t xml:space="preserve">threat), while</w:t>
      </w:r>
      <w:r>
        <w:t xml:space="preserve"> </w:t>
      </w:r>
      <w:r>
        <w:rPr>
          <w:rStyle w:val="VerbatimChar"/>
        </w:rPr>
        <w:t xml:space="preserve">ensemble_t05</w:t>
      </w:r>
      <w:r>
        <w:t xml:space="preserve"> </w:t>
      </w:r>
      <w:r>
        <w:t xml:space="preserve">(which uses heavier truncation and a</w:t>
      </w:r>
      <w:r>
        <w:t xml:space="preserve"> </w:t>
      </w:r>
      <w:r>
        <w:t xml:space="preserve">small ensemble library) has the lowest (1.27). The case study</w:t>
      </w:r>
      <w:r>
        <w:t xml:space="preserve"> </w:t>
      </w:r>
      <w:r>
        <w:t xml:space="preserve">therefore reproduces, on a real-data lock, the same mechanism that the</w:t>
      </w:r>
      <w:r>
        <w:t xml:space="preserve"> </w:t>
      </w:r>
      <w:r>
        <w:t xml:space="preserve">constructed divergence study in</w:t>
      </w:r>
      <w:r>
        <w:t xml:space="preserve"> </w:t>
      </w:r>
      <w:hyperlink w:anchor="sec-divergence">
        <w:r>
          <w:rPr>
            <w:rStyle w:val="Hyperlink"/>
          </w:rPr>
          <w:t xml:space="preserve">Section 10.4</w:t>
        </w:r>
      </w:hyperlink>
      <w:r>
        <w:t xml:space="preserve"> </w:t>
      </w:r>
      <w:r>
        <w:t xml:space="preserve">demonstrates: a</w:t>
      </w:r>
      <w:r>
        <w:t xml:space="preserve"> </w:t>
      </w:r>
      <w:r>
        <w:t xml:space="preserve">candidate selected for clean-data efficiency is the most exposed under</w:t>
      </w:r>
      <w:r>
        <w:t xml:space="preserve"> </w:t>
      </w:r>
      <w:r>
        <w:t xml:space="preserve">the prespecified threat sweep, and the minimax rule reroutes the</w:t>
      </w:r>
      <w:r>
        <w:t xml:space="preserve"> </w:t>
      </w:r>
      <w:r>
        <w:t xml:space="preserve">selection toward a more robust specification. The reported result uses a</w:t>
      </w:r>
      <w:r>
        <w:t xml:space="preserve"> </w:t>
      </w:r>
      <w:r>
        <w:t xml:space="preserve">50-replicate run (</w:t>
      </w:r>
      <w:r>
        <w:rPr>
          <w:rStyle w:val="VerbatimChar"/>
        </w:rPr>
        <w:t xml:space="preserve">rescueCo/scripts/rescueco_dq_full.R</w:t>
      </w:r>
      <w:r>
        <w:t xml:space="preserve">, see</w:t>
      </w:r>
      <w:r>
        <w:t xml:space="preserve"> </w:t>
      </w:r>
      <w:hyperlink w:anchor="sec-reproducibility">
        <w:r>
          <w:rPr>
            <w:rStyle w:val="Hyperlink"/>
          </w:rPr>
          <w:t xml:space="preserve">Section 15</w:t>
        </w:r>
      </w:hyperlink>
      <w:r>
        <w:t xml:space="preserve">), an illustration below the 200-replicate bar we</w:t>
      </w:r>
      <w:r>
        <w:t xml:space="preserve"> </w:t>
      </w:r>
      <w:r>
        <w:t xml:space="preserve">adopt for inferential interpretation, consistent with the case study</w:t>
      </w:r>
      <w:r>
        <w:t xml:space="preserve"> </w:t>
      </w:r>
      <w:r>
        <w:t xml:space="preserve">being a workflow demonstration rather than confirmatory evidence; a</w:t>
      </w:r>
      <w:r>
        <w:t xml:space="preserve"> </w:t>
      </w:r>
      <w:r>
        <w:t xml:space="preserve">200-replicate confirmation is the analyst’s next step for a</w:t>
      </w:r>
      <w:r>
        <w:t xml:space="preserve"> </w:t>
      </w:r>
      <w:r>
        <w:t xml:space="preserve">submission-grade analysis. The 3-replicate configuration bundled with</w:t>
      </w:r>
      <w:r>
        <w:t xml:space="preserve"> </w:t>
      </w:r>
      <w:r>
        <w:t xml:space="preserve">the staged pipeline is a continuous-integration smoke test and is not</w:t>
      </w:r>
      <w:r>
        <w:t xml:space="preserve"> </w:t>
      </w:r>
      <w:r>
        <w:t xml:space="preserve">used for inference.</w:t>
      </w:r>
    </w:p>
    <w:bookmarkEnd w:id="134"/>
    <w:bookmarkStart w:id="136" w:name="effect-estimates"/>
    <w:p>
      <w:pPr>
        <w:pStyle w:val="Heading2"/>
      </w:pPr>
      <w:r>
        <w:t xml:space="preserve">12.7 Effect estimates</w:t>
      </w:r>
    </w:p>
    <w:p>
      <w:pPr>
        <w:pStyle w:val="FirstParagraph"/>
      </w:pPr>
      <w:r>
        <w:t xml:space="preserve">Estimation runs only after the design reports above are fixed.</w:t>
      </w:r>
      <w:r>
        <w:t xml:space="preserve"> </w:t>
      </w:r>
      <w:r>
        <w:rPr>
          <w:rStyle w:val="VerbatimChar"/>
        </w:rPr>
        <w:t xml:space="preserve">run_estimand_ladder()</w:t>
      </w:r>
      <w:r>
        <w:t xml:space="preserve"> </w:t>
      </w:r>
      <w:r>
        <w:t xml:space="preserve">executes per lock and outcome: the declared</w:t>
      </w:r>
      <w:r>
        <w:t xml:space="preserve"> </w:t>
      </w:r>
      <w:r>
        <w:t xml:space="preserve">primary (ATE) where the trigger was not met, and the feasible</w:t>
      </w:r>
      <w:r>
        <w:t xml:space="preserve"> </w:t>
      </w:r>
      <w:r>
        <w:t xml:space="preserve">fallbacks (trimmed ATE, ATT, ATO, with the matched ATT as</w:t>
      </w:r>
      <w:r>
        <w:t xml:space="preserve"> </w:t>
      </w:r>
      <w:r>
        <w:t xml:space="preserve">sensitivity) where it was. Each row carries its estimand label, the</w:t>
      </w:r>
      <w:r>
        <w:t xml:space="preserve"> </w:t>
      </w:r>
      <w:r>
        <w:t xml:space="preserve">lock’s support verdict, and the implausibility flags, and the design</w:t>
      </w:r>
      <w:r>
        <w:t xml:space="preserve"> </w:t>
      </w:r>
      <w:r>
        <w:t xml:space="preserve">log records the C1 and C2 switches with the SEVERE verdict as their</w:t>
      </w:r>
      <w:r>
        <w:t xml:space="preserve"> </w:t>
      </w:r>
      <w:r>
        <w:t xml:space="preserve">trigger.</w:t>
      </w:r>
      <w:r>
        <w:t xml:space="preserve"> </w:t>
      </w:r>
      <w:hyperlink w:anchor="tbl-cs-ladder">
        <w:r>
          <w:rPr>
            <w:rStyle w:val="Hyperlink"/>
          </w:rPr>
          <w:t xml:space="preserve">Table 11</w:t>
        </w:r>
      </w:hyperlink>
      <w:r>
        <w:t xml:space="preserve"> </w:t>
      </w:r>
      <w:r>
        <w:t xml:space="preserve">shows the six-month mortality rows.</w:t>
      </w:r>
    </w:p>
    <w:tbl>
      <w:tblPr>
        <w:tblStyle w:val="Table"/>
        <w:tblW w:type="pct" w:w="5000"/>
        <w:tblLayout w:type="fixed"/>
        <w:tblLook w:firstRow="0" w:lastRow="0" w:firstColumn="0" w:lastColumn="0" w:noHBand="0" w:noVBand="0" w:val="0000"/>
      </w:tblPr>
      <w:tblGrid>
        <w:gridCol w:w="7920"/>
      </w:tblGrid>
      <w:tr>
        <w:tc>
          <w:tcPr/>
          <w:bookmarkStart w:id="135" w:name="tbl-cs-ladder"/>
          <w:p>
            <w:pPr>
              <w:jc w:val="center"/>
            </w:pPr>
            <w:pPr>
              <w:jc w:val="start"/>
              <w:spacing w:before="200"/>
              <w:pStyle w:val="ImageCaption"/>
            </w:pPr>
            <w:r>
              <w:t xml:space="preserve">Table 11: Estimand-ladder estimates for six-month mortality</w:t>
            </w:r>
            <w:r>
              <w:t xml:space="preserve"> </w:t>
            </w:r>
            <w:r>
              <w:t xml:space="preserve">(risk differences), one row per contrast and feasible estimand,</w:t>
            </w:r>
            <w:r>
              <w:t xml:space="preserve"> </w:t>
            </w:r>
            <w:r>
              <w:t xml:space="preserve">produced by run_estimand_ladder() on the locked designs. C2 carries</w:t>
            </w:r>
            <w:r>
              <w:t xml:space="preserve"> </w:t>
            </w:r>
            <w:r>
              <w:t xml:space="preserve">no ATE row; the C1 ATE row is a logged reconciliation override and</w:t>
            </w:r>
            <w:r>
              <w:t xml:space="preserve"> </w:t>
            </w:r>
            <w:r>
              <w:t xml:space="preserve">carries its SEVERE verdict. Ladder switches and the override are in</w:t>
            </w:r>
            <w:r>
              <w:t xml:space="preserve"> </w:t>
            </w:r>
            <w:r>
              <w:t xml:space="preserve">the design log.</w:t>
            </w:r>
          </w:p>
          <w:tbl>
            <w:tblPr>
              <w:tblStyle w:val="Table"/>
              <w:tblW w:type="pct" w:w="5000"/>
              <w:tblLayout w:type="fixed"/>
              <w:tblLook w:firstRow="1" w:lastRow="0" w:firstColumn="0" w:lastColumn="0" w:noHBand="0" w:noVBand="0" w:val="0020"/>
            </w:tblPr>
            <w:tblGrid>
              <w:gridCol w:w="828"/>
              <w:gridCol w:w="1197"/>
              <w:gridCol w:w="1105"/>
              <w:gridCol w:w="460"/>
              <w:gridCol w:w="828"/>
              <w:gridCol w:w="1197"/>
              <w:gridCol w:w="1197"/>
              <w:gridCol w:w="1105"/>
            </w:tblGrid>
            <w:tr>
              <w:trPr>
                <w:tblHeader w:val="on"/>
              </w:trPr>
              <w:tc>
                <w:tcPr/>
                <w:p>
                  <w:pPr>
                    <w:pStyle w:val="Compact"/>
                    <w:jc w:val="left"/>
                    <w:jc w:val="center"/>
                  </w:pPr>
                  <w:r>
                    <w:t xml:space="preserve">contrast</w:t>
                  </w:r>
                </w:p>
              </w:tc>
              <w:tc>
                <w:tcPr/>
                <w:p>
                  <w:pPr>
                    <w:pStyle w:val="Compact"/>
                    <w:jc w:val="left"/>
                    <w:jc w:val="center"/>
                  </w:pPr>
                  <w:r>
                    <w:t xml:space="preserve">outcome</w:t>
                  </w:r>
                </w:p>
              </w:tc>
              <w:tc>
                <w:tcPr/>
                <w:p>
                  <w:pPr>
                    <w:pStyle w:val="Compact"/>
                    <w:jc w:val="left"/>
                    <w:jc w:val="center"/>
                  </w:pPr>
                  <w:r>
                    <w:t xml:space="preserve">estimand</w:t>
                  </w:r>
                </w:p>
              </w:tc>
              <w:tc>
                <w:tcPr/>
                <w:p>
                  <w:pPr>
                    <w:pStyle w:val="Compact"/>
                    <w:jc w:val="right"/>
                    <w:jc w:val="center"/>
                  </w:pPr>
                  <w:r>
                    <w:t xml:space="preserve">n</w:t>
                  </w:r>
                </w:p>
              </w:tc>
              <w:tc>
                <w:tcPr/>
                <w:p>
                  <w:pPr>
                    <w:pStyle w:val="Compact"/>
                    <w:jc w:val="right"/>
                    <w:jc w:val="center"/>
                  </w:pPr>
                  <w:r>
                    <w:t xml:space="preserve">estimate</w:t>
                  </w:r>
                </w:p>
              </w:tc>
              <w:tc>
                <w:tcPr/>
                <w:p>
                  <w:pPr>
                    <w:pStyle w:val="Compact"/>
                    <w:jc w:val="right"/>
                    <w:jc w:val="center"/>
                  </w:pPr>
                  <w:r>
                    <w:t xml:space="preserve">95% CI lower</w:t>
                  </w:r>
                </w:p>
              </w:tc>
              <w:tc>
                <w:tcPr/>
                <w:p>
                  <w:pPr>
                    <w:pStyle w:val="Compact"/>
                    <w:jc w:val="right"/>
                    <w:jc w:val="center"/>
                  </w:pPr>
                  <w:r>
                    <w:t xml:space="preserve">95% CI upper</w:t>
                  </w:r>
                </w:p>
              </w:tc>
              <w:tc>
                <w:tcPr/>
                <w:p>
                  <w:pPr>
                    <w:pStyle w:val="Compact"/>
                    <w:jc w:val="left"/>
                    <w:jc w:val="center"/>
                  </w:pPr>
                  <w:r>
                    <w:t xml:space="preserve">implausible</w:t>
                  </w:r>
                </w:p>
              </w:tc>
            </w:tr>
            <w:tr>
              <w:tc>
                <w:tcPr/>
                <w:p>
                  <w:pPr>
                    <w:pStyle w:val="Compact"/>
                    <w:jc w:val="left"/>
                    <w:jc w:val="center"/>
                  </w:pPr>
                  <w:r>
                    <w:t xml:space="preserve">C1</w:t>
                  </w:r>
                </w:p>
              </w:tc>
              <w:tc>
                <w:tcPr/>
                <w:p>
                  <w:pPr>
                    <w:pStyle w:val="Compact"/>
                    <w:jc w:val="left"/>
                    <w:jc w:val="center"/>
                  </w:pPr>
                  <w:r>
                    <w:t xml:space="preserve">death_by_6mo</w:t>
                  </w:r>
                </w:p>
              </w:tc>
              <w:tc>
                <w:tcPr/>
                <w:p>
                  <w:pPr>
                    <w:pStyle w:val="Compact"/>
                    <w:jc w:val="left"/>
                    <w:jc w:val="center"/>
                  </w:pPr>
                  <w:r>
                    <w:t xml:space="preserve">ATE</w:t>
                  </w:r>
                </w:p>
              </w:tc>
              <w:tc>
                <w:tcPr/>
                <w:p>
                  <w:pPr>
                    <w:pStyle w:val="Compact"/>
                    <w:jc w:val="right"/>
                    <w:jc w:val="center"/>
                  </w:pPr>
                  <w:r>
                    <w:t xml:space="preserve">8323</w:t>
                  </w:r>
                </w:p>
              </w:tc>
              <w:tc>
                <w:tcPr/>
                <w:p>
                  <w:pPr>
                    <w:pStyle w:val="Compact"/>
                    <w:jc w:val="right"/>
                    <w:jc w:val="center"/>
                  </w:pPr>
                  <w:r>
                    <w:t xml:space="preserve">0.0056</w:t>
                  </w:r>
                </w:p>
              </w:tc>
              <w:tc>
                <w:tcPr/>
                <w:p>
                  <w:pPr>
                    <w:pStyle w:val="Compact"/>
                    <w:jc w:val="right"/>
                    <w:jc w:val="center"/>
                  </w:pPr>
                  <w:r>
                    <w:t xml:space="preserve">-0.0172</w:t>
                  </w:r>
                </w:p>
              </w:tc>
              <w:tc>
                <w:tcPr/>
                <w:p>
                  <w:pPr>
                    <w:pStyle w:val="Compact"/>
                    <w:jc w:val="right"/>
                    <w:jc w:val="center"/>
                  </w:pPr>
                  <w:r>
                    <w:t xml:space="preserve">0.0284</w:t>
                  </w:r>
                </w:p>
              </w:tc>
              <w:tc>
                <w:tcPr/>
                <w:p>
                  <w:pPr>
                    <w:pStyle w:val="Compact"/>
                  </w:pPr>
                </w:p>
              </w:tc>
            </w:tr>
            <w:tr>
              <w:tc>
                <w:tcPr/>
                <w:p>
                  <w:pPr>
                    <w:pStyle w:val="Compact"/>
                    <w:jc w:val="left"/>
                    <w:jc w:val="center"/>
                  </w:pPr>
                  <w:r>
                    <w:t xml:space="preserve">C1</w:t>
                  </w:r>
                </w:p>
              </w:tc>
              <w:tc>
                <w:tcPr/>
                <w:p>
                  <w:pPr>
                    <w:pStyle w:val="Compact"/>
                    <w:jc w:val="left"/>
                    <w:jc w:val="center"/>
                  </w:pPr>
                  <w:r>
                    <w:t xml:space="preserve">death_by_6mo</w:t>
                  </w:r>
                </w:p>
              </w:tc>
              <w:tc>
                <w:tcPr/>
                <w:p>
                  <w:pPr>
                    <w:pStyle w:val="Compact"/>
                    <w:jc w:val="left"/>
                    <w:jc w:val="center"/>
                  </w:pPr>
                  <w:r>
                    <w:t xml:space="preserve">trimmed_ATE</w:t>
                  </w:r>
                </w:p>
              </w:tc>
              <w:tc>
                <w:tcPr/>
                <w:p>
                  <w:pPr>
                    <w:pStyle w:val="Compact"/>
                    <w:jc w:val="right"/>
                    <w:jc w:val="center"/>
                  </w:pPr>
                  <w:r>
                    <w:t xml:space="preserve">4946</w:t>
                  </w:r>
                </w:p>
              </w:tc>
              <w:tc>
                <w:tcPr/>
                <w:p>
                  <w:pPr>
                    <w:pStyle w:val="Compact"/>
                    <w:jc w:val="right"/>
                    <w:jc w:val="center"/>
                  </w:pPr>
                  <w:r>
                    <w:t xml:space="preserve">0.0060</w:t>
                  </w:r>
                </w:p>
              </w:tc>
              <w:tc>
                <w:tcPr/>
                <w:p>
                  <w:pPr>
                    <w:pStyle w:val="Compact"/>
                    <w:jc w:val="right"/>
                    <w:jc w:val="center"/>
                  </w:pPr>
                  <w:r>
                    <w:t xml:space="preserve">-0.0065</w:t>
                  </w:r>
                </w:p>
              </w:tc>
              <w:tc>
                <w:tcPr/>
                <w:p>
                  <w:pPr>
                    <w:pStyle w:val="Compact"/>
                    <w:jc w:val="right"/>
                    <w:jc w:val="center"/>
                  </w:pPr>
                  <w:r>
                    <w:t xml:space="preserve">0.0184</w:t>
                  </w:r>
                </w:p>
              </w:tc>
              <w:tc>
                <w:tcPr/>
                <w:p>
                  <w:pPr>
                    <w:pStyle w:val="Compact"/>
                  </w:pPr>
                </w:p>
              </w:tc>
            </w:tr>
            <w:tr>
              <w:tc>
                <w:tcPr/>
                <w:p>
                  <w:pPr>
                    <w:pStyle w:val="Compact"/>
                    <w:jc w:val="left"/>
                    <w:jc w:val="center"/>
                  </w:pPr>
                  <w:r>
                    <w:t xml:space="preserve">C1</w:t>
                  </w:r>
                </w:p>
              </w:tc>
              <w:tc>
                <w:tcPr/>
                <w:p>
                  <w:pPr>
                    <w:pStyle w:val="Compact"/>
                    <w:jc w:val="left"/>
                    <w:jc w:val="center"/>
                  </w:pPr>
                  <w:r>
                    <w:t xml:space="preserve">death_by_6mo</w:t>
                  </w:r>
                </w:p>
              </w:tc>
              <w:tc>
                <w:tcPr/>
                <w:p>
                  <w:pPr>
                    <w:pStyle w:val="Compact"/>
                    <w:jc w:val="left"/>
                    <w:jc w:val="center"/>
                  </w:pPr>
                  <w:r>
                    <w:t xml:space="preserve">ATT</w:t>
                  </w:r>
                </w:p>
              </w:tc>
              <w:tc>
                <w:tcPr/>
                <w:p>
                  <w:pPr>
                    <w:pStyle w:val="Compact"/>
                    <w:jc w:val="right"/>
                    <w:jc w:val="center"/>
                  </w:pPr>
                  <w:r>
                    <w:t xml:space="preserve">6557</w:t>
                  </w:r>
                </w:p>
              </w:tc>
              <w:tc>
                <w:tcPr/>
                <w:p>
                  <w:pPr>
                    <w:pStyle w:val="Compact"/>
                    <w:jc w:val="right"/>
                    <w:jc w:val="center"/>
                  </w:pPr>
                  <w:r>
                    <w:t xml:space="preserve">-0.0050</w:t>
                  </w:r>
                </w:p>
              </w:tc>
              <w:tc>
                <w:tcPr/>
                <w:p>
                  <w:pPr>
                    <w:pStyle w:val="Compact"/>
                    <w:jc w:val="right"/>
                    <w:jc w:val="center"/>
                  </w:pPr>
                  <w:r>
                    <w:t xml:space="preserve">-0.0177</w:t>
                  </w:r>
                </w:p>
              </w:tc>
              <w:tc>
                <w:tcPr/>
                <w:p>
                  <w:pPr>
                    <w:pStyle w:val="Compact"/>
                    <w:jc w:val="right"/>
                    <w:jc w:val="center"/>
                  </w:pPr>
                  <w:r>
                    <w:t xml:space="preserve">0.0076</w:t>
                  </w:r>
                </w:p>
              </w:tc>
              <w:tc>
                <w:tcPr/>
                <w:p>
                  <w:pPr>
                    <w:pStyle w:val="Compact"/>
                  </w:pPr>
                </w:p>
              </w:tc>
            </w:tr>
            <w:tr>
              <w:tc>
                <w:tcPr/>
                <w:p>
                  <w:pPr>
                    <w:pStyle w:val="Compact"/>
                    <w:jc w:val="left"/>
                    <w:jc w:val="center"/>
                  </w:pPr>
                  <w:r>
                    <w:t xml:space="preserve">C1</w:t>
                  </w:r>
                </w:p>
              </w:tc>
              <w:tc>
                <w:tcPr/>
                <w:p>
                  <w:pPr>
                    <w:pStyle w:val="Compact"/>
                    <w:jc w:val="left"/>
                    <w:jc w:val="center"/>
                  </w:pPr>
                  <w:r>
                    <w:t xml:space="preserve">death_by_6mo</w:t>
                  </w:r>
                </w:p>
              </w:tc>
              <w:tc>
                <w:tcPr/>
                <w:p>
                  <w:pPr>
                    <w:pStyle w:val="Compact"/>
                    <w:jc w:val="left"/>
                    <w:jc w:val="center"/>
                  </w:pPr>
                  <w:r>
                    <w:t xml:space="preserve">ATO</w:t>
                  </w:r>
                </w:p>
              </w:tc>
              <w:tc>
                <w:tcPr/>
                <w:p>
                  <w:pPr>
                    <w:pStyle w:val="Compact"/>
                    <w:jc w:val="right"/>
                    <w:jc w:val="center"/>
                  </w:pPr>
                  <w:r>
                    <w:t xml:space="preserve">6557</w:t>
                  </w:r>
                </w:p>
              </w:tc>
              <w:tc>
                <w:tcPr/>
                <w:p>
                  <w:pPr>
                    <w:pStyle w:val="Compact"/>
                    <w:jc w:val="right"/>
                    <w:jc w:val="center"/>
                  </w:pPr>
                  <w:r>
                    <w:t xml:space="preserve">0.0004</w:t>
                  </w:r>
                </w:p>
              </w:tc>
              <w:tc>
                <w:tcPr/>
                <w:p>
                  <w:pPr>
                    <w:pStyle w:val="Compact"/>
                    <w:jc w:val="right"/>
                    <w:jc w:val="center"/>
                  </w:pPr>
                  <w:r>
                    <w:t xml:space="preserve">-0.0111</w:t>
                  </w:r>
                </w:p>
              </w:tc>
              <w:tc>
                <w:tcPr/>
                <w:p>
                  <w:pPr>
                    <w:pStyle w:val="Compact"/>
                    <w:jc w:val="right"/>
                    <w:jc w:val="center"/>
                  </w:pPr>
                  <w:r>
                    <w:t xml:space="preserve">0.0119</w:t>
                  </w:r>
                </w:p>
              </w:tc>
              <w:tc>
                <w:tcPr/>
                <w:p>
                  <w:pPr>
                    <w:pStyle w:val="Compact"/>
                  </w:pPr>
                </w:p>
              </w:tc>
            </w:tr>
            <w:tr>
              <w:tc>
                <w:tcPr/>
                <w:p>
                  <w:pPr>
                    <w:pStyle w:val="Compact"/>
                    <w:jc w:val="left"/>
                    <w:jc w:val="center"/>
                  </w:pPr>
                  <w:r>
                    <w:t xml:space="preserve">C2</w:t>
                  </w:r>
                </w:p>
              </w:tc>
              <w:tc>
                <w:tcPr/>
                <w:p>
                  <w:pPr>
                    <w:pStyle w:val="Compact"/>
                    <w:jc w:val="left"/>
                    <w:jc w:val="center"/>
                  </w:pPr>
                  <w:r>
                    <w:t xml:space="preserve">death_by_6mo</w:t>
                  </w:r>
                </w:p>
              </w:tc>
              <w:tc>
                <w:tcPr/>
                <w:p>
                  <w:pPr>
                    <w:pStyle w:val="Compact"/>
                    <w:jc w:val="left"/>
                    <w:jc w:val="center"/>
                  </w:pPr>
                  <w:r>
                    <w:t xml:space="preserve">trimmed_ATE</w:t>
                  </w:r>
                </w:p>
              </w:tc>
              <w:tc>
                <w:tcPr/>
                <w:p>
                  <w:pPr>
                    <w:pStyle w:val="Compact"/>
                    <w:jc w:val="right"/>
                    <w:jc w:val="center"/>
                  </w:pPr>
                  <w:r>
                    <w:t xml:space="preserve">4327</w:t>
                  </w:r>
                </w:p>
              </w:tc>
              <w:tc>
                <w:tcPr/>
                <w:p>
                  <w:pPr>
                    <w:pStyle w:val="Compact"/>
                    <w:jc w:val="right"/>
                    <w:jc w:val="center"/>
                  </w:pPr>
                  <w:r>
                    <w:t xml:space="preserve">0.0032</w:t>
                  </w:r>
                </w:p>
              </w:tc>
              <w:tc>
                <w:tcPr/>
                <w:p>
                  <w:pPr>
                    <w:pStyle w:val="Compact"/>
                    <w:jc w:val="right"/>
                    <w:jc w:val="center"/>
                  </w:pPr>
                  <w:r>
                    <w:t xml:space="preserve">-0.0080</w:t>
                  </w:r>
                </w:p>
              </w:tc>
              <w:tc>
                <w:tcPr/>
                <w:p>
                  <w:pPr>
                    <w:pStyle w:val="Compact"/>
                    <w:jc w:val="right"/>
                    <w:jc w:val="center"/>
                  </w:pPr>
                  <w:r>
                    <w:t xml:space="preserve">0.0145</w:t>
                  </w:r>
                </w:p>
              </w:tc>
              <w:tc>
                <w:tcPr/>
                <w:p>
                  <w:pPr>
                    <w:pStyle w:val="Compact"/>
                  </w:pPr>
                </w:p>
              </w:tc>
            </w:tr>
            <w:tr>
              <w:tc>
                <w:tcPr/>
                <w:p>
                  <w:pPr>
                    <w:pStyle w:val="Compact"/>
                    <w:jc w:val="left"/>
                    <w:jc w:val="center"/>
                  </w:pPr>
                  <w:r>
                    <w:t xml:space="preserve">C2</w:t>
                  </w:r>
                </w:p>
              </w:tc>
              <w:tc>
                <w:tcPr/>
                <w:p>
                  <w:pPr>
                    <w:pStyle w:val="Compact"/>
                    <w:jc w:val="left"/>
                    <w:jc w:val="center"/>
                  </w:pPr>
                  <w:r>
                    <w:t xml:space="preserve">death_by_6mo</w:t>
                  </w:r>
                </w:p>
              </w:tc>
              <w:tc>
                <w:tcPr/>
                <w:p>
                  <w:pPr>
                    <w:pStyle w:val="Compact"/>
                    <w:jc w:val="left"/>
                    <w:jc w:val="center"/>
                  </w:pPr>
                  <w:r>
                    <w:t xml:space="preserve">ATT</w:t>
                  </w:r>
                </w:p>
              </w:tc>
              <w:tc>
                <w:tcPr/>
                <w:p>
                  <w:pPr>
                    <w:pStyle w:val="Compact"/>
                    <w:jc w:val="right"/>
                    <w:jc w:val="center"/>
                  </w:pPr>
                  <w:r>
                    <w:t xml:space="preserve">5632</w:t>
                  </w:r>
                </w:p>
              </w:tc>
              <w:tc>
                <w:tcPr/>
                <w:p>
                  <w:pPr>
                    <w:pStyle w:val="Compact"/>
                    <w:jc w:val="right"/>
                    <w:jc w:val="center"/>
                  </w:pPr>
                  <w:r>
                    <w:t xml:space="preserve">0.0008</w:t>
                  </w:r>
                </w:p>
              </w:tc>
              <w:tc>
                <w:tcPr/>
                <w:p>
                  <w:pPr>
                    <w:pStyle w:val="Compact"/>
                    <w:jc w:val="right"/>
                    <w:jc w:val="center"/>
                  </w:pPr>
                  <w:r>
                    <w:t xml:space="preserve">-0.0141</w:t>
                  </w:r>
                </w:p>
              </w:tc>
              <w:tc>
                <w:tcPr/>
                <w:p>
                  <w:pPr>
                    <w:pStyle w:val="Compact"/>
                    <w:jc w:val="right"/>
                    <w:jc w:val="center"/>
                  </w:pPr>
                  <w:r>
                    <w:t xml:space="preserve">0.0156</w:t>
                  </w:r>
                </w:p>
              </w:tc>
              <w:tc>
                <w:tcPr/>
                <w:p>
                  <w:pPr>
                    <w:pStyle w:val="Compact"/>
                  </w:pPr>
                </w:p>
              </w:tc>
            </w:tr>
            <w:tr>
              <w:tc>
                <w:tcPr/>
                <w:p>
                  <w:pPr>
                    <w:pStyle w:val="Compact"/>
                    <w:jc w:val="left"/>
                    <w:jc w:val="center"/>
                  </w:pPr>
                  <w:r>
                    <w:t xml:space="preserve">C2</w:t>
                  </w:r>
                </w:p>
              </w:tc>
              <w:tc>
                <w:tcPr/>
                <w:p>
                  <w:pPr>
                    <w:pStyle w:val="Compact"/>
                    <w:jc w:val="left"/>
                    <w:jc w:val="center"/>
                  </w:pPr>
                  <w:r>
                    <w:t xml:space="preserve">death_by_6mo</w:t>
                  </w:r>
                </w:p>
              </w:tc>
              <w:tc>
                <w:tcPr/>
                <w:p>
                  <w:pPr>
                    <w:pStyle w:val="Compact"/>
                    <w:jc w:val="left"/>
                    <w:jc w:val="center"/>
                  </w:pPr>
                  <w:r>
                    <w:t xml:space="preserve">ATO</w:t>
                  </w:r>
                </w:p>
              </w:tc>
              <w:tc>
                <w:tcPr/>
                <w:p>
                  <w:pPr>
                    <w:pStyle w:val="Compact"/>
                    <w:jc w:val="right"/>
                    <w:jc w:val="center"/>
                  </w:pPr>
                  <w:r>
                    <w:t xml:space="preserve">5632</w:t>
                  </w:r>
                </w:p>
              </w:tc>
              <w:tc>
                <w:tcPr/>
                <w:p>
                  <w:pPr>
                    <w:pStyle w:val="Compact"/>
                    <w:jc w:val="right"/>
                    <w:jc w:val="center"/>
                  </w:pPr>
                  <w:r>
                    <w:t xml:space="preserve">0.0051</w:t>
                  </w:r>
                </w:p>
              </w:tc>
              <w:tc>
                <w:tcPr/>
                <w:p>
                  <w:pPr>
                    <w:pStyle w:val="Compact"/>
                    <w:jc w:val="right"/>
                    <w:jc w:val="center"/>
                  </w:pPr>
                  <w:r>
                    <w:t xml:space="preserve">-0.0062</w:t>
                  </w:r>
                </w:p>
              </w:tc>
              <w:tc>
                <w:tcPr/>
                <w:p>
                  <w:pPr>
                    <w:pStyle w:val="Compact"/>
                    <w:jc w:val="right"/>
                    <w:jc w:val="center"/>
                  </w:pPr>
                  <w:r>
                    <w:t xml:space="preserve">0.0164</w:t>
                  </w:r>
                </w:p>
              </w:tc>
              <w:tc>
                <w:tcPr/>
                <w:p>
                  <w:pPr>
                    <w:pStyle w:val="Compact"/>
                  </w:pPr>
                </w:p>
              </w:tc>
            </w:tr>
            <w:tr>
              <w:tc>
                <w:tcPr/>
                <w:p>
                  <w:pPr>
                    <w:pStyle w:val="Compact"/>
                    <w:jc w:val="left"/>
                    <w:jc w:val="center"/>
                  </w:pPr>
                  <w:r>
                    <w:t xml:space="preserve">C3</w:t>
                  </w:r>
                </w:p>
              </w:tc>
              <w:tc>
                <w:tcPr/>
                <w:p>
                  <w:pPr>
                    <w:pStyle w:val="Compact"/>
                    <w:jc w:val="left"/>
                    <w:jc w:val="center"/>
                  </w:pPr>
                  <w:r>
                    <w:t xml:space="preserve">death_by_6mo</w:t>
                  </w:r>
                </w:p>
              </w:tc>
              <w:tc>
                <w:tcPr/>
                <w:p>
                  <w:pPr>
                    <w:pStyle w:val="Compact"/>
                    <w:jc w:val="left"/>
                    <w:jc w:val="center"/>
                  </w:pPr>
                  <w:r>
                    <w:t xml:space="preserve">ATE</w:t>
                  </w:r>
                </w:p>
              </w:tc>
              <w:tc>
                <w:tcPr/>
                <w:p>
                  <w:pPr>
                    <w:pStyle w:val="Compact"/>
                    <w:jc w:val="right"/>
                    <w:jc w:val="center"/>
                  </w:pPr>
                  <w:r>
                    <w:t xml:space="preserve">8323</w:t>
                  </w:r>
                </w:p>
              </w:tc>
              <w:tc>
                <w:tcPr/>
                <w:p>
                  <w:pPr>
                    <w:pStyle w:val="Compact"/>
                    <w:jc w:val="right"/>
                    <w:jc w:val="center"/>
                  </w:pPr>
                  <w:r>
                    <w:t xml:space="preserve">0.0179</w:t>
                  </w:r>
                </w:p>
              </w:tc>
              <w:tc>
                <w:tcPr/>
                <w:p>
                  <w:pPr>
                    <w:pStyle w:val="Compact"/>
                    <w:jc w:val="right"/>
                    <w:jc w:val="center"/>
                  </w:pPr>
                  <w:r>
                    <w:t xml:space="preserve">0.0079</w:t>
                  </w:r>
                </w:p>
              </w:tc>
              <w:tc>
                <w:tcPr/>
                <w:p>
                  <w:pPr>
                    <w:pStyle w:val="Compact"/>
                    <w:jc w:val="right"/>
                    <w:jc w:val="center"/>
                  </w:pPr>
                  <w:r>
                    <w:t xml:space="preserve">0.0278</w:t>
                  </w:r>
                </w:p>
              </w:tc>
              <w:tc>
                <w:tcPr/>
                <w:p>
                  <w:pPr>
                    <w:pStyle w:val="Compact"/>
                  </w:pPr>
                </w:p>
              </w:tc>
            </w:tr>
            <w:tr>
              <w:tc>
                <w:tcPr/>
                <w:p>
                  <w:pPr>
                    <w:pStyle w:val="Compact"/>
                    <w:jc w:val="left"/>
                    <w:jc w:val="center"/>
                  </w:pPr>
                  <w:r>
                    <w:t xml:space="preserve">C3</w:t>
                  </w:r>
                </w:p>
              </w:tc>
              <w:tc>
                <w:tcPr/>
                <w:p>
                  <w:pPr>
                    <w:pStyle w:val="Compact"/>
                    <w:jc w:val="left"/>
                    <w:jc w:val="center"/>
                  </w:pPr>
                  <w:r>
                    <w:t xml:space="preserve">death_by_6mo</w:t>
                  </w:r>
                </w:p>
              </w:tc>
              <w:tc>
                <w:tcPr/>
                <w:p>
                  <w:pPr>
                    <w:pStyle w:val="Compact"/>
                    <w:jc w:val="left"/>
                    <w:jc w:val="center"/>
                  </w:pPr>
                  <w:r>
                    <w:t xml:space="preserve">trimmed_ATE</w:t>
                  </w:r>
                </w:p>
              </w:tc>
              <w:tc>
                <w:tcPr/>
                <w:p>
                  <w:pPr>
                    <w:pStyle w:val="Compact"/>
                    <w:jc w:val="right"/>
                    <w:jc w:val="center"/>
                  </w:pPr>
                  <w:r>
                    <w:t xml:space="preserve">8009</w:t>
                  </w:r>
                </w:p>
              </w:tc>
              <w:tc>
                <w:tcPr/>
                <w:p>
                  <w:pPr>
                    <w:pStyle w:val="Compact"/>
                    <w:jc w:val="right"/>
                    <w:jc w:val="center"/>
                  </w:pPr>
                  <w:r>
                    <w:t xml:space="preserve">0.0186</w:t>
                  </w:r>
                </w:p>
              </w:tc>
              <w:tc>
                <w:tcPr/>
                <w:p>
                  <w:pPr>
                    <w:pStyle w:val="Compact"/>
                    <w:jc w:val="right"/>
                    <w:jc w:val="center"/>
                  </w:pPr>
                  <w:r>
                    <w:t xml:space="preserve">0.0082</w:t>
                  </w:r>
                </w:p>
              </w:tc>
              <w:tc>
                <w:tcPr/>
                <w:p>
                  <w:pPr>
                    <w:pStyle w:val="Compact"/>
                    <w:jc w:val="right"/>
                    <w:jc w:val="center"/>
                  </w:pPr>
                  <w:r>
                    <w:t xml:space="preserve">0.0290</w:t>
                  </w:r>
                </w:p>
              </w:tc>
              <w:tc>
                <w:tcPr/>
                <w:p>
                  <w:pPr>
                    <w:pStyle w:val="Compact"/>
                  </w:pPr>
                </w:p>
              </w:tc>
            </w:tr>
            <w:tr>
              <w:tc>
                <w:tcPr/>
                <w:p>
                  <w:pPr>
                    <w:pStyle w:val="Compact"/>
                    <w:jc w:val="left"/>
                    <w:jc w:val="center"/>
                  </w:pPr>
                  <w:r>
                    <w:t xml:space="preserve">C3</w:t>
                  </w:r>
                </w:p>
              </w:tc>
              <w:tc>
                <w:tcPr/>
                <w:p>
                  <w:pPr>
                    <w:pStyle w:val="Compact"/>
                    <w:jc w:val="left"/>
                    <w:jc w:val="center"/>
                  </w:pPr>
                  <w:r>
                    <w:t xml:space="preserve">death_by_6mo</w:t>
                  </w:r>
                </w:p>
              </w:tc>
              <w:tc>
                <w:tcPr/>
                <w:p>
                  <w:pPr>
                    <w:pStyle w:val="Compact"/>
                    <w:jc w:val="left"/>
                    <w:jc w:val="center"/>
                  </w:pPr>
                  <w:r>
                    <w:t xml:space="preserve">ATT</w:t>
                  </w:r>
                </w:p>
              </w:tc>
              <w:tc>
                <w:tcPr/>
                <w:p>
                  <w:pPr>
                    <w:pStyle w:val="Compact"/>
                    <w:jc w:val="right"/>
                    <w:jc w:val="center"/>
                  </w:pPr>
                  <w:r>
                    <w:t xml:space="preserve">6557</w:t>
                  </w:r>
                </w:p>
              </w:tc>
              <w:tc>
                <w:tcPr/>
                <w:p>
                  <w:pPr>
                    <w:pStyle w:val="Compact"/>
                    <w:jc w:val="right"/>
                    <w:jc w:val="center"/>
                  </w:pPr>
                  <w:r>
                    <w:t xml:space="preserve">0.0195</w:t>
                  </w:r>
                </w:p>
              </w:tc>
              <w:tc>
                <w:tcPr/>
                <w:p>
                  <w:pPr>
                    <w:pStyle w:val="Compact"/>
                    <w:jc w:val="right"/>
                    <w:jc w:val="center"/>
                  </w:pPr>
                  <w:r>
                    <w:t xml:space="preserve">0.0058</w:t>
                  </w:r>
                </w:p>
              </w:tc>
              <w:tc>
                <w:tcPr/>
                <w:p>
                  <w:pPr>
                    <w:pStyle w:val="Compact"/>
                    <w:jc w:val="right"/>
                    <w:jc w:val="center"/>
                  </w:pPr>
                  <w:r>
                    <w:t xml:space="preserve">0.0332</w:t>
                  </w:r>
                </w:p>
              </w:tc>
              <w:tc>
                <w:tcPr/>
                <w:p>
                  <w:pPr>
                    <w:pStyle w:val="Compact"/>
                  </w:pPr>
                </w:p>
              </w:tc>
            </w:tr>
            <w:tr>
              <w:tc>
                <w:tcPr/>
                <w:p>
                  <w:pPr>
                    <w:pStyle w:val="Compact"/>
                    <w:jc w:val="left"/>
                    <w:jc w:val="center"/>
                  </w:pPr>
                  <w:r>
                    <w:t xml:space="preserve">C3</w:t>
                  </w:r>
                </w:p>
              </w:tc>
              <w:tc>
                <w:tcPr/>
                <w:p>
                  <w:pPr>
                    <w:pStyle w:val="Compact"/>
                    <w:jc w:val="left"/>
                    <w:jc w:val="center"/>
                  </w:pPr>
                  <w:r>
                    <w:t xml:space="preserve">death_by_6mo</w:t>
                  </w:r>
                </w:p>
              </w:tc>
              <w:tc>
                <w:tcPr/>
                <w:p>
                  <w:pPr>
                    <w:pStyle w:val="Compact"/>
                    <w:jc w:val="left"/>
                    <w:jc w:val="center"/>
                  </w:pPr>
                  <w:r>
                    <w:t xml:space="preserve">ATO</w:t>
                  </w:r>
                </w:p>
              </w:tc>
              <w:tc>
                <w:tcPr/>
                <w:p>
                  <w:pPr>
                    <w:pStyle w:val="Compact"/>
                    <w:jc w:val="right"/>
                    <w:jc w:val="center"/>
                  </w:pPr>
                  <w:r>
                    <w:t xml:space="preserve">6557</w:t>
                  </w:r>
                </w:p>
              </w:tc>
              <w:tc>
                <w:tcPr/>
                <w:p>
                  <w:pPr>
                    <w:pStyle w:val="Compact"/>
                    <w:jc w:val="right"/>
                    <w:jc w:val="center"/>
                  </w:pPr>
                  <w:r>
                    <w:t xml:space="preserve">0.0169</w:t>
                  </w:r>
                </w:p>
              </w:tc>
              <w:tc>
                <w:tcPr/>
                <w:p>
                  <w:pPr>
                    <w:pStyle w:val="Compact"/>
                    <w:jc w:val="right"/>
                    <w:jc w:val="center"/>
                  </w:pPr>
                  <w:r>
                    <w:t xml:space="preserve">0.0075</w:t>
                  </w:r>
                </w:p>
              </w:tc>
              <w:tc>
                <w:tcPr/>
                <w:p>
                  <w:pPr>
                    <w:pStyle w:val="Compact"/>
                    <w:jc w:val="right"/>
                    <w:jc w:val="center"/>
                  </w:pPr>
                  <w:r>
                    <w:t xml:space="preserve">0.0262</w:t>
                  </w:r>
                </w:p>
              </w:tc>
              <w:tc>
                <w:tcPr/>
                <w:p>
                  <w:pPr>
                    <w:pStyle w:val="Compact"/>
                  </w:pPr>
                </w:p>
              </w:tc>
            </w:tr>
            <w:tr>
              <w:tc>
                <w:tcPr/>
                <w:p>
                  <w:pPr>
                    <w:pStyle w:val="Compact"/>
                    <w:jc w:val="left"/>
                    <w:jc w:val="center"/>
                  </w:pPr>
                  <w:r>
                    <w:t xml:space="preserve">C4</w:t>
                  </w:r>
                </w:p>
              </w:tc>
              <w:tc>
                <w:tcPr/>
                <w:p>
                  <w:pPr>
                    <w:pStyle w:val="Compact"/>
                    <w:jc w:val="left"/>
                    <w:jc w:val="center"/>
                  </w:pPr>
                  <w:r>
                    <w:t xml:space="preserve">death_by_6mo</w:t>
                  </w:r>
                </w:p>
              </w:tc>
              <w:tc>
                <w:tcPr/>
                <w:p>
                  <w:pPr>
                    <w:pStyle w:val="Compact"/>
                    <w:jc w:val="left"/>
                    <w:jc w:val="center"/>
                  </w:pPr>
                  <w:r>
                    <w:t xml:space="preserve">ATE</w:t>
                  </w:r>
                </w:p>
              </w:tc>
              <w:tc>
                <w:tcPr/>
                <w:p>
                  <w:pPr>
                    <w:pStyle w:val="Compact"/>
                    <w:jc w:val="right"/>
                    <w:jc w:val="center"/>
                  </w:pPr>
                  <w:r>
                    <w:t xml:space="preserve">2197</w:t>
                  </w:r>
                </w:p>
              </w:tc>
              <w:tc>
                <w:tcPr/>
                <w:p>
                  <w:pPr>
                    <w:pStyle w:val="Compact"/>
                    <w:jc w:val="right"/>
                    <w:jc w:val="center"/>
                  </w:pPr>
                  <w:r>
                    <w:t xml:space="preserve">-0.0290</w:t>
                  </w:r>
                </w:p>
              </w:tc>
              <w:tc>
                <w:tcPr/>
                <w:p>
                  <w:pPr>
                    <w:pStyle w:val="Compact"/>
                    <w:jc w:val="right"/>
                    <w:jc w:val="center"/>
                  </w:pPr>
                  <w:r>
                    <w:t xml:space="preserve">-0.0486</w:t>
                  </w:r>
                </w:p>
              </w:tc>
              <w:tc>
                <w:tcPr/>
                <w:p>
                  <w:pPr>
                    <w:pStyle w:val="Compact"/>
                    <w:jc w:val="right"/>
                    <w:jc w:val="center"/>
                  </w:pPr>
                  <w:r>
                    <w:t xml:space="preserve">-0.0094</w:t>
                  </w:r>
                </w:p>
              </w:tc>
              <w:tc>
                <w:tcPr/>
                <w:p>
                  <w:pPr>
                    <w:pStyle w:val="Compact"/>
                  </w:pPr>
                </w:p>
              </w:tc>
            </w:tr>
            <w:tr>
              <w:tc>
                <w:tcPr/>
                <w:p>
                  <w:pPr>
                    <w:pStyle w:val="Compact"/>
                    <w:jc w:val="left"/>
                    <w:jc w:val="center"/>
                  </w:pPr>
                  <w:r>
                    <w:t xml:space="preserve">C4</w:t>
                  </w:r>
                </w:p>
              </w:tc>
              <w:tc>
                <w:tcPr/>
                <w:p>
                  <w:pPr>
                    <w:pStyle w:val="Compact"/>
                    <w:jc w:val="left"/>
                    <w:jc w:val="center"/>
                  </w:pPr>
                  <w:r>
                    <w:t xml:space="preserve">death_by_6mo</w:t>
                  </w:r>
                </w:p>
              </w:tc>
              <w:tc>
                <w:tcPr/>
                <w:p>
                  <w:pPr>
                    <w:pStyle w:val="Compact"/>
                    <w:jc w:val="left"/>
                    <w:jc w:val="center"/>
                  </w:pPr>
                  <w:r>
                    <w:t xml:space="preserve">trimmed_ATE</w:t>
                  </w:r>
                </w:p>
              </w:tc>
              <w:tc>
                <w:tcPr/>
                <w:p>
                  <w:pPr>
                    <w:pStyle w:val="Compact"/>
                    <w:jc w:val="right"/>
                    <w:jc w:val="center"/>
                  </w:pPr>
                  <w:r>
                    <w:t xml:space="preserve">2098</w:t>
                  </w:r>
                </w:p>
              </w:tc>
              <w:tc>
                <w:tcPr/>
                <w:p>
                  <w:pPr>
                    <w:pStyle w:val="Compact"/>
                    <w:jc w:val="right"/>
                    <w:jc w:val="center"/>
                  </w:pPr>
                  <w:r>
                    <w:t xml:space="preserve">-0.0210</w:t>
                  </w:r>
                </w:p>
              </w:tc>
              <w:tc>
                <w:tcPr/>
                <w:p>
                  <w:pPr>
                    <w:pStyle w:val="Compact"/>
                    <w:jc w:val="right"/>
                    <w:jc w:val="center"/>
                  </w:pPr>
                  <w:r>
                    <w:t xml:space="preserve">-0.0401</w:t>
                  </w:r>
                </w:p>
              </w:tc>
              <w:tc>
                <w:tcPr/>
                <w:p>
                  <w:pPr>
                    <w:pStyle w:val="Compact"/>
                    <w:jc w:val="right"/>
                    <w:jc w:val="center"/>
                  </w:pPr>
                  <w:r>
                    <w:t xml:space="preserve">-0.0019</w:t>
                  </w:r>
                </w:p>
              </w:tc>
              <w:tc>
                <w:tcPr/>
                <w:p>
                  <w:pPr>
                    <w:pStyle w:val="Compact"/>
                  </w:pPr>
                </w:p>
              </w:tc>
            </w:tr>
            <w:tr>
              <w:tc>
                <w:tcPr/>
                <w:p>
                  <w:pPr>
                    <w:pStyle w:val="Compact"/>
                    <w:jc w:val="left"/>
                    <w:jc w:val="center"/>
                  </w:pPr>
                  <w:r>
                    <w:t xml:space="preserve">C4</w:t>
                  </w:r>
                </w:p>
              </w:tc>
              <w:tc>
                <w:tcPr/>
                <w:p>
                  <w:pPr>
                    <w:pStyle w:val="Compact"/>
                    <w:jc w:val="left"/>
                    <w:jc w:val="center"/>
                  </w:pPr>
                  <w:r>
                    <w:t xml:space="preserve">death_by_6mo</w:t>
                  </w:r>
                </w:p>
              </w:tc>
              <w:tc>
                <w:tcPr/>
                <w:p>
                  <w:pPr>
                    <w:pStyle w:val="Compact"/>
                    <w:jc w:val="left"/>
                    <w:jc w:val="center"/>
                  </w:pPr>
                  <w:r>
                    <w:t xml:space="preserve">ATT</w:t>
                  </w:r>
                </w:p>
              </w:tc>
              <w:tc>
                <w:tcPr/>
                <w:p>
                  <w:pPr>
                    <w:pStyle w:val="Compact"/>
                    <w:jc w:val="right"/>
                    <w:jc w:val="center"/>
                  </w:pPr>
                  <w:r>
                    <w:t xml:space="preserve">1704</w:t>
                  </w:r>
                </w:p>
              </w:tc>
              <w:tc>
                <w:tcPr/>
                <w:p>
                  <w:pPr>
                    <w:pStyle w:val="Compact"/>
                    <w:jc w:val="right"/>
                    <w:jc w:val="center"/>
                  </w:pPr>
                  <w:r>
                    <w:t xml:space="preserve">-0.0189</w:t>
                  </w:r>
                </w:p>
              </w:tc>
              <w:tc>
                <w:tcPr/>
                <w:p>
                  <w:pPr>
                    <w:pStyle w:val="Compact"/>
                    <w:jc w:val="right"/>
                    <w:jc w:val="center"/>
                  </w:pPr>
                  <w:r>
                    <w:t xml:space="preserve">-0.0363</w:t>
                  </w:r>
                </w:p>
              </w:tc>
              <w:tc>
                <w:tcPr/>
                <w:p>
                  <w:pPr>
                    <w:pStyle w:val="Compact"/>
                    <w:jc w:val="right"/>
                    <w:jc w:val="center"/>
                  </w:pPr>
                  <w:r>
                    <w:t xml:space="preserve">-0.0016</w:t>
                  </w:r>
                </w:p>
              </w:tc>
              <w:tc>
                <w:tcPr/>
                <w:p>
                  <w:pPr>
                    <w:pStyle w:val="Compact"/>
                  </w:pPr>
                </w:p>
              </w:tc>
            </w:tr>
            <w:tr>
              <w:tc>
                <w:tcPr/>
                <w:p>
                  <w:pPr>
                    <w:pStyle w:val="Compact"/>
                    <w:jc w:val="left"/>
                    <w:jc w:val="center"/>
                  </w:pPr>
                  <w:r>
                    <w:t xml:space="preserve">C4</w:t>
                  </w:r>
                </w:p>
              </w:tc>
              <w:tc>
                <w:tcPr/>
                <w:p>
                  <w:pPr>
                    <w:pStyle w:val="Compact"/>
                    <w:jc w:val="left"/>
                    <w:jc w:val="center"/>
                  </w:pPr>
                  <w:r>
                    <w:t xml:space="preserve">death_by_6mo</w:t>
                  </w:r>
                </w:p>
              </w:tc>
              <w:tc>
                <w:tcPr/>
                <w:p>
                  <w:pPr>
                    <w:pStyle w:val="Compact"/>
                    <w:jc w:val="left"/>
                    <w:jc w:val="center"/>
                  </w:pPr>
                  <w:r>
                    <w:t xml:space="preserve">ATO</w:t>
                  </w:r>
                </w:p>
              </w:tc>
              <w:tc>
                <w:tcPr/>
                <w:p>
                  <w:pPr>
                    <w:pStyle w:val="Compact"/>
                    <w:jc w:val="right"/>
                    <w:jc w:val="center"/>
                  </w:pPr>
                  <w:r>
                    <w:t xml:space="preserve">1704</w:t>
                  </w:r>
                </w:p>
              </w:tc>
              <w:tc>
                <w:tcPr/>
                <w:p>
                  <w:pPr>
                    <w:pStyle w:val="Compact"/>
                    <w:jc w:val="right"/>
                    <w:jc w:val="center"/>
                  </w:pPr>
                  <w:r>
                    <w:t xml:space="preserve">-0.0078</w:t>
                  </w:r>
                </w:p>
              </w:tc>
              <w:tc>
                <w:tcPr/>
                <w:p>
                  <w:pPr>
                    <w:pStyle w:val="Compact"/>
                    <w:jc w:val="right"/>
                    <w:jc w:val="center"/>
                  </w:pPr>
                  <w:r>
                    <w:t xml:space="preserve">-0.0246</w:t>
                  </w:r>
                </w:p>
              </w:tc>
              <w:tc>
                <w:tcPr/>
                <w:p>
                  <w:pPr>
                    <w:pStyle w:val="Compact"/>
                    <w:jc w:val="right"/>
                    <w:jc w:val="center"/>
                  </w:pPr>
                  <w:r>
                    <w:t xml:space="preserve">0.0091</w:t>
                  </w:r>
                </w:p>
              </w:tc>
              <w:tc>
                <w:tcPr/>
                <w:p>
                  <w:pPr>
                    <w:pStyle w:val="Compact"/>
                  </w:pPr>
                </w:p>
              </w:tc>
            </w:tr>
            <w:tr>
              <w:tc>
                <w:tcPr/>
                <w:p>
                  <w:pPr>
                    <w:pStyle w:val="Compact"/>
                    <w:jc w:val="left"/>
                    <w:jc w:val="center"/>
                  </w:pPr>
                  <w:r>
                    <w:t xml:space="preserve">PRIMARY</w:t>
                  </w:r>
                </w:p>
              </w:tc>
              <w:tc>
                <w:tcPr/>
                <w:p>
                  <w:pPr>
                    <w:pStyle w:val="Compact"/>
                    <w:jc w:val="left"/>
                    <w:jc w:val="center"/>
                  </w:pPr>
                  <w:r>
                    <w:t xml:space="preserve">death_by_6mo</w:t>
                  </w:r>
                </w:p>
              </w:tc>
              <w:tc>
                <w:tcPr/>
                <w:p>
                  <w:pPr>
                    <w:pStyle w:val="Compact"/>
                    <w:jc w:val="left"/>
                    <w:jc w:val="center"/>
                  </w:pPr>
                  <w:r>
                    <w:t xml:space="preserve">ATE</w:t>
                  </w:r>
                </w:p>
              </w:tc>
              <w:tc>
                <w:tcPr/>
                <w:p>
                  <w:pPr>
                    <w:pStyle w:val="Compact"/>
                    <w:jc w:val="right"/>
                    <w:jc w:val="center"/>
                  </w:pPr>
                  <w:r>
                    <w:t xml:space="preserve">1616</w:t>
                  </w:r>
                </w:p>
              </w:tc>
              <w:tc>
                <w:tcPr/>
                <w:p>
                  <w:pPr>
                    <w:pStyle w:val="Compact"/>
                    <w:jc w:val="right"/>
                    <w:jc w:val="center"/>
                  </w:pPr>
                  <w:r>
                    <w:t xml:space="preserve">-0.0170</w:t>
                  </w:r>
                </w:p>
              </w:tc>
              <w:tc>
                <w:tcPr/>
                <w:p>
                  <w:pPr>
                    <w:pStyle w:val="Compact"/>
                    <w:jc w:val="right"/>
                    <w:jc w:val="center"/>
                  </w:pPr>
                  <w:r>
                    <w:t xml:space="preserve">-0.0353</w:t>
                  </w:r>
                </w:p>
              </w:tc>
              <w:tc>
                <w:tcPr/>
                <w:p>
                  <w:pPr>
                    <w:pStyle w:val="Compact"/>
                    <w:jc w:val="right"/>
                    <w:jc w:val="center"/>
                  </w:pPr>
                  <w:r>
                    <w:t xml:space="preserve">0.0013</w:t>
                  </w:r>
                </w:p>
              </w:tc>
              <w:tc>
                <w:tcPr/>
                <w:p>
                  <w:pPr>
                    <w:pStyle w:val="Compact"/>
                  </w:pPr>
                </w:p>
              </w:tc>
            </w:tr>
            <w:tr>
              <w:tc>
                <w:tcPr/>
                <w:p>
                  <w:pPr>
                    <w:pStyle w:val="Compact"/>
                    <w:jc w:val="left"/>
                    <w:jc w:val="center"/>
                  </w:pPr>
                  <w:r>
                    <w:t xml:space="preserve">PRIMARY</w:t>
                  </w:r>
                </w:p>
              </w:tc>
              <w:tc>
                <w:tcPr/>
                <w:p>
                  <w:pPr>
                    <w:pStyle w:val="Compact"/>
                    <w:jc w:val="left"/>
                    <w:jc w:val="center"/>
                  </w:pPr>
                  <w:r>
                    <w:t xml:space="preserve">death_by_6mo</w:t>
                  </w:r>
                </w:p>
              </w:tc>
              <w:tc>
                <w:tcPr/>
                <w:p>
                  <w:pPr>
                    <w:pStyle w:val="Compact"/>
                    <w:jc w:val="left"/>
                    <w:jc w:val="center"/>
                  </w:pPr>
                  <w:r>
                    <w:t xml:space="preserve">trimmed_ATE</w:t>
                  </w:r>
                </w:p>
              </w:tc>
              <w:tc>
                <w:tcPr/>
                <w:p>
                  <w:pPr>
                    <w:pStyle w:val="Compact"/>
                    <w:jc w:val="right"/>
                    <w:jc w:val="center"/>
                  </w:pPr>
                  <w:r>
                    <w:t xml:space="preserve">1615</w:t>
                  </w:r>
                </w:p>
              </w:tc>
              <w:tc>
                <w:tcPr/>
                <w:p>
                  <w:pPr>
                    <w:pStyle w:val="Compact"/>
                    <w:jc w:val="right"/>
                    <w:jc w:val="center"/>
                  </w:pPr>
                  <w:r>
                    <w:t xml:space="preserve">-0.0172</w:t>
                  </w:r>
                </w:p>
              </w:tc>
              <w:tc>
                <w:tcPr/>
                <w:p>
                  <w:pPr>
                    <w:pStyle w:val="Compact"/>
                    <w:jc w:val="right"/>
                    <w:jc w:val="center"/>
                  </w:pPr>
                  <w:r>
                    <w:t xml:space="preserve">-0.0352</w:t>
                  </w:r>
                </w:p>
              </w:tc>
              <w:tc>
                <w:tcPr/>
                <w:p>
                  <w:pPr>
                    <w:pStyle w:val="Compact"/>
                    <w:jc w:val="right"/>
                    <w:jc w:val="center"/>
                  </w:pPr>
                  <w:r>
                    <w:t xml:space="preserve">0.0009</w:t>
                  </w:r>
                </w:p>
              </w:tc>
              <w:tc>
                <w:tcPr/>
                <w:p>
                  <w:pPr>
                    <w:pStyle w:val="Compact"/>
                  </w:pPr>
                </w:p>
              </w:tc>
            </w:tr>
            <w:tr>
              <w:tc>
                <w:tcPr/>
                <w:p>
                  <w:pPr>
                    <w:pStyle w:val="Compact"/>
                    <w:jc w:val="left"/>
                    <w:jc w:val="center"/>
                  </w:pPr>
                  <w:r>
                    <w:t xml:space="preserve">PRIMARY</w:t>
                  </w:r>
                </w:p>
              </w:tc>
              <w:tc>
                <w:tcPr/>
                <w:p>
                  <w:pPr>
                    <w:pStyle w:val="Compact"/>
                    <w:jc w:val="left"/>
                    <w:jc w:val="center"/>
                  </w:pPr>
                  <w:r>
                    <w:t xml:space="preserve">death_by_6mo</w:t>
                  </w:r>
                </w:p>
              </w:tc>
              <w:tc>
                <w:tcPr/>
                <w:p>
                  <w:pPr>
                    <w:pStyle w:val="Compact"/>
                    <w:jc w:val="left"/>
                    <w:jc w:val="center"/>
                  </w:pPr>
                  <w:r>
                    <w:t xml:space="preserve">ATT</w:t>
                  </w:r>
                </w:p>
              </w:tc>
              <w:tc>
                <w:tcPr/>
                <w:p>
                  <w:pPr>
                    <w:pStyle w:val="Compact"/>
                    <w:jc w:val="right"/>
                    <w:jc w:val="center"/>
                  </w:pPr>
                  <w:r>
                    <w:t xml:space="preserve">1227</w:t>
                  </w:r>
                </w:p>
              </w:tc>
              <w:tc>
                <w:tcPr/>
                <w:p>
                  <w:pPr>
                    <w:pStyle w:val="Compact"/>
                    <w:jc w:val="right"/>
                    <w:jc w:val="center"/>
                  </w:pPr>
                  <w:r>
                    <w:t xml:space="preserve">-0.0284</w:t>
                  </w:r>
                </w:p>
              </w:tc>
              <w:tc>
                <w:tcPr/>
                <w:p>
                  <w:pPr>
                    <w:pStyle w:val="Compact"/>
                    <w:jc w:val="right"/>
                    <w:jc w:val="center"/>
                  </w:pPr>
                  <w:r>
                    <w:t xml:space="preserve">-0.0481</w:t>
                  </w:r>
                </w:p>
              </w:tc>
              <w:tc>
                <w:tcPr/>
                <w:p>
                  <w:pPr>
                    <w:pStyle w:val="Compact"/>
                    <w:jc w:val="right"/>
                    <w:jc w:val="center"/>
                  </w:pPr>
                  <w:r>
                    <w:t xml:space="preserve">-0.0086</w:t>
                  </w:r>
                </w:p>
              </w:tc>
              <w:tc>
                <w:tcPr/>
                <w:p>
                  <w:pPr>
                    <w:pStyle w:val="Compact"/>
                  </w:pPr>
                </w:p>
              </w:tc>
            </w:tr>
            <w:tr>
              <w:tc>
                <w:tcPr/>
                <w:p>
                  <w:pPr>
                    <w:pStyle w:val="Compact"/>
                    <w:jc w:val="left"/>
                    <w:jc w:val="center"/>
                  </w:pPr>
                  <w:r>
                    <w:t xml:space="preserve">PRIMARY</w:t>
                  </w:r>
                </w:p>
              </w:tc>
              <w:tc>
                <w:tcPr/>
                <w:p>
                  <w:pPr>
                    <w:pStyle w:val="Compact"/>
                    <w:jc w:val="left"/>
                    <w:jc w:val="center"/>
                  </w:pPr>
                  <w:r>
                    <w:t xml:space="preserve">death_by_6mo</w:t>
                  </w:r>
                </w:p>
              </w:tc>
              <w:tc>
                <w:tcPr/>
                <w:p>
                  <w:pPr>
                    <w:pStyle w:val="Compact"/>
                    <w:jc w:val="left"/>
                    <w:jc w:val="center"/>
                  </w:pPr>
                  <w:r>
                    <w:t xml:space="preserve">ATO</w:t>
                  </w:r>
                </w:p>
              </w:tc>
              <w:tc>
                <w:tcPr/>
                <w:p>
                  <w:pPr>
                    <w:pStyle w:val="Compact"/>
                    <w:jc w:val="right"/>
                    <w:jc w:val="center"/>
                  </w:pPr>
                  <w:r>
                    <w:t xml:space="preserve">1227</w:t>
                  </w:r>
                </w:p>
              </w:tc>
              <w:tc>
                <w:tcPr/>
                <w:p>
                  <w:pPr>
                    <w:pStyle w:val="Compact"/>
                    <w:jc w:val="right"/>
                    <w:jc w:val="center"/>
                  </w:pPr>
                  <w:r>
                    <w:t xml:space="preserve">-0.0123</w:t>
                  </w:r>
                </w:p>
              </w:tc>
              <w:tc>
                <w:tcPr/>
                <w:p>
                  <w:pPr>
                    <w:pStyle w:val="Compact"/>
                    <w:jc w:val="right"/>
                    <w:jc w:val="center"/>
                  </w:pPr>
                  <w:r>
                    <w:t xml:space="preserve">-0.0299</w:t>
                  </w:r>
                </w:p>
              </w:tc>
              <w:tc>
                <w:tcPr/>
                <w:p>
                  <w:pPr>
                    <w:pStyle w:val="Compact"/>
                    <w:jc w:val="right"/>
                    <w:jc w:val="center"/>
                  </w:pPr>
                  <w:r>
                    <w:t xml:space="preserve">0.0053</w:t>
                  </w:r>
                </w:p>
              </w:tc>
              <w:tc>
                <w:tcPr/>
                <w:p>
                  <w:pPr>
                    <w:pStyle w:val="Compact"/>
                  </w:pPr>
                </w:p>
              </w:tc>
            </w:tr>
          </w:tbl>
          <w:bookmarkEnd w:id="135"/>
          <w:p/>
        </w:tc>
      </w:tr>
    </w:tbl>
    <w:p>
      <w:pPr>
        <w:pStyle w:val="BodyText"/>
      </w:pPr>
      <w:r>
        <w:t xml:space="preserve">The substantive pattern is coherent across the ladder. The</w:t>
      </w:r>
      <w:r>
        <w:t xml:space="preserve"> </w:t>
      </w:r>
      <w:r>
        <w:t xml:space="preserve">within-ambulance contrasts favour Rescue.Co on six-month mortality:</w:t>
      </w:r>
      <w:r>
        <w:t xml:space="preserve"> </w:t>
      </w:r>
      <w:r>
        <w:t xml:space="preserve">the C4 primary row is</w:t>
      </w:r>
      <w:r>
        <w:t xml:space="preserve"> </w:t>
      </w:r>
      <m:oMath>
        <m:r>
          <m:rPr>
            <m:sty m:val="p"/>
          </m:rPr>
          <m:t>−</m:t>
        </m:r>
        <m:r>
          <m:t>2.9</m:t>
        </m:r>
      </m:oMath>
      <w:r>
        <w:t xml:space="preserve"> </w:t>
      </w:r>
      <w:r>
        <w:t xml:space="preserve">percentage points (95% CI</w:t>
      </w:r>
      <w:r>
        <w:t xml:space="preserve"> </w:t>
      </w:r>
      <m:oMath>
        <m:r>
          <m:rPr>
            <m:sty m:val="p"/>
          </m:rPr>
          <m:t>−</m:t>
        </m:r>
        <m:r>
          <m:t>4.9</m:t>
        </m:r>
      </m:oMath>
      <w:r>
        <w:t xml:space="preserve"> </w:t>
      </w:r>
      <w:r>
        <w:t xml:space="preserve">to</w:t>
      </w:r>
      <w:r>
        <w:t xml:space="preserve"> </w:t>
      </w:r>
      <m:oMath>
        <m:r>
          <m:rPr>
            <m:sty m:val="p"/>
          </m:rPr>
          <m:t>−</m:t>
        </m:r>
        <m:r>
          <m:t>0.9</m:t>
        </m:r>
      </m:oMath>
      <w:r>
        <w:t xml:space="preserve">), and on the primary cohort the effect concentrates among the</w:t>
      </w:r>
      <w:r>
        <w:t xml:space="preserve"> </w:t>
      </w:r>
      <w:r>
        <w:t xml:space="preserve">treated (ATT</w:t>
      </w:r>
      <w:r>
        <w:t xml:space="preserve"> </w:t>
      </w:r>
      <m:oMath>
        <m:r>
          <m:rPr>
            <m:sty m:val="p"/>
          </m:rPr>
          <m:t>−</m:t>
        </m:r>
        <m:r>
          <m:t>2.8</m:t>
        </m:r>
      </m:oMath>
      <w:r>
        <w:t xml:space="preserve">, CI</w:t>
      </w:r>
      <w:r>
        <w:t xml:space="preserve"> </w:t>
      </w:r>
      <m:oMath>
        <m:r>
          <m:rPr>
            <m:sty m:val="p"/>
          </m:rPr>
          <m:t>−</m:t>
        </m:r>
        <m:r>
          <m:t>4.8</m:t>
        </m:r>
      </m:oMath>
      <w:r>
        <w:t xml:space="preserve"> </w:t>
      </w:r>
      <w:r>
        <w:t xml:space="preserve">to</w:t>
      </w:r>
      <w:r>
        <w:t xml:space="preserve"> </w:t>
      </w:r>
      <m:oMath>
        <m:r>
          <m:rPr>
            <m:sty m:val="p"/>
          </m:rPr>
          <m:t>−</m:t>
        </m:r>
        <m:r>
          <m:t>0.9</m:t>
        </m:r>
      </m:oMath>
      <w:r>
        <w:t xml:space="preserve">; ATE</w:t>
      </w:r>
      <w:r>
        <w:t xml:space="preserve"> </w:t>
      </w:r>
      <m:oMath>
        <m:r>
          <m:rPr>
            <m:sty m:val="p"/>
          </m:rPr>
          <m:t>−</m:t>
        </m:r>
        <m:r>
          <m:t>1.7</m:t>
        </m:r>
      </m:oMath>
      <w:r>
        <w:t xml:space="preserve">, CI</w:t>
      </w:r>
      <w:r>
        <w:t xml:space="preserve"> </w:t>
      </w:r>
      <m:oMath>
        <m:r>
          <m:rPr>
            <m:sty m:val="p"/>
          </m:rPr>
          <m:t>−</m:t>
        </m:r>
        <m:r>
          <m:t>3.5</m:t>
        </m:r>
      </m:oMath>
      <w:r>
        <w:t xml:space="preserve"> </w:t>
      </w:r>
      <w:r>
        <w:t xml:space="preserve">to</w:t>
      </w:r>
      <w:r>
        <w:t xml:space="preserve"> </w:t>
      </w:r>
      <m:oMath>
        <m:r>
          <m:t>0.1</m:t>
        </m:r>
      </m:oMath>
      <w:r>
        <w:t xml:space="preserve">), with the overlap-weighted rows nearest the null. The</w:t>
      </w:r>
      <w:r>
        <w:t xml:space="preserve"> </w:t>
      </w:r>
      <w:r>
        <w:t xml:space="preserve">against-everyone contrasts C1 and C2 are null on every feasible</w:t>
      </w:r>
      <w:r>
        <w:t xml:space="preserve"> </w:t>
      </w:r>
      <w:r>
        <w:t xml:space="preserve">estimand. C3, any ambulance against non-ambulance arrival, shows</w:t>
      </w:r>
      <w:r>
        <w:t xml:space="preserve"> </w:t>
      </w:r>
      <w:r>
        <w:t xml:space="preserve">higher mortality (+1.8 points, CI 0.8 to 2.8), and the design stage</w:t>
      </w:r>
      <w:r>
        <w:t xml:space="preserve"> </w:t>
      </w:r>
      <w:r>
        <w:t xml:space="preserve">supplies its reading: both socioeconomic negative controls fail on</w:t>
      </w:r>
      <w:r>
        <w:t xml:space="preserve"> </w:t>
      </w:r>
      <w:r>
        <w:t xml:space="preserve">that contrast with no pre-registered restriction that repairs them,</w:t>
      </w:r>
      <w:r>
        <w:t xml:space="preserve"> </w:t>
      </w:r>
      <w:r>
        <w:t xml:space="preserve">and its care-process indicators are treatment-predicted, so the</w:t>
      </w:r>
      <w:r>
        <w:t xml:space="preserve"> </w:t>
      </w:r>
      <w:r>
        <w:t xml:space="preserve">design report carries C3 as residually confounded by indication</w:t>
      </w:r>
      <w:r>
        <w:t xml:space="preserve"> </w:t>
      </w:r>
      <w:r>
        <w:t xml:space="preserve">rather than as a harm signal. On time to arrival, the population</w:t>
      </w:r>
      <w:r>
        <w:t xml:space="preserve"> </w:t>
      </w:r>
      <w:r>
        <w:t xml:space="preserve">contrasts agree that ambulances, and Rescue.Co in particular, reach</w:t>
      </w:r>
      <w:r>
        <w:t xml:space="preserve"> </w:t>
      </w:r>
      <w:r>
        <w:t xml:space="preserve">patients three to four and a half hours sooner (for example C3</w:t>
      </w:r>
      <w:r>
        <w:t xml:space="preserve"> </w:t>
      </w:r>
      <m:oMath>
        <m:r>
          <m:rPr>
            <m:sty m:val="p"/>
          </m:rPr>
          <m:t>−</m:t>
        </m:r>
        <m:r>
          <m:t>245</m:t>
        </m:r>
      </m:oMath>
      <w:r>
        <w:t xml:space="preserve"> </w:t>
      </w:r>
      <w:r>
        <w:t xml:space="preserve">minutes, CI</w:t>
      </w:r>
      <w:r>
        <w:t xml:space="preserve"> </w:t>
      </w:r>
      <m:oMath>
        <m:r>
          <m:rPr>
            <m:sty m:val="p"/>
          </m:rPr>
          <m:t>−</m:t>
        </m:r>
        <m:r>
          <m:t>320</m:t>
        </m:r>
      </m:oMath>
      <w:r>
        <w:t xml:space="preserve"> </w:t>
      </w:r>
      <w:r>
        <w:t xml:space="preserve">to</w:t>
      </w:r>
      <w:r>
        <w:t xml:space="preserve"> </w:t>
      </w:r>
      <m:oMath>
        <m:r>
          <m:rPr>
            <m:sty m:val="p"/>
          </m:rPr>
          <m:t>−</m:t>
        </m:r>
        <m:r>
          <m:t>169</m:t>
        </m:r>
      </m:oMath>
      <w:r>
        <w:t xml:space="preserve">); the transfers-included C4 gap</w:t>
      </w:r>
      <w:r>
        <w:t xml:space="preserve"> </w:t>
      </w:r>
      <w:r>
        <w:t xml:space="preserve">of</w:t>
      </w:r>
      <w:r>
        <w:t xml:space="preserve"> </w:t>
      </w:r>
      <m:oMath>
        <m:r>
          <m:rPr>
            <m:sty m:val="p"/>
          </m:rPr>
          <m:t>−</m:t>
        </m:r>
        <m:r>
          <m:t>100</m:t>
        </m:r>
      </m:oMath>
      <w:r>
        <w:t xml:space="preserve"> </w:t>
      </w:r>
      <w:r>
        <w:t xml:space="preserve">to</w:t>
      </w:r>
      <w:r>
        <w:t xml:space="preserve"> </w:t>
      </w:r>
      <m:oMath>
        <m:r>
          <m:rPr>
            <m:sty m:val="p"/>
          </m:rPr>
          <m:t>−</m:t>
        </m:r>
        <m:r>
          <m:t>205</m:t>
        </m:r>
      </m:oMath>
      <w:r>
        <w:t xml:space="preserve"> </w:t>
      </w:r>
      <w:r>
        <w:t xml:space="preserve">minutes shrinks to a null</w:t>
      </w:r>
      <w:r>
        <w:t xml:space="preserve"> </w:t>
      </w:r>
      <m:oMath>
        <m:r>
          <m:rPr>
            <m:sty m:val="p"/>
          </m:rPr>
          <m:t>−</m:t>
        </m:r>
        <m:r>
          <m:t>0.1</m:t>
        </m:r>
      </m:oMath>
      <w:r>
        <w:t xml:space="preserve"> </w:t>
      </w:r>
      <w:r>
        <w:t xml:space="preserve">minutes (CI</w:t>
      </w:r>
      <w:r>
        <w:t xml:space="preserve"> </w:t>
      </w:r>
      <m:oMath>
        <m:r>
          <m:rPr>
            <m:sty m:val="p"/>
          </m:rPr>
          <m:t>−</m:t>
        </m:r>
        <m:r>
          <m:t>32</m:t>
        </m:r>
      </m:oMath>
      <w:r>
        <w:t xml:space="preserve"> </w:t>
      </w:r>
      <w:r>
        <w:t xml:space="preserve">to</w:t>
      </w:r>
      <w:r>
        <w:t xml:space="preserve"> </w:t>
      </w:r>
      <m:oMath>
        <m:r>
          <m:t>31</m:t>
        </m:r>
      </m:oMath>
      <w:r>
        <w:t xml:space="preserve">) on the primary cohort, so the gap is carried by the</w:t>
      </w:r>
      <w:r>
        <w:t xml:space="preserve"> </w:t>
      </w:r>
      <w:r>
        <w:t xml:space="preserve">transfer and prior-care strata that the primary cohort excludes. No</w:t>
      </w:r>
      <w:r>
        <w:t xml:space="preserve"> </w:t>
      </w:r>
      <w:r>
        <w:t xml:space="preserve">row anywhere tripped the implausibility guard.</w:t>
      </w:r>
    </w:p>
    <w:p>
      <w:pPr>
        <w:pStyle w:val="BodyText"/>
      </w:pPr>
      <w:r>
        <w:t xml:space="preserve">Two readings of this table belong to the workflow rather than to the</w:t>
      </w:r>
      <w:r>
        <w:t xml:space="preserve"> </w:t>
      </w:r>
      <w:r>
        <w:t xml:space="preserve">substantive question. First, the severe-overlap contrasts do not</w:t>
      </w:r>
      <w:r>
        <w:t xml:space="preserve"> </w:t>
      </w:r>
      <w:r>
        <w:t xml:space="preserve">answer the protocol’s original question. C2 carries no ATE row at</w:t>
      </w:r>
      <w:r>
        <w:t xml:space="preserve"> </w:t>
      </w:r>
      <w:r>
        <w:t xml:space="preserve">all; C1 carries exactly one, estimated under a logged override whose</w:t>
      </w:r>
      <w:r>
        <w:t xml:space="preserve"> </w:t>
      </w:r>
      <w:r>
        <w:t xml:space="preserve">recorded reason is reconciliation (the parallel unblinded pipeline</w:t>
      </w:r>
      <w:r>
        <w:t xml:space="preserve"> </w:t>
      </w:r>
      <w:r>
        <w:t xml:space="preserve">reports the C1 ATE as a SEVERE-flagged diagnostic, and the row lets</w:t>
      </w:r>
      <w:r>
        <w:t xml:space="preserve"> </w:t>
      </w:r>
      <w:r>
        <w:t xml:space="preserve">the two pipelines be compared), and it arrives wearing its SEVERE</w:t>
      </w:r>
      <w:r>
        <w:t xml:space="preserve"> </w:t>
      </w:r>
      <w:r>
        <w:t xml:space="preserve">label with a standard error several times larger than the bounded</w:t>
      </w:r>
      <w:r>
        <w:t xml:space="preserve"> </w:t>
      </w:r>
      <w:r>
        <w:t xml:space="preserve">rows beside it. The substantive C1 and C2 answers are the trimmed,</w:t>
      </w:r>
      <w:r>
        <w:t xml:space="preserve"> </w:t>
      </w:r>
      <w:r>
        <w:t xml:space="preserve">treated-population and overlap-weighted effects, each labelled with</w:t>
      </w:r>
      <w:r>
        <w:t xml:space="preserve"> </w:t>
      </w:r>
      <w:r>
        <w:t xml:space="preserve">the population it is about. What a conventional pipeline would have</w:t>
      </w:r>
      <w:r>
        <w:t xml:space="preserve"> </w:t>
      </w:r>
      <w:r>
        <w:t xml:space="preserve">reported for C1, an IPTW or TMLE ATE under weights reaching</w:t>
      </w:r>
      <w:r>
        <w:t xml:space="preserve"> </w:t>
      </w:r>
      <w:r>
        <w:t xml:space="preserve">257 and no label, is exactly the kind of</w:t>
      </w:r>
      <w:r>
        <w:t xml:space="preserve"> </w:t>
      </w:r>
      <w:r>
        <w:t xml:space="preserve">estimate the Introduction’s motivating failure warns about, and the</w:t>
      </w:r>
      <w:r>
        <w:t xml:space="preserve"> </w:t>
      </w:r>
      <w:r>
        <w:t xml:space="preserve">same ladder run re-analyses that failure’s own outcome: time to</w:t>
      </w:r>
      <w:r>
        <w:t xml:space="preserve"> </w:t>
      </w:r>
      <w:r>
        <w:t xml:space="preserve">arrival, where an earlier full-cohort analysis produced +14,637</w:t>
      </w:r>
      <w:r>
        <w:t xml:space="preserve"> </w:t>
      </w:r>
      <w:r>
        <w:t xml:space="preserve">minutes against a crude difference of seven hours in the other</w:t>
      </w:r>
      <w:r>
        <w:t xml:space="preserve"> </w:t>
      </w:r>
      <w:r>
        <w:t xml:space="preserve">direction, is estimated here only through bounded-weight estimands,</w:t>
      </w:r>
      <w:r>
        <w:t xml:space="preserve"> </w:t>
      </w:r>
      <w:r>
        <w:t xml:space="preserve">with the implausibility guard comparing every row against the bounds</w:t>
      </w:r>
      <w:r>
        <w:t xml:space="preserve"> </w:t>
      </w:r>
      <w:r>
        <w:t xml:space="preserve">the raw arm summaries impose. Second,</w:t>
      </w:r>
      <w:r>
        <w:t xml:space="preserve"> </w:t>
      </w:r>
      <w:r>
        <w:t xml:space="preserve">the estimates that are reported agree with the parallel unblinded main</w:t>
      </w:r>
      <w:r>
        <w:t xml:space="preserve"> </w:t>
      </w:r>
      <w:r>
        <w:t xml:space="preserve">analysis of the same registry where the two pipelines are comparable;</w:t>
      </w:r>
      <w:r>
        <w:t xml:space="preserve"> </w:t>
      </w:r>
      <w:r>
        <w:t xml:space="preserve">the matched ATT on the functional dichotomy differs from the main</w:t>
      </w:r>
      <w:r>
        <w:t xml:space="preserve"> </w:t>
      </w:r>
      <w:r>
        <w:t xml:space="preserve">pipeline’s estimate by well under a quarter of a standard error, and</w:t>
      </w:r>
      <w:r>
        <w:t xml:space="preserve"> </w:t>
      </w:r>
      <w:r>
        <w:t xml:space="preserve">the reconciliation table released with the case study tracks every</w:t>
      </w:r>
      <w:r>
        <w:t xml:space="preserve"> </w:t>
      </w:r>
      <w:r>
        <w:t xml:space="preserve">(contrast, outcome, estimand, estimator) pair across the two</w:t>
      </w:r>
      <w:r>
        <w:t xml:space="preserve"> </w:t>
      </w:r>
      <w:r>
        <w:t xml:space="preserve">pipelines. Per-row E-values</w:t>
      </w:r>
      <w:r>
        <w:t xml:space="preserve"> </w:t>
      </w:r>
      <w:r>
        <w:t xml:space="preserve">(VanderWeele and Ding 2017)</w:t>
      </w:r>
      <w:r>
        <w:t xml:space="preserve"> </w:t>
      </w:r>
      <w:r>
        <w:t xml:space="preserve">via</w:t>
      </w:r>
      <w:r>
        <w:t xml:space="preserve"> </w:t>
      </w:r>
      <w:r>
        <w:rPr>
          <w:rStyle w:val="VerbatimChar"/>
        </w:rPr>
        <w:t xml:space="preserve">compute_evalue()</w:t>
      </w:r>
      <w:r>
        <w:t xml:space="preserve"> </w:t>
      </w:r>
      <w:r>
        <w:t xml:space="preserve">and outcome-missingness delta sensitivity via</w:t>
      </w:r>
      <w:r>
        <w:t xml:space="preserve"> </w:t>
      </w:r>
      <w:r>
        <w:rPr>
          <w:rStyle w:val="VerbatimChar"/>
        </w:rPr>
        <w:t xml:space="preserve">run_delta_sensitivity()</w:t>
      </w:r>
      <w:r>
        <w:t xml:space="preserve"> </w:t>
      </w:r>
      <w:r>
        <w:t xml:space="preserve">accompany the primary rows in the released</w:t>
      </w:r>
      <w:r>
        <w:t xml:space="preserve"> </w:t>
      </w:r>
      <w:r>
        <w:t xml:space="preserve">artifacts. The healthcare-worker strike period remains an unmodelled</w:t>
      </w:r>
      <w:r>
        <w:t xml:space="preserve"> </w:t>
      </w:r>
      <w:r>
        <w:t xml:space="preserve">threat that the prespecified threat families do not cover, and we</w:t>
      </w:r>
      <w:r>
        <w:t xml:space="preserve"> </w:t>
      </w:r>
      <w:r>
        <w:t xml:space="preserve">carry it as a limitation rather than a quantified scenario.</w:t>
      </w:r>
    </w:p>
    <w:bookmarkEnd w:id="136"/>
    <w:bookmarkStart w:id="141" w:name="Xc7557c3308f3f2c598231e06131cd13238ac1eb"/>
    <w:p>
      <w:pPr>
        <w:pStyle w:val="Heading2"/>
      </w:pPr>
      <w:r>
        <w:t xml:space="preserve">12.8 What the case study tells us about the workflow</w:t>
      </w:r>
    </w:p>
    <w:bookmarkStart w:id="137" w:name="X539da9cc7081b2523dea88fe961daf77419d3f3"/>
    <w:p>
      <w:pPr>
        <w:pStyle w:val="Heading3"/>
      </w:pPr>
      <w:r>
        <w:t xml:space="preserve">12.8.1 Prespecification, the design log, and an honest failure</w:t>
      </w:r>
    </w:p>
    <w:p>
      <w:pPr>
        <w:pStyle w:val="FirstParagraph"/>
      </w:pPr>
      <w:r>
        <w:t xml:space="preserve">The design log captured every prespecified analytic choice (the</w:t>
      </w:r>
      <w:r>
        <w:t xml:space="preserve"> </w:t>
      </w:r>
      <w:r>
        <w:t xml:space="preserve">contrast definitions, the exclusions, the ladder declarations, the</w:t>
      </w:r>
      <w:r>
        <w:t xml:space="preserve"> </w:t>
      </w:r>
      <w:r>
        <w:t xml:space="preserve">truncation and threshold settings) with timestamps, and the lock</w:t>
      </w:r>
      <w:r>
        <w:t xml:space="preserve"> </w:t>
      </w:r>
      <w:r>
        <w:t xml:space="preserve">fingerprints reconciled on every reload. The most instructive record,</w:t>
      </w:r>
      <w:r>
        <w:t xml:space="preserve"> </w:t>
      </w:r>
      <w:r>
        <w:t xml:space="preserve">though, is a failure from the study’s earlier single-contrast run.</w:t>
      </w:r>
      <w:r>
        <w:t xml:space="preserve"> </w:t>
      </w:r>
      <w:r>
        <w:t xml:space="preserve">That run’s primary outcome was the</w:t>
      </w:r>
      <w:r>
        <w:t xml:space="preserve"> </w:t>
      </w:r>
      <w:r>
        <w:rPr>
          <w:i/>
          <w:iCs/>
        </w:rPr>
        <w:t xml:space="preserve">good</w:t>
      </w:r>
      <w:r>
        <w:t xml:space="preserve">-outcome dichotomy of GOSE,</w:t>
      </w:r>
      <w:r>
        <w:t xml:space="preserve"> </w:t>
      </w:r>
      <w:r>
        <w:t xml:space="preserve">with prevalence 0.92, so the rare category carried too few events;</w:t>
      </w:r>
      <w:r>
        <w:t xml:space="preserve"> </w:t>
      </w:r>
      <w:r>
        <w:t xml:space="preserve">the cohort-adequacy checkpoint recorded STOP, and the pipeline</w:t>
      </w:r>
      <w:r>
        <w:t xml:space="preserve"> </w:t>
      </w:r>
      <w:r>
        <w:t xml:space="preserve">proceeded anyway through an unlogged override, a</w:t>
      </w:r>
      <w:r>
        <w:t xml:space="preserve"> </w:t>
      </w:r>
      <w:r>
        <w:rPr>
          <w:rStyle w:val="VerbatimChar"/>
        </w:rPr>
        <w:t xml:space="preserve">tryCatch</w:t>
      </w:r>
      <w:r>
        <w:t xml:space="preserve"> </w:t>
      </w:r>
      <w:r>
        <w:t xml:space="preserve">around</w:t>
      </w:r>
      <w:r>
        <w:t xml:space="preserve"> </w:t>
      </w:r>
      <w:r>
        <w:t xml:space="preserve">the authorisation check with nothing recorded between the STOP and</w:t>
      </w:r>
      <w:r>
        <w:t xml:space="preserve"> </w:t>
      </w:r>
      <w:r>
        <w:t xml:space="preserve">the estimate. The September reconciliation against the parallel</w:t>
      </w:r>
      <w:r>
        <w:t xml:space="preserve"> </w:t>
      </w:r>
      <w:r>
        <w:t xml:space="preserve">unblinded analysis surfaced this precisely because the audit trail</w:t>
      </w:r>
      <w:r>
        <w:t xml:space="preserve"> </w:t>
      </w:r>
      <w:r>
        <w:t xml:space="preserve">had preserved both records: the STOP and the estimate, with no</w:t>
      </w:r>
      <w:r>
        <w:t xml:space="preserve"> </w:t>
      </w:r>
      <w:r>
        <w:t xml:space="preserve">rationale between them. The rebuild fixed the design rather than the</w:t>
      </w:r>
      <w:r>
        <w:t xml:space="preserve"> </w:t>
      </w:r>
      <w:r>
        <w:t xml:space="preserve">log: the outcome set was aligned to the main analysis (mortality as</w:t>
      </w:r>
      <w:r>
        <w:t xml:space="preserve"> </w:t>
      </w:r>
      <w:r>
        <w:t xml:space="preserve">primary, severe disability as the functional dichotomy, so the rare</w:t>
      </w:r>
      <w:r>
        <w:t xml:space="preserve"> </w:t>
      </w:r>
      <w:r>
        <w:t xml:space="preserve">category is the event), and overrides now require a logged reason,</w:t>
      </w:r>
      <w:r>
        <w:t xml:space="preserve"> </w:t>
      </w:r>
      <w:r>
        <w:t xml:space="preserve">so the record can no longer show STOP followed silently by</w:t>
      </w:r>
      <w:r>
        <w:t xml:space="preserve"> </w:t>
      </w:r>
      <w:r>
        <w:t xml:space="preserve">estimation. We report this candidly because it is the working theory</w:t>
      </w:r>
      <w:r>
        <w:t xml:space="preserve"> </w:t>
      </w:r>
      <w:r>
        <w:t xml:space="preserve">of the framework in miniature: the value of the record is that it</w:t>
      </w:r>
      <w:r>
        <w:t xml:space="preserve"> </w:t>
      </w:r>
      <w:r>
        <w:t xml:space="preserve">makes such gaps findable, including gaps in the workflow’s own</w:t>
      </w:r>
      <w:r>
        <w:t xml:space="preserve"> </w:t>
      </w:r>
      <w:r>
        <w:t xml:space="preserve">conduct.</w:t>
      </w:r>
    </w:p>
    <w:bookmarkEnd w:id="137"/>
    <w:bookmarkStart w:id="138" w:name="outcome-blind-plasmode"/>
    <w:p>
      <w:pPr>
        <w:pStyle w:val="Heading3"/>
      </w:pPr>
      <w:r>
        <w:t xml:space="preserve">12.8.2 Outcome-blind plasmode</w:t>
      </w:r>
    </w:p>
    <w:p>
      <w:pPr>
        <w:pStyle w:val="FirstParagraph"/>
      </w:pPr>
      <w:r>
        <w:t xml:space="preserve">Stage 2b feasibility coverage of 0.94 with bias below 0.001 across</w:t>
      </w:r>
      <w:r>
        <w:t xml:space="preserve"> </w:t>
      </w:r>
      <w:r>
        <w:t xml:space="preserve">50 replicates is the kind of design validation a reviewer would</w:t>
      </w:r>
      <w:r>
        <w:t xml:space="preserve"> </w:t>
      </w:r>
      <w:r>
        <w:t xml:space="preserve">want, and the 200-replicate support maps of</w:t>
      </w:r>
      <w:r>
        <w:t xml:space="preserve"> </w:t>
      </w:r>
      <w:hyperlink w:anchor="sec-casestudy-support">
        <w:r>
          <w:rPr>
            <w:rStyle w:val="Hyperlink"/>
          </w:rPr>
          <w:t xml:space="preserve">Section 12.3</w:t>
        </w:r>
      </w:hyperlink>
      <w:r>
        <w:t xml:space="preserve"> </w:t>
      </w:r>
      <w:r>
        <w:t xml:space="preserve">extend the same device to the estimability question. Stage 2c then</w:t>
      </w:r>
      <w:r>
        <w:t xml:space="preserve"> </w:t>
      </w:r>
      <w:r>
        <w:t xml:space="preserve">runs the full DQ stress test (</w:t>
      </w:r>
      <w:r>
        <w:rPr>
          <w:rStyle w:val="VerbatimChar"/>
        </w:rPr>
        <w:t xml:space="preserve">run_plasmode_dq_stress()</w:t>
      </w:r>
      <w:r>
        <w:t xml:space="preserve">) over the</w:t>
      </w:r>
      <w:r>
        <w:t xml:space="preserve"> </w:t>
      </w:r>
      <w:r>
        <w:t xml:space="preserve">prespecified threat sweep and produces a structural pass on each</w:t>
      </w:r>
      <w:r>
        <w:t xml:space="preserve"> </w:t>
      </w:r>
      <w:r>
        <w:t xml:space="preserve">scenario at 50 replicates per threat-severity cell (an illustration</w:t>
      </w:r>
      <w:r>
        <w:t xml:space="preserve"> </w:t>
      </w:r>
      <w:r>
        <w:t xml:space="preserve">below the 200-replicate inferential bar; see</w:t>
      </w:r>
      <w:r>
        <w:t xml:space="preserve"> </w:t>
      </w:r>
      <w:hyperlink w:anchor="sec-reproducibility">
        <w:r>
          <w:rPr>
            <w:rStyle w:val="Hyperlink"/>
          </w:rPr>
          <w:t xml:space="preserve">Section 15</w:t>
        </w:r>
      </w:hyperlink>
      <w:r>
        <w:t xml:space="preserve"> </w:t>
      </w:r>
      <w:r>
        <w:t xml:space="preserve">for</w:t>
      </w:r>
      <w:r>
        <w:t xml:space="preserve"> </w:t>
      </w:r>
      <w:r>
        <w:t xml:space="preserve">the entry point). The five threats encoded by</w:t>
      </w:r>
      <w:r>
        <w:t xml:space="preserve"> </w:t>
      </w:r>
      <w:r>
        <w:rPr>
          <w:rStyle w:val="VerbatimChar"/>
        </w:rPr>
        <w:t xml:space="preserve">run_plasmode_dq_stress()</w:t>
      </w:r>
      <w:r>
        <w:t xml:space="preserve"> </w:t>
      </w:r>
      <w:r>
        <w:t xml:space="preserve">(covariate missingness under</w:t>
      </w:r>
      <w:r>
        <w:t xml:space="preserve"> </w:t>
      </w:r>
      <w:r>
        <w:t xml:space="preserve">MCAR/MAR/MNAR, exposure misclassification, outcome misclassification,</w:t>
      </w:r>
      <w:r>
        <w:t xml:space="preserve"> </w:t>
      </w:r>
      <w:r>
        <w:t xml:space="preserve">latent</w:t>
      </w:r>
      <w:r>
        <w:t xml:space="preserve"> </w:t>
      </w:r>
      <m:oMath>
        <m:r>
          <m:t>U</m:t>
        </m:r>
      </m:oMath>
      <w:r>
        <w:t xml:space="preserve">, and near-positivity) still do not cover one design</w:t>
      </w:r>
      <w:r>
        <w:t xml:space="preserve"> </w:t>
      </w:r>
      <w:r>
        <w:t xml:space="preserve">challenge that mattered in the rescueCo study, the strike-window</w:t>
      </w:r>
      <w:r>
        <w:t xml:space="preserve"> </w:t>
      </w:r>
      <w:r>
        <w:t xml:space="preserve">confounder, which motivates the time-window extension in</w:t>
      </w:r>
      <w:r>
        <w:t xml:space="preserve"> </w:t>
      </w:r>
      <w:hyperlink w:anchor="sec-future">
        <w:r>
          <w:rPr>
            <w:rStyle w:val="Hyperlink"/>
          </w:rPr>
          <w:t xml:space="preserve">Section 13.6</w:t>
        </w:r>
      </w:hyperlink>
      <w:r>
        <w:t xml:space="preserve">.</w:t>
      </w:r>
    </w:p>
    <w:bookmarkEnd w:id="138"/>
    <w:bookmarkStart w:id="139" w:name="synthetic-outcome-fidelity"/>
    <w:p>
      <w:pPr>
        <w:pStyle w:val="Heading3"/>
      </w:pPr>
      <w:r>
        <w:t xml:space="preserve">12.8.3 Synthetic-outcome fidelity</w:t>
      </w:r>
    </w:p>
    <w:p>
      <w:pPr>
        <w:pStyle w:val="FirstParagraph"/>
      </w:pPr>
      <w:r>
        <w:t xml:space="preserve">The plasmode resamples the empirical covariate structure of the</w:t>
      </w:r>
      <w:r>
        <w:t xml:space="preserve"> </w:t>
      </w:r>
      <w:r>
        <w:t xml:space="preserve">rescueCo cohort, redraws treatment from the fitted propensity</w:t>
      </w:r>
      <w:r>
        <w:t xml:space="preserve"> </w:t>
      </w:r>
      <w:r>
        <w:t xml:space="preserve">(</w:t>
      </w:r>
      <w:hyperlink w:anchor="sec-support-map">
        <w:r>
          <w:rPr>
            <w:rStyle w:val="Hyperlink"/>
          </w:rPr>
          <w:t xml:space="preserve">Section 6.4</w:t>
        </w:r>
      </w:hyperlink>
      <w:r>
        <w:t xml:space="preserve">), and generates synthetic outcomes from a</w:t>
      </w:r>
      <w:r>
        <w:t xml:space="preserve"> </w:t>
      </w:r>
      <w:r>
        <w:t xml:space="preserve">covariate-only model</w:t>
      </w:r>
      <w:r>
        <w:t xml:space="preserve"> </w:t>
      </w:r>
      <m:oMath>
        <m:sSub>
          <m:e>
            <m:r>
              <m:t>Q</m:t>
            </m:r>
          </m:e>
          <m:sub>
            <m:r>
              <m:t>0</m:t>
            </m:r>
          </m:sub>
        </m:sSub>
        <m:d>
          <m:dPr>
            <m:begChr m:val="("/>
            <m:endChr m:val=")"/>
            <m:sepChr m:val=""/>
            <m:grow/>
          </m:dPr>
          <m:e>
            <m:r>
              <m:t>W</m:t>
            </m:r>
          </m:e>
        </m:d>
        <m:r>
          <m:rPr>
            <m:sty m:val="p"/>
          </m:rPr>
          <m:t>=</m:t>
        </m:r>
        <m:r>
          <m:t>E</m:t>
        </m:r>
        <m:d>
          <m:dPr>
            <m:begChr m:val="["/>
            <m:endChr m:val="]"/>
            <m:sepChr m:val=""/>
            <m:grow/>
          </m:dPr>
          <m:e>
            <m:r>
              <m:t>Y</m:t>
            </m:r>
            <m:r>
              <m:rPr>
                <m:sty m:val="p"/>
              </m:rPr>
              <m:t>∣</m:t>
            </m:r>
            <m:r>
              <m:t>W</m:t>
            </m:r>
          </m:e>
        </m:d>
      </m:oMath>
      <w:r>
        <w:t xml:space="preserve">, so the synthetic covariate</w:t>
      </w:r>
      <w:r>
        <w:t xml:space="preserve"> </w:t>
      </w:r>
      <w:r>
        <w:t xml:space="preserve">marginals match the observed ones by construction. Because a</w:t>
      </w:r>
      <w:r>
        <w:t xml:space="preserve"> </w:t>
      </w:r>
      <w:r>
        <w:t xml:space="preserve">logistic</w:t>
      </w:r>
      <w:r>
        <w:t xml:space="preserve"> </w:t>
      </w:r>
      <m:oMath>
        <m:sSub>
          <m:e>
            <m:r>
              <m:t>Q</m:t>
            </m:r>
          </m:e>
          <m:sub>
            <m:r>
              <m:t>0</m:t>
            </m:r>
          </m:sub>
        </m:sSub>
      </m:oMath>
      <w:r>
        <w:t xml:space="preserve"> </w:t>
      </w:r>
      <w:r>
        <w:t xml:space="preserve">with an intercept forces the fitted mean to equal the observed</w:t>
      </w:r>
      <w:r>
        <w:t xml:space="preserve"> </w:t>
      </w:r>
      <w:r>
        <w:t xml:space="preserve">mean, a marginal prevalence match is automatic and is not by itself evidence of</w:t>
      </w:r>
      <w:r>
        <w:t xml:space="preserve"> </w:t>
      </w:r>
      <w:r>
        <w:t xml:space="preserve">fidelity, so we assess</w:t>
      </w:r>
      <w:r>
        <w:t xml:space="preserve"> </w:t>
      </w:r>
      <m:oMath>
        <m:sSub>
          <m:e>
            <m:r>
              <m:t>Q</m:t>
            </m:r>
          </m:e>
          <m:sub>
            <m:r>
              <m:t>0</m:t>
            </m:r>
          </m:sub>
        </m:sSub>
      </m:oMath>
      <w:r>
        <w:t xml:space="preserve"> </w:t>
      </w:r>
      <w:r>
        <w:t xml:space="preserve">out of sample instead. Fitting</w:t>
      </w:r>
      <w:r>
        <w:t xml:space="preserve"> </w:t>
      </w:r>
      <m:oMath>
        <m:sSub>
          <m:e>
            <m:r>
              <m:t>Q</m:t>
            </m:r>
          </m:e>
          <m:sub>
            <m:r>
              <m:t>0</m:t>
            </m:r>
          </m:sub>
        </m:sSub>
        <m:d>
          <m:dPr>
            <m:begChr m:val="("/>
            <m:endChr m:val=")"/>
            <m:sepChr m:val=""/>
            <m:grow/>
          </m:dPr>
          <m:e>
            <m:r>
              <m:t>W</m:t>
            </m:r>
          </m:e>
        </m:d>
      </m:oMath>
      <w:r>
        <w:t xml:space="preserve"> </w:t>
      </w:r>
      <w:r>
        <w:t xml:space="preserve">on the</w:t>
      </w:r>
      <w:r>
        <w:t xml:space="preserve"> </w:t>
      </w:r>
      <w:r>
        <w:t xml:space="preserve">earlier run’s complete-case functional-outcome cohort</w:t>
      </w:r>
      <w:r>
        <w:t xml:space="preserve"> </w:t>
      </w:r>
      <w:r>
        <w:t xml:space="preserve">(</w:t>
      </w:r>
      <m:oMath>
        <m:r>
          <m:t>n</m:t>
        </m:r>
        <m:r>
          <m:rPr>
            <m:sty m:val="p"/>
          </m:rPr>
          <m:t>=</m:t>
        </m:r>
        <m:r>
          <m:t>1277</m:t>
        </m:r>
      </m:oMath>
      <w:r>
        <w:t xml:space="preserve">, outcome prevalence</w:t>
      </w:r>
      <w:r>
        <w:t xml:space="preserve"> </w:t>
      </w:r>
      <w:r>
        <w:t xml:space="preserve">0.904) and evaluating it by ten-fold</w:t>
      </w:r>
      <w:r>
        <w:t xml:space="preserve"> </w:t>
      </w:r>
      <w:r>
        <w:t xml:space="preserve">cross-validation, the covariate-only outcome model discriminates the observed</w:t>
      </w:r>
      <w:r>
        <w:t xml:space="preserve"> </w:t>
      </w:r>
      <w:r>
        <w:t xml:space="preserve">outcome with a cross-validated AUC of 0.64 (the</w:t>
      </w:r>
      <w:r>
        <w:t xml:space="preserve"> </w:t>
      </w:r>
      <w:r>
        <w:t xml:space="preserve">in-sample AUC of 0.72 is optimistic by</w:t>
      </w:r>
      <w:r>
        <w:t xml:space="preserve"> </w:t>
      </w:r>
      <w:r>
        <w:t xml:space="preserve">resubstitution), and its out-of-sample calibration has a maximum absolute</w:t>
      </w:r>
      <w:r>
        <w:t xml:space="preserve"> </w:t>
      </w:r>
      <w:r>
        <w:t xml:space="preserve">predicted-minus-observed deviation across risk deciles of</w:t>
      </w:r>
      <w:r>
        <w:t xml:space="preserve"> </w:t>
      </w:r>
      <w:r>
        <w:t xml:space="preserve">0.061. This establishes that the</w:t>
      </w:r>
      <w:r>
        <w:t xml:space="preserve"> </w:t>
      </w:r>
      <w:r>
        <w:t xml:space="preserve">plasmode preserves the covariate structure and a moderately discriminating,</w:t>
      </w:r>
      <w:r>
        <w:t xml:space="preserve"> </w:t>
      </w:r>
      <w:r>
        <w:t xml:space="preserve">reasonably calibrated marginal outcome model, not that it reproduces the joint</w:t>
      </w:r>
      <w:r>
        <w:t xml:space="preserve"> </w:t>
      </w:r>
      <w:r>
        <w:t xml:space="preserve">treatment-outcome law. The synthetic outcome carries a fixed risk difference</w:t>
      </w:r>
      <w:r>
        <w:t xml:space="preserve"> </w:t>
      </w:r>
      <w:r>
        <w:t xml:space="preserve">and no effect modification, and the fidelity of that joint structure to the</w:t>
      </w:r>
      <w:r>
        <w:t xml:space="preserve"> </w:t>
      </w:r>
      <w:r>
        <w:t xml:space="preserve">realised process cannot be checked before the outcome is unblinded, so the</w:t>
      </w:r>
      <w:r>
        <w:t xml:space="preserve"> </w:t>
      </w:r>
      <w:r>
        <w:t xml:space="preserve">diagnostic is a necessary rather than a sufficient fidelity check, consistent</w:t>
      </w:r>
      <w:r>
        <w:t xml:space="preserve"> </w:t>
      </w:r>
      <w:r>
        <w:t xml:space="preserve">with the limitation in</w:t>
      </w:r>
      <w:r>
        <w:t xml:space="preserve"> </w:t>
      </w:r>
      <w:hyperlink w:anchor="sec-discussion">
        <w:r>
          <w:rPr>
            <w:rStyle w:val="Hyperlink"/>
          </w:rPr>
          <w:t xml:space="preserve">Section 13</w:t>
        </w:r>
      </w:hyperlink>
      <w:r>
        <w:t xml:space="preserve">.</w:t>
      </w:r>
    </w:p>
    <w:bookmarkEnd w:id="139"/>
    <w:bookmarkStart w:id="140" w:name="X11b03251d4243965818c23e078e2e7dfe52b4c9"/>
    <w:p>
      <w:pPr>
        <w:pStyle w:val="Heading3"/>
      </w:pPr>
      <w:r>
        <w:t xml:space="preserve">12.8.4 Estimator functions and real-data robustness</w:t>
      </w:r>
    </w:p>
    <w:p>
      <w:pPr>
        <w:pStyle w:val="FirstParagraph"/>
      </w:pPr>
      <w:r>
        <w:t xml:space="preserve">Applying cleanTMLE 0.1.0 to the original rescueCo lock surfaced more</w:t>
      </w:r>
      <w:r>
        <w:t xml:space="preserve"> </w:t>
      </w:r>
      <w:r>
        <w:t xml:space="preserve">than a dozen distinct issues, six of them blocking, which the 0.1.x</w:t>
      </w:r>
      <w:r>
        <w:t xml:space="preserve"> </w:t>
      </w:r>
      <w:r>
        <w:t xml:space="preserve">releases addressed:</w:t>
      </w:r>
      <w:r>
        <w:t xml:space="preserve"> </w:t>
      </w:r>
      <w:r>
        <w:rPr>
          <w:rStyle w:val="VerbatimChar"/>
        </w:rPr>
        <w:t xml:space="preserve">run_plasmode_dq_stress()</w:t>
      </w:r>
      <w:r>
        <w:t xml:space="preserve"> </w:t>
      </w:r>
      <w:r>
        <w:t xml:space="preserve">failed outright on a</w:t>
      </w:r>
      <w:r>
        <w:t xml:space="preserve"> </w:t>
      </w:r>
      <w:r>
        <w:t xml:space="preserve">lock with NA in the outcome (now guarded), the step-by-step TMLE</w:t>
      </w:r>
      <w:r>
        <w:t xml:space="preserve"> </w:t>
      </w:r>
      <w:r>
        <w:t xml:space="preserve">functions refused to fit on NA outcomes (now subset to complete cases</w:t>
      </w:r>
      <w:r>
        <w:t xml:space="preserve"> </w:t>
      </w:r>
      <w:r>
        <w:t xml:space="preserve">with an MCAR warning), the SuperLearner propensity fit crashed on</w:t>
      </w:r>
      <w:r>
        <w:t xml:space="preserve"> </w:t>
      </w:r>
      <w:r>
        <w:t xml:space="preserve">stale parallel backends (now sequential by default), and failed</w:t>
      </w:r>
      <w:r>
        <w:t xml:space="preserve"> </w:t>
      </w:r>
      <w:r>
        <w:t xml:space="preserve">negative-control fits were dropped silently (now recorded). The</w:t>
      </w:r>
      <w:r>
        <w:t xml:space="preserve"> </w:t>
      </w:r>
      <w:r>
        <w:t xml:space="preserve">multi-arm rebuild then drove the 0.2.0 redesign in the other</w:t>
      </w:r>
      <w:r>
        <w:t xml:space="preserve"> </w:t>
      </w:r>
      <w:r>
        <w:t xml:space="preserve">direction: the support assessment, the per-estimand feasibility</w:t>
      </w:r>
      <w:r>
        <w:t xml:space="preserve"> </w:t>
      </w:r>
      <w:r>
        <w:t xml:space="preserve">reading, the estimand ladder, and the generate-treatment plasmode all</w:t>
      </w:r>
      <w:r>
        <w:t xml:space="preserve"> </w:t>
      </w:r>
      <w:r>
        <w:t xml:space="preserve">exist because this study needed them, and the same rebuild</w:t>
      </w:r>
      <w:r>
        <w:t xml:space="preserve"> </w:t>
      </w:r>
      <w:r>
        <w:t xml:space="preserve">consolidated the exported surface from 149 functions to 54 after the</w:t>
      </w:r>
      <w:r>
        <w:t xml:space="preserve"> </w:t>
      </w:r>
      <w:r>
        <w:t xml:space="preserve">governance layer grew faster than its evidential value. We document</w:t>
      </w:r>
      <w:r>
        <w:t xml:space="preserve"> </w:t>
      </w:r>
      <w:r>
        <w:t xml:space="preserve">both directions candidly because the working theory of the framework</w:t>
      </w:r>
      <w:r>
        <w:t xml:space="preserve"> </w:t>
      </w:r>
      <w:r>
        <w:t xml:space="preserve">is that the prespecification record should make problems visible,</w:t>
      </w:r>
      <w:r>
        <w:t xml:space="preserve"> </w:t>
      </w:r>
      <w:r>
        <w:t xml:space="preserve">including problems with the package itself, rather than absorb them</w:t>
      </w:r>
      <w:r>
        <w:t xml:space="preserve"> </w:t>
      </w:r>
      <w:r>
        <w:t xml:space="preserve">into a hand-edited final table.</w:t>
      </w:r>
    </w:p>
    <w:p>
      <w:pPr>
        <w:pStyle w:val="BodyText"/>
      </w:pPr>
      <w:r>
        <w:t xml:space="preserve">The full release notes are in</w:t>
      </w:r>
      <w:r>
        <w:t xml:space="preserve"> </w:t>
      </w:r>
      <w:r>
        <w:rPr>
          <w:rStyle w:val="VerbatimChar"/>
        </w:rPr>
        <w:t xml:space="preserve">cleanTMLE/NEWS.md</w:t>
      </w:r>
      <w:r>
        <w:t xml:space="preserve">, and the case</w:t>
      </w:r>
      <w:r>
        <w:t xml:space="preserve"> </w:t>
      </w:r>
      <w:r>
        <w:t xml:space="preserve">study’s</w:t>
      </w:r>
      <w:r>
        <w:t xml:space="preserve"> </w:t>
      </w:r>
      <w:r>
        <w:rPr>
          <w:rStyle w:val="VerbatimChar"/>
        </w:rPr>
        <w:t xml:space="preserve">results/multiarm/</w:t>
      </w:r>
      <w:r>
        <w:t xml:space="preserve"> </w:t>
      </w:r>
      <w:r>
        <w:t xml:space="preserve">directory contains the CSV artifacts</w:t>
      </w:r>
      <w:r>
        <w:t xml:space="preserve"> </w:t>
      </w:r>
      <w:r>
        <w:t xml:space="preserve">behind every table in this section, together with the reconciliation</w:t>
      </w:r>
      <w:r>
        <w:t xml:space="preserve"> </w:t>
      </w:r>
      <w:r>
        <w:t xml:space="preserve">table against the parallel unblinded analysis.</w:t>
      </w:r>
    </w:p>
    <w:bookmarkEnd w:id="140"/>
    <w:bookmarkEnd w:id="141"/>
    <w:bookmarkEnd w:id="142"/>
    <w:bookmarkStart w:id="157" w:name="sec-discussion"/>
    <w:p>
      <w:pPr>
        <w:pStyle w:val="Heading1"/>
      </w:pPr>
      <w:r>
        <w:t xml:space="preserve">13. Discussion</w:t>
      </w:r>
    </w:p>
    <w:bookmarkStart w:id="143" w:name="what-cleantmle-contributes-operationally"/>
    <w:p>
      <w:pPr>
        <w:pStyle w:val="Heading2"/>
      </w:pPr>
      <w:r>
        <w:t xml:space="preserve">13.1 What cleanTMLE contributes operationally</w:t>
      </w:r>
    </w:p>
    <w:p>
      <w:pPr>
        <w:pStyle w:val="FirstParagraph"/>
      </w:pPr>
      <w:r>
        <w:t xml:space="preserve">The novelty in this paper is not causal identification. The roadmap and</w:t>
      </w:r>
      <w:r>
        <w:t xml:space="preserve"> </w:t>
      </w:r>
      <w:r>
        <w:t xml:space="preserve">target-trial literature</w:t>
      </w:r>
      <w:r>
        <w:t xml:space="preserve"> </w:t>
      </w:r>
      <w:r>
        <w:t xml:space="preserve">(Dang et al. 2023; Petersen and Laan 2014; M. A. Hernán and Robins 2016)</w:t>
      </w:r>
      <w:r>
        <w:t xml:space="preserve"> </w:t>
      </w:r>
      <w:r>
        <w:t xml:space="preserve">already provides that frame, and the package operates</w:t>
      </w:r>
      <w:r>
        <w:t xml:space="preserve"> </w:t>
      </w:r>
      <w:r>
        <w:t xml:space="preserve">inside its estimation and pre-outcome diagnostics steps. The novelty is that</w:t>
      </w:r>
      <w:r>
        <w:t xml:space="preserve"> </w:t>
      </w:r>
      <w:r>
        <w:t xml:space="preserve">two questions usually settled informally become explicit, prespecified</w:t>
      </w:r>
      <w:r>
        <w:t xml:space="preserve"> </w:t>
      </w:r>
      <w:r>
        <w:t xml:space="preserve">outputs of the blind phase. The first is estimability: the support</w:t>
      </w:r>
      <w:r>
        <w:t xml:space="preserve"> </w:t>
      </w:r>
      <w:r>
        <w:t xml:space="preserve">assessment, the per-estimand feasibility reading, the outcome-blind support</w:t>
      </w:r>
      <w:r>
        <w:t xml:space="preserve"> </w:t>
      </w:r>
      <w:r>
        <w:t xml:space="preserve">map, and the estimand ladder together answer</w:t>
      </w:r>
      <w:r>
        <w:t xml:space="preserve"> </w:t>
      </w:r>
      <w:r>
        <w:t xml:space="preserve">“is this comparison estimable,</w:t>
      </w:r>
      <w:r>
        <w:t xml:space="preserve"> </w:t>
      </w:r>
      <w:r>
        <w:t xml:space="preserve">and with which estimand”</w:t>
      </w:r>
      <w:r>
        <w:t xml:space="preserve"> </w:t>
      </w:r>
      <w:r>
        <w:t xml:space="preserve">before the outcome is examined, and convert any</w:t>
      </w:r>
      <w:r>
        <w:t xml:space="preserve"> </w:t>
      </w:r>
      <w:r>
        <w:t xml:space="preserve">estimand switch into a logged design decision. The second is robustness: the</w:t>
      </w:r>
      <w:r>
        <w:t xml:space="preserve"> </w:t>
      </w:r>
      <w:r>
        <w:t xml:space="preserve">DQ stress test adds a candidate-specific pre-outcome screen on top of the</w:t>
      </w:r>
      <w:r>
        <w:t xml:space="preserve"> </w:t>
      </w:r>
      <w:r>
        <w:t xml:space="preserve">standard plasmode loop. Around both, the analysis-lock object and the design</w:t>
      </w:r>
      <w:r>
        <w:t xml:space="preserve"> </w:t>
      </w:r>
      <w:r>
        <w:t xml:space="preserve">log make the prespecification a reproducible record, supporting transparent</w:t>
      </w:r>
      <w:r>
        <w:t xml:space="preserve"> </w:t>
      </w:r>
      <w:r>
        <w:t xml:space="preserve">reconstruction of paper-only prespecification checklists</w:t>
      </w:r>
      <w:r>
        <w:t xml:space="preserve"> </w:t>
      </w:r>
      <w:r>
        <w:t xml:space="preserve">(Gruber, Lee, et al. 2024; Cashin et al. 2024)</w:t>
      </w:r>
      <w:r>
        <w:t xml:space="preserve"> </w:t>
      </w:r>
      <w:r>
        <w:t xml:space="preserve">by an external reviewer.</w:t>
      </w:r>
    </w:p>
    <w:p>
      <w:pPr>
        <w:pStyle w:val="BodyText"/>
      </w:pPr>
      <w:r>
        <w:t xml:space="preserve">The contribution is operational, and a useful test is to ask what evidence the</w:t>
      </w:r>
      <w:r>
        <w:t xml:space="preserve"> </w:t>
      </w:r>
      <w:r>
        <w:t xml:space="preserve">package can and cannot produce. cleanTMLE can document that the analyst</w:t>
      </w:r>
      <w:r>
        <w:t xml:space="preserve"> </w:t>
      </w:r>
      <w:r>
        <w:t xml:space="preserve">prespecified the estimand ladder, the candidate estimators, the decision</w:t>
      </w:r>
      <w:r>
        <w:t xml:space="preserve"> </w:t>
      </w:r>
      <w:r>
        <w:t xml:space="preserve">thresholds, and the severity ranges; that the support and feasibility</w:t>
      </w:r>
      <w:r>
        <w:t xml:space="preserve"> </w:t>
      </w:r>
      <w:r>
        <w:t xml:space="preserve">verdicts, and any estimand switch, were fixed before unblinding; that the</w:t>
      </w:r>
      <w:r>
        <w:t xml:space="preserve"> </w:t>
      </w:r>
      <w:r>
        <w:t xml:space="preserve">locked candidate was the one that ran on the real outcome; and that a</w:t>
      </w:r>
      <w:r>
        <w:t xml:space="preserve"> </w:t>
      </w:r>
      <w:r>
        <w:t xml:space="preserve">fingerprinted record captures the sequence. cleanTMLE</w:t>
      </w:r>
      <w:r>
        <w:t xml:space="preserve"> </w:t>
      </w:r>
      <w:r>
        <w:t xml:space="preserve">cannot demonstrate that the data source is fit for the regulatory question,</w:t>
      </w:r>
      <w:r>
        <w:t xml:space="preserve"> </w:t>
      </w:r>
      <w:r>
        <w:t xml:space="preserve">that the exposure or outcome phenotypes have been validated, that the target</w:t>
      </w:r>
      <w:r>
        <w:t xml:space="preserve"> </w:t>
      </w:r>
      <w:r>
        <w:t xml:space="preserve">population is the regulatory decision population, or that the</w:t>
      </w:r>
      <w:r>
        <w:t xml:space="preserve"> </w:t>
      </w:r>
      <w:r>
        <w:t xml:space="preserve">unmeasured-confounder bound is defensible. Nor can the support machinery see</w:t>
      </w:r>
      <w:r>
        <w:t xml:space="preserve"> </w:t>
      </w:r>
      <w:r>
        <w:t xml:space="preserve">past the measured covariates: a propensity model that misses the separating</w:t>
      </w:r>
      <w:r>
        <w:t xml:space="preserve"> </w:t>
      </w:r>
      <w:r>
        <w:t xml:space="preserve">covariate will not warn, which is why the negative-control ladder and the</w:t>
      </w:r>
      <w:r>
        <w:t xml:space="preserve"> </w:t>
      </w:r>
      <w:r>
        <w:t xml:space="preserve">stratum checks run beside the global statistics. Those remain study-level</w:t>
      </w:r>
      <w:r>
        <w:t xml:space="preserve"> </w:t>
      </w:r>
      <w:r>
        <w:t xml:space="preserve">activities, anchored in target-trial protocols</w:t>
      </w:r>
      <w:r>
        <w:t xml:space="preserve"> </w:t>
      </w:r>
      <w:r>
        <w:t xml:space="preserve">(M. A. Hernán and Robins 2016; Cashin et al. 2024)</w:t>
      </w:r>
      <w:r>
        <w:t xml:space="preserve">, source-specific guidance</w:t>
      </w:r>
      <w:r>
        <w:t xml:space="preserve"> </w:t>
      </w:r>
      <w:r>
        <w:t xml:space="preserve">(U.S. Food and Drug Administration 2024a, 2024b, 2021; European Medicines Agency 2024, 2026)</w:t>
      </w:r>
      <w:r>
        <w:t xml:space="preserve">, and</w:t>
      </w:r>
      <w:r>
        <w:t xml:space="preserve"> </w:t>
      </w:r>
      <w:r>
        <w:t xml:space="preserve">post-outcome sensitivity analyses</w:t>
      </w:r>
      <w:r>
        <w:t xml:space="preserve"> </w:t>
      </w:r>
      <w:r>
        <w:t xml:space="preserve">(VanderWeele and Ding 2017; Lash et al. 2014; Dı́az and Laan 2013)</w:t>
      </w:r>
      <w:r>
        <w:t xml:space="preserve">.</w:t>
      </w:r>
    </w:p>
    <w:bookmarkEnd w:id="143"/>
    <w:bookmarkStart w:id="144" w:name="X77d575563b1a1946325af71eab48d1c62a6f8a8"/>
    <w:p>
      <w:pPr>
        <w:pStyle w:val="Heading2"/>
      </w:pPr>
      <w:r>
        <w:t xml:space="preserve">13.2 How the workflow aligns with regulatory expectations</w:t>
      </w:r>
    </w:p>
    <w:p>
      <w:pPr>
        <w:pStyle w:val="FirstParagraph"/>
      </w:pPr>
      <w:r>
        <w:t xml:space="preserve">For high-stakes regulatory or confirmatory RWE, cleanTMLE is best</w:t>
      </w:r>
      <w:r>
        <w:t xml:space="preserve"> </w:t>
      </w:r>
      <w:r>
        <w:t xml:space="preserve">used as one layer in a broader governed workflow. The lock and audit machinery track the</w:t>
      </w:r>
      <w:r>
        <w:t xml:space="preserve"> </w:t>
      </w:r>
      <w:r>
        <w:t xml:space="preserve">prespecification and traceability that FDA RWE program guidance,</w:t>
      </w:r>
      <w:r>
        <w:t xml:space="preserve"> </w:t>
      </w:r>
      <w:r>
        <w:t xml:space="preserve">EMA RWD guidance, and the NICE RWE framework expect</w:t>
      </w:r>
      <w:r>
        <w:t xml:space="preserve"> </w:t>
      </w:r>
      <w:r>
        <w:t xml:space="preserve">(U.S. Food and Drug Administration 2018, 2024a, 2024c; European Medicines Agency 2024; National Institute for Health and Care Excellence 2022)</w:t>
      </w:r>
      <w:r>
        <w:t xml:space="preserve"> </w:t>
      </w:r>
      <w:r>
        <w:t xml:space="preserve">and match the data-quality dimensions</w:t>
      </w:r>
      <w:r>
        <w:t xml:space="preserve"> </w:t>
      </w:r>
      <w:r>
        <w:t xml:space="preserve">in the EMA RWD framework</w:t>
      </w:r>
      <w:r>
        <w:t xml:space="preserve"> </w:t>
      </w:r>
      <w:r>
        <w:t xml:space="preserve">(European Medicines Agency 2026)</w:t>
      </w:r>
      <w:r>
        <w:t xml:space="preserve"> </w:t>
      </w:r>
      <w:r>
        <w:t xml:space="preserve">and ICH M14 (March 2026)</w:t>
      </w:r>
      <w:r>
        <w:t xml:space="preserve"> </w:t>
      </w:r>
      <w:r>
        <w:t xml:space="preserve">(International Council for Harmonisation 2026)</w:t>
      </w:r>
      <w:r>
        <w:t xml:space="preserve">, as summarised in</w:t>
      </w:r>
      <w:r>
        <w:t xml:space="preserve"> </w:t>
      </w:r>
      <w:hyperlink w:anchor="tbl-reg-align">
        <w:r>
          <w:rPr>
            <w:rStyle w:val="Hyperlink"/>
          </w:rPr>
          <w:t xml:space="preserve">Table 15</w:t>
        </w:r>
      </w:hyperlink>
      <w:r>
        <w:t xml:space="preserve">. As stated in the abstract, the</w:t>
      </w:r>
      <w:r>
        <w:t xml:space="preserve"> </w:t>
      </w:r>
      <w:r>
        <w:t xml:space="preserve">software layer sits inside, rather than substitutes for, the</w:t>
      </w:r>
      <w:r>
        <w:t xml:space="preserve"> </w:t>
      </w:r>
      <w:r>
        <w:t xml:space="preserve">personnel-based governance this guidance requires: documented source</w:t>
      </w:r>
      <w:r>
        <w:t xml:space="preserve"> </w:t>
      </w:r>
      <w:r>
        <w:t xml:space="preserve">assessment, role-based access controls, and structured protocol records.</w:t>
      </w:r>
    </w:p>
    <w:bookmarkEnd w:id="144"/>
    <w:bookmarkStart w:id="146" w:name="comparison-with-adjacent-tools"/>
    <w:p>
      <w:pPr>
        <w:pStyle w:val="Heading2"/>
      </w:pPr>
      <w:r>
        <w:t xml:space="preserve">13.3 Comparison with adjacent tools</w:t>
      </w:r>
    </w:p>
    <w:p>
      <w:pPr>
        <w:pStyle w:val="FirstParagraph"/>
      </w:pPr>
      <w:hyperlink w:anchor="tbl-baselines">
        <w:r>
          <w:rPr>
            <w:rStyle w:val="Hyperlink"/>
          </w:rPr>
          <w:t xml:space="preserve">Table 12</w:t>
        </w:r>
      </w:hyperlink>
      <w:r>
        <w:t xml:space="preserve"> </w:t>
      </w:r>
      <w:r>
        <w:t xml:space="preserve">places cleanTMLE against the nearest alternatives, to make</w:t>
      </w:r>
      <w:r>
        <w:t xml:space="preserve"> </w:t>
      </w:r>
      <w:r>
        <w:t xml:space="preserve">explicit which capabilities are shared and which are specific to the</w:t>
      </w:r>
      <w:r>
        <w:t xml:space="preserve"> </w:t>
      </w:r>
      <w:r>
        <w:t xml:space="preserve">package. The combination that distinguishes cleanTMLE is the</w:t>
      </w:r>
      <w:r>
        <w:t xml:space="preserve"> </w:t>
      </w:r>
      <w:r>
        <w:t xml:space="preserve">design-stage estimability answer (support assessment, per-estimand</w:t>
      </w:r>
      <w:r>
        <w:t xml:space="preserve"> </w:t>
      </w:r>
      <w:r>
        <w:t xml:space="preserve">feasibility, the support map, and the estimand ladder), the</w:t>
      </w:r>
      <w:r>
        <w:t xml:space="preserve"> </w:t>
      </w:r>
      <w:r>
        <w:t xml:space="preserve">outcome-blind plasmode candidate selection with the DQ stress test on</w:t>
      </w:r>
      <w:r>
        <w:t xml:space="preserve"> </w:t>
      </w:r>
      <w:r>
        <w:t xml:space="preserve">the same decision scale, and the prespecification record (lock and</w:t>
      </w:r>
      <w:r>
        <w:t xml:space="preserve"> </w:t>
      </w:r>
      <w:r>
        <w:t xml:space="preserve">design log), bound to a doubly robust estimator layer that reproduces a</w:t>
      </w:r>
      <w:r>
        <w:t xml:space="preserve"> </w:t>
      </w:r>
      <w:r>
        <w:t xml:space="preserve">mature cumulative-risk package (</w:t>
      </w:r>
      <w:hyperlink w:anchor="sec-casestudy">
        <w:r>
          <w:rPr>
            <w:rStyle w:val="Hyperlink"/>
          </w:rPr>
          <w:t xml:space="preserve">Section 12</w:t>
        </w:r>
      </w:hyperlink>
      <w:r>
        <w:t xml:space="preserve">, and the side-by-side</w:t>
      </w:r>
      <w:r>
        <w:t xml:space="preserve"> </w:t>
      </w:r>
      <w:r>
        <w:t xml:space="preserve">ACTG 320 reproduction in the companion repository).</w:t>
      </w:r>
    </w:p>
    <w:tbl>
      <w:tblPr>
        <w:tblStyle w:val="Table"/>
        <w:tblW w:type="pct" w:w="5000"/>
        <w:tblLayout w:type="fixed"/>
        <w:tblLook w:firstRow="0" w:lastRow="0" w:firstColumn="0" w:lastColumn="0" w:noHBand="0" w:noVBand="0" w:val="0000"/>
      </w:tblPr>
      <w:tblGrid>
        <w:gridCol w:w="7920"/>
      </w:tblGrid>
      <w:tr>
        <w:tc>
          <w:tcPr/>
          <w:bookmarkStart w:id="145" w:name="tbl-baselines"/>
          <w:p>
            <w:pPr>
              <w:jc w:val="center"/>
            </w:pPr>
            <w:pPr>
              <w:jc w:val="start"/>
              <w:spacing w:before="200"/>
              <w:pStyle w:val="ImageCaption"/>
            </w:pPr>
            <w:r>
              <w:t xml:space="preserve">Table 12: cleanTMLE against adjacent tools. The estimator layer overlaps with established packages; the design-stage estimability answer, the outcome-blind selection, the DQ stress test, and the machine-checkable prespecification record are the distinguishing combination.</w:t>
            </w:r>
          </w:p>
          <w:tbl>
            <w:tblPr>
              <w:tblStyle w:val="Table"/>
              <w:tblW w:type="pct" w:w="5000"/>
              <w:tblLayout w:type="fixed"/>
              <w:tblLook w:firstRow="1" w:lastRow="0" w:firstColumn="0" w:lastColumn="0" w:noHBand="0" w:noVBand="0" w:val="0020"/>
            </w:tblPr>
            <w:tblGrid>
              <w:gridCol w:w="2591"/>
              <w:gridCol w:w="1906"/>
              <w:gridCol w:w="537"/>
              <w:gridCol w:w="1124"/>
              <w:gridCol w:w="1760"/>
            </w:tblGrid>
            <w:tr>
              <w:trPr>
                <w:tblHeader w:val="on"/>
              </w:trPr>
              <w:tc>
                <w:tcPr/>
                <w:p>
                  <w:pPr>
                    <w:pStyle w:val="Compact"/>
                    <w:jc w:val="left"/>
                    <w:jc w:val="center"/>
                  </w:pPr>
                  <w:r>
                    <w:t xml:space="preserve">Capability</w:t>
                  </w:r>
                </w:p>
              </w:tc>
              <w:tc>
                <w:tcPr/>
                <w:p>
                  <w:pPr>
                    <w:pStyle w:val="Compact"/>
                    <w:jc w:val="left"/>
                    <w:jc w:val="center"/>
                  </w:pPr>
                  <w:r>
                    <w:t xml:space="preserve">cleanTMLE</w:t>
                  </w:r>
                </w:p>
              </w:tc>
              <w:tc>
                <w:tcPr/>
                <w:p>
                  <w:pPr>
                    <w:pStyle w:val="Compact"/>
                    <w:jc w:val="left"/>
                    <w:jc w:val="center"/>
                  </w:pPr>
                  <w:r>
                    <w:t xml:space="preserve">causalRisk</w:t>
                  </w:r>
                </w:p>
              </w:tc>
              <w:tc>
                <w:tcPr/>
                <w:p>
                  <w:pPr>
                    <w:pStyle w:val="Compact"/>
                    <w:jc w:val="left"/>
                    <w:jc w:val="center"/>
                  </w:pPr>
                  <w:r>
                    <w:t xml:space="preserve">tmle / survtmle / lmtp</w:t>
                  </w:r>
                </w:p>
              </w:tc>
              <w:tc>
                <w:tcPr/>
                <w:p>
                  <w:pPr>
                    <w:pStyle w:val="Compact"/>
                    <w:jc w:val="left"/>
                    <w:jc w:val="center"/>
                  </w:pPr>
                  <w:r>
                    <w:t xml:space="preserve">STaRT-RWE / HARPER + git/renv</w:t>
                  </w:r>
                </w:p>
              </w:tc>
            </w:tr>
            <w:tr>
              <w:tc>
                <w:tcPr/>
                <w:p>
                  <w:pPr>
                    <w:pStyle w:val="Compact"/>
                    <w:jc w:val="left"/>
                    <w:jc w:val="center"/>
                  </w:pPr>
                  <w:r>
                    <w:t xml:space="preserve">Doubly robust TMLE</w:t>
                  </w:r>
                </w:p>
              </w:tc>
              <w:tc>
                <w:tcPr/>
                <w:p>
                  <w:pPr>
                    <w:pStyle w:val="Compact"/>
                    <w:jc w:val="left"/>
                    <w:jc w:val="center"/>
                  </w:pPr>
                  <w:r>
                    <w:t xml:space="preserve">Yes</w:t>
                  </w:r>
                </w:p>
              </w:tc>
              <w:tc>
                <w:tcPr/>
                <w:p>
                  <w:pPr>
                    <w:pStyle w:val="Compact"/>
                    <w:jc w:val="left"/>
                    <w:jc w:val="center"/>
                  </w:pPr>
                  <w:r>
                    <w:t xml:space="preserve">AIPW</w:t>
                  </w:r>
                </w:p>
              </w:tc>
              <w:tc>
                <w:tcPr/>
                <w:p>
                  <w:pPr>
                    <w:pStyle w:val="Compact"/>
                    <w:jc w:val="left"/>
                    <w:jc w:val="center"/>
                  </w:pPr>
                  <w:r>
                    <w:t xml:space="preserve">Yes</w:t>
                  </w:r>
                </w:p>
              </w:tc>
              <w:tc>
                <w:tcPr/>
                <w:p>
                  <w:pPr>
                    <w:pStyle w:val="Compact"/>
                    <w:jc w:val="left"/>
                    <w:jc w:val="center"/>
                  </w:pPr>
                  <w:r>
                    <w:t xml:space="preserve">No</w:t>
                  </w:r>
                </w:p>
              </w:tc>
            </w:tr>
            <w:tr>
              <w:tc>
                <w:tcPr/>
                <w:p>
                  <w:pPr>
                    <w:pStyle w:val="Compact"/>
                    <w:jc w:val="left"/>
                    <w:jc w:val="center"/>
                  </w:pPr>
                  <w:r>
                    <w:t xml:space="preserve">Cumulative-risk / competing risks</w:t>
                  </w:r>
                </w:p>
              </w:tc>
              <w:tc>
                <w:tcPr/>
                <w:p>
                  <w:pPr>
                    <w:pStyle w:val="Compact"/>
                    <w:jc w:val="left"/>
                    <w:jc w:val="center"/>
                  </w:pPr>
                  <w:r>
                    <w:t xml:space="preserve">Yes (grammar verbs; ladder on roadmap)</w:t>
                  </w:r>
                </w:p>
              </w:tc>
              <w:tc>
                <w:tcPr/>
                <w:p>
                  <w:pPr>
                    <w:pStyle w:val="Compact"/>
                    <w:jc w:val="left"/>
                    <w:jc w:val="center"/>
                  </w:pPr>
                  <w:r>
                    <w:t xml:space="preserve">Yes</w:t>
                  </w:r>
                </w:p>
              </w:tc>
              <w:tc>
                <w:tcPr/>
                <w:p>
                  <w:pPr>
                    <w:pStyle w:val="Compact"/>
                    <w:jc w:val="left"/>
                    <w:jc w:val="center"/>
                  </w:pPr>
                  <w:r>
                    <w:t xml:space="preserve">survtmle / lmtp</w:t>
                  </w:r>
                </w:p>
              </w:tc>
              <w:tc>
                <w:tcPr/>
                <w:p>
                  <w:pPr>
                    <w:pStyle w:val="Compact"/>
                    <w:jc w:val="left"/>
                    <w:jc w:val="center"/>
                  </w:pPr>
                  <w:r>
                    <w:t xml:space="preserve">No</w:t>
                  </w:r>
                </w:p>
              </w:tc>
            </w:tr>
            <w:tr>
              <w:tc>
                <w:tcPr/>
                <w:p>
                  <w:pPr>
                    <w:pStyle w:val="Compact"/>
                    <w:jc w:val="left"/>
                    <w:jc w:val="center"/>
                  </w:pPr>
                  <w:r>
                    <w:t xml:space="preserve">Time-varying treatment</w:t>
                  </w:r>
                </w:p>
              </w:tc>
              <w:tc>
                <w:tcPr/>
                <w:p>
                  <w:pPr>
                    <w:pStyle w:val="Compact"/>
                    <w:jc w:val="left"/>
                    <w:jc w:val="center"/>
                  </w:pPr>
                  <w:r>
                    <w:t xml:space="preserve">No (compose with lmtp)</w:t>
                  </w:r>
                </w:p>
              </w:tc>
              <w:tc>
                <w:tcPr/>
                <w:p>
                  <w:pPr>
                    <w:pStyle w:val="Compact"/>
                    <w:jc w:val="left"/>
                    <w:jc w:val="center"/>
                  </w:pPr>
                  <w:r>
                    <w:t xml:space="preserve">Yes</w:t>
                  </w:r>
                </w:p>
              </w:tc>
              <w:tc>
                <w:tcPr/>
                <w:p>
                  <w:pPr>
                    <w:pStyle w:val="Compact"/>
                    <w:jc w:val="left"/>
                    <w:jc w:val="center"/>
                  </w:pPr>
                  <w:r>
                    <w:t xml:space="preserve">lmtp</w:t>
                  </w:r>
                </w:p>
              </w:tc>
              <w:tc>
                <w:tcPr/>
                <w:p>
                  <w:pPr>
                    <w:pStyle w:val="Compact"/>
                    <w:jc w:val="left"/>
                    <w:jc w:val="center"/>
                  </w:pPr>
                  <w:r>
                    <w:t xml:space="preserve">No</w:t>
                  </w:r>
                </w:p>
              </w:tc>
            </w:tr>
            <w:tr>
              <w:tc>
                <w:tcPr/>
                <w:p>
                  <w:pPr>
                    <w:pStyle w:val="Compact"/>
                    <w:jc w:val="left"/>
                    <w:jc w:val="center"/>
                  </w:pPr>
                  <w:r>
                    <w:t xml:space="preserve">Graded support assessment + per-estimand feasibility</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w:t>
                  </w:r>
                </w:p>
              </w:tc>
            </w:tr>
            <w:tr>
              <w:tc>
                <w:tcPr/>
                <w:p>
                  <w:pPr>
                    <w:pStyle w:val="Compact"/>
                    <w:jc w:val="left"/>
                    <w:jc w:val="center"/>
                  </w:pPr>
                  <w:r>
                    <w:t xml:space="preserve">Pre-registered estimand ladder with logged switching</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w:t>
                  </w:r>
                </w:p>
              </w:tc>
            </w:tr>
            <w:tr>
              <w:tc>
                <w:tcPr/>
                <w:p>
                  <w:pPr>
                    <w:pStyle w:val="Compact"/>
                    <w:jc w:val="left"/>
                    <w:jc w:val="center"/>
                  </w:pPr>
                  <w:r>
                    <w:t xml:space="preserve">Outcome-blind plasmode candidate selection</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w:t>
                  </w:r>
                </w:p>
              </w:tc>
            </w:tr>
            <w:tr>
              <w:tc>
                <w:tcPr/>
                <w:p>
                  <w:pPr>
                    <w:pStyle w:val="Compact"/>
                    <w:jc w:val="left"/>
                    <w:jc w:val="center"/>
                  </w:pPr>
                  <w:r>
                    <w:t xml:space="preserve">Data-quality stress test (shared decision scale)</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w:t>
                  </w:r>
                </w:p>
              </w:tc>
            </w:tr>
            <w:tr>
              <w:tc>
                <w:tcPr/>
                <w:p>
                  <w:pPr>
                    <w:pStyle w:val="Compact"/>
                    <w:jc w:val="left"/>
                    <w:jc w:val="center"/>
                  </w:pPr>
                  <w:r>
                    <w:t xml:space="preserve">Prespecification lock + design log</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Paper template; not machine-checked</w:t>
                  </w:r>
                </w:p>
              </w:tc>
            </w:tr>
            <w:tr>
              <w:tc>
                <w:tcPr/>
                <w:p>
                  <w:pPr>
                    <w:pStyle w:val="Compact"/>
                    <w:jc w:val="left"/>
                    <w:jc w:val="center"/>
                  </w:pPr>
                  <w:r>
                    <w:t xml:space="preserve">Fit-for-purpose to estimator-selection bridge</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w:t>
                  </w:r>
                </w:p>
              </w:tc>
            </w:tr>
          </w:tbl>
          <w:bookmarkEnd w:id="145"/>
          <w:p/>
        </w:tc>
      </w:tr>
    </w:tbl>
    <w:p>
      <w:pPr>
        <w:pStyle w:val="BodyText"/>
      </w:pPr>
      <w:r>
        <w:t xml:space="preserve">The contrast with the E-value is treated once in</w:t>
      </w:r>
      <w:r>
        <w:t xml:space="preserve"> </w:t>
      </w:r>
      <w:hyperlink w:anchor="sec-evalue">
        <w:r>
          <w:rPr>
            <w:rStyle w:val="Hyperlink"/>
          </w:rPr>
          <w:t xml:space="preserve">Section 10.5</w:t>
        </w:r>
      </w:hyperlink>
      <w:r>
        <w:t xml:space="preserve">, where the</w:t>
      </w:r>
      <w:r>
        <w:t xml:space="preserve"> </w:t>
      </w:r>
      <w:r>
        <w:t xml:space="preserve">post-hoc E-value and the pre-hoc, candidate-specific DQ stress test are shown</w:t>
      </w:r>
      <w:r>
        <w:t xml:space="preserve"> </w:t>
      </w:r>
      <w:r>
        <w:t xml:space="preserve">to answer different questions and to be worth reporting together.</w:t>
      </w:r>
    </w:p>
    <w:p>
      <w:pPr>
        <w:pStyle w:val="BodyText"/>
      </w:pPr>
      <w:r>
        <w:t xml:space="preserve">Quantitative bias analysis</w:t>
      </w:r>
      <w:r>
        <w:t xml:space="preserve"> </w:t>
      </w:r>
      <w:r>
        <w:t xml:space="preserve">(Lash et al. 2014)</w:t>
      </w:r>
      <w:r>
        <w:t xml:space="preserve"> </w:t>
      </w:r>
      <w:r>
        <w:t xml:space="preserve">adjusts the final</w:t>
      </w:r>
      <w:r>
        <w:t xml:space="preserve"> </w:t>
      </w:r>
      <w:r>
        <w:t xml:space="preserve">estimate for postulated biases. Like the E-value, QBA is an</w:t>
      </w:r>
      <w:r>
        <w:t xml:space="preserve"> </w:t>
      </w:r>
      <w:r>
        <w:t xml:space="preserve">unblinding-stage tool. The DQ stress test does not adjust the</w:t>
      </w:r>
      <w:r>
        <w:t xml:space="preserve"> </w:t>
      </w:r>
      <w:r>
        <w:t xml:space="preserve">estimate; it asks whether the estimator continues to meet the</w:t>
      </w:r>
      <w:r>
        <w:t xml:space="preserve"> </w:t>
      </w:r>
      <w:r>
        <w:t xml:space="preserve">prespecified performance criteria when the biases are present. We</w:t>
      </w:r>
      <w:r>
        <w:t xml:space="preserve"> </w:t>
      </w:r>
      <w:r>
        <w:t xml:space="preserve">therefore recommend QBA at the analysis stage and the DQ stress</w:t>
      </w:r>
      <w:r>
        <w:t xml:space="preserve"> </w:t>
      </w:r>
      <w:r>
        <w:t xml:space="preserve">test at the prespecification stage.</w:t>
      </w:r>
    </w:p>
    <w:p>
      <w:pPr>
        <w:pStyle w:val="BodyText"/>
      </w:pPr>
      <w:r>
        <w:t xml:space="preserve">The targeted-learning causal-gap sensitivity analysis</w:t>
      </w:r>
      <w:r>
        <w:t xml:space="preserve"> </w:t>
      </w:r>
      <w:r>
        <w:t xml:space="preserve">(Dı́az and Laan 2013)</w:t>
      </w:r>
      <w:r>
        <w:t xml:space="preserve"> </w:t>
      </w:r>
      <w:r>
        <w:t xml:space="preserve">characterises the change in</w:t>
      </w:r>
      <w:r>
        <w:t xml:space="preserve"> </w:t>
      </w:r>
      <m:oMath>
        <m:r>
          <m:t>Ψ</m:t>
        </m:r>
      </m:oMath>
      <w:r>
        <w:t xml:space="preserve"> </w:t>
      </w:r>
      <w:r>
        <w:t xml:space="preserve">as the</w:t>
      </w:r>
      <w:r>
        <w:t xml:space="preserve"> </w:t>
      </w:r>
      <w:r>
        <w:t xml:space="preserve">unmeasured-confounder bound varies. Causal-gap is unblinding-stage</w:t>
      </w:r>
      <w:r>
        <w:t xml:space="preserve"> </w:t>
      </w:r>
      <w:r>
        <w:t xml:space="preserve">and characterises one threat (unmeasured confounding) in a TL-</w:t>
      </w:r>
      <w:r>
        <w:t xml:space="preserve"> </w:t>
      </w:r>
      <w:r>
        <w:t xml:space="preserve">specific way. The DQ stress test is broader (it covers five</w:t>
      </w:r>
      <w:r>
        <w:t xml:space="preserve"> </w:t>
      </w:r>
      <w:r>
        <w:t xml:space="preserve">threats) but cruder (it does not adjust the estimate). Both are</w:t>
      </w:r>
      <w:r>
        <w:t xml:space="preserve"> </w:t>
      </w:r>
      <w:r>
        <w:t xml:space="preserve">useful and complementary.</w:t>
      </w:r>
    </w:p>
    <w:p>
      <w:pPr>
        <w:pStyle w:val="BodyText"/>
      </w:pPr>
      <w:r>
        <w:t xml:space="preserve">Negative-control outcomes</w:t>
      </w:r>
      <w:r>
        <w:t xml:space="preserve"> </w:t>
      </w:r>
      <w:r>
        <w:t xml:space="preserve">(Lipsitch, Tchetgen Tchetgen, and Cohen 2010)</w:t>
      </w:r>
      <w:r>
        <w:t xml:space="preserve"> </w:t>
      </w:r>
      <w:r>
        <w:t xml:space="preserve">test for</w:t>
      </w:r>
      <w:r>
        <w:t xml:space="preserve"> </w:t>
      </w:r>
      <w:r>
        <w:t xml:space="preserve">residual confounding in the realised data. Because they use real</w:t>
      </w:r>
      <w:r>
        <w:t xml:space="preserve"> </w:t>
      </w:r>
      <w:r>
        <w:t xml:space="preserve">data, they are at-outcome rather than pre-outcome. The DQ stress</w:t>
      </w:r>
      <w:r>
        <w:t xml:space="preserve"> </w:t>
      </w:r>
      <w:r>
        <w:t xml:space="preserve">test cannot detect residual confounding; the NCO check cannot</w:t>
      </w:r>
      <w:r>
        <w:t xml:space="preserve"> </w:t>
      </w:r>
      <w:r>
        <w:t xml:space="preserve">detect covariate missingness or exposure misclassification. They</w:t>
      </w:r>
      <w:r>
        <w:t xml:space="preserve"> </w:t>
      </w:r>
      <w:r>
        <w:t xml:space="preserve">target different threats.</w:t>
      </w:r>
      <w:r>
        <w:t xml:space="preserve"> </w:t>
      </w:r>
      <w:r>
        <w:t xml:space="preserve">Muntner et al. (2024)</w:t>
      </w:r>
      <w:r>
        <w:t xml:space="preserve"> </w:t>
      </w:r>
      <w:r>
        <w:t xml:space="preserve">recommend selecting</w:t>
      </w:r>
      <w:r>
        <w:t xml:space="preserve"> </w:t>
      </w:r>
      <w:r>
        <w:t xml:space="preserve">NCOs across four domains (confounding by indication, functional</w:t>
      </w:r>
      <w:r>
        <w:t xml:space="preserve"> </w:t>
      </w:r>
      <w:r>
        <w:t xml:space="preserve">status, health-seeking behaviour, and access to healthcare) and</w:t>
      </w:r>
      <w:r>
        <w:t xml:space="preserve"> </w:t>
      </w:r>
      <w:r>
        <w:t xml:space="preserve">Levintow et al. (2023)</w:t>
      </w:r>
      <w:r>
        <w:t xml:space="preserve"> </w:t>
      </w:r>
      <w:r>
        <w:t xml:space="preserve">give pragmatic guidance for choosing them; the</w:t>
      </w:r>
      <w:r>
        <w:t xml:space="preserve"> </w:t>
      </w:r>
      <w:r>
        <w:t xml:space="preserve">cleanTMLE workflow records each declared NCO in the lock so the</w:t>
      </w:r>
      <w:r>
        <w:t xml:space="preserve"> </w:t>
      </w:r>
      <w:r>
        <w:t xml:space="preserve">chosen domains are part of the audit trail.</w:t>
      </w:r>
    </w:p>
    <w:p>
      <w:pPr>
        <w:pStyle w:val="BodyText"/>
      </w:pPr>
      <w:r>
        <w:t xml:space="preserve">Kent (2026)</w:t>
      </w:r>
      <w:r>
        <w:t xml:space="preserve"> </w:t>
      </w:r>
      <w:r>
        <w:t xml:space="preserve">reports a worked applied use of the staging</w:t>
      </w:r>
      <w:r>
        <w:t xml:space="preserve"> </w:t>
      </w:r>
      <w:r>
        <w:t xml:space="preserve">framework for a comparative-effectiveness study of evolocumab</w:t>
      </w:r>
      <w:r>
        <w:t xml:space="preserve"> </w:t>
      </w:r>
      <w:r>
        <w:t xml:space="preserve">versus non-treatment for major adverse cardiovascular events in</w:t>
      </w:r>
      <w:r>
        <w:t xml:space="preserve"> </w:t>
      </w:r>
      <w:r>
        <w:t xml:space="preserve">the Komodo Healthcare Map: negative-control outcomes flagged</w:t>
      </w:r>
      <w:r>
        <w:t xml:space="preserve"> </w:t>
      </w:r>
      <w:r>
        <w:t xml:space="preserve">residual bias in the health-seeking-behaviour domain, the review</w:t>
      </w:r>
      <w:r>
        <w:t xml:space="preserve"> </w:t>
      </w:r>
      <w:r>
        <w:t xml:space="preserve">team allowed the study to proceed conditional on a pre-specified</w:t>
      </w:r>
      <w:r>
        <w:t xml:space="preserve"> </w:t>
      </w:r>
      <w:r>
        <w:t xml:space="preserve">E-value quantitative-bias-analysis plan, and the final risk</w:t>
      </w:r>
      <w:r>
        <w:t xml:space="preserve"> </w:t>
      </w:r>
      <w:r>
        <w:t xml:space="preserve">difference at four years was reported as roughly</w:t>
      </w:r>
      <w:r>
        <w:t xml:space="preserve"> </w:t>
      </w:r>
      <m:oMath>
        <m:r>
          <m:rPr>
            <m:sty m:val="p"/>
          </m:rPr>
          <m:t>−</m:t>
        </m:r>
        <m:r>
          <m:t>4</m:t>
        </m:r>
        <m:r>
          <m:rPr>
            <m:sty m:val="p"/>
          </m:rPr>
          <m:t>%</m:t>
        </m:r>
      </m:oMath>
      <w:r>
        <w:t xml:space="preserve">. The</w:t>
      </w:r>
      <w:r>
        <w:t xml:space="preserve"> </w:t>
      </w:r>
      <w:r>
        <w:t xml:space="preserve">example illustrates both the staged decision rule and the role of</w:t>
      </w:r>
      <w:r>
        <w:t xml:space="preserve"> </w:t>
      </w:r>
      <w:r>
        <w:t xml:space="preserve">negative-control domains in practice.</w:t>
      </w:r>
    </w:p>
    <w:bookmarkEnd w:id="146"/>
    <w:bookmarkStart w:id="147" w:name="sec-limitations"/>
    <w:p>
      <w:pPr>
        <w:pStyle w:val="Heading2"/>
      </w:pPr>
      <w:r>
        <w:t xml:space="preserve">13.4 Limitations of plasmode data-quality stress testing</w:t>
      </w:r>
    </w:p>
    <w:p>
      <w:pPr>
        <w:pStyle w:val="FirstParagraph"/>
      </w:pPr>
      <w:r>
        <w:t xml:space="preserve">A plasmode data-quality stress test is only as informative as the</w:t>
      </w:r>
      <w:r>
        <w:t xml:space="preserve"> </w:t>
      </w:r>
      <w:r>
        <w:t xml:space="preserve">synthetic outcome model and degradation mechanisms used to</w:t>
      </w:r>
      <w:r>
        <w:t xml:space="preserve"> </w:t>
      </w:r>
      <w:r>
        <w:t xml:space="preserve">generate it. Passing the pre-outcome decision rule does not</w:t>
      </w:r>
      <w:r>
        <w:t xml:space="preserve"> </w:t>
      </w:r>
      <w:r>
        <w:t xml:space="preserve">establish identification, remove unmeasured confounding, validate</w:t>
      </w:r>
      <w:r>
        <w:t xml:space="preserve"> </w:t>
      </w:r>
      <w:r>
        <w:t xml:space="preserve">the data source, or demonstrate that the target population matches</w:t>
      </w:r>
      <w:r>
        <w:t xml:space="preserve"> </w:t>
      </w:r>
      <w:r>
        <w:t xml:space="preserve">the regulatory decision population. It shows only that, under the</w:t>
      </w:r>
      <w:r>
        <w:t xml:space="preserve"> </w:t>
      </w:r>
      <w:r>
        <w:t xml:space="preserve">prespecified outcome-generating mechanism and degradation ranges,</w:t>
      </w:r>
      <w:r>
        <w:t xml:space="preserve"> </w:t>
      </w:r>
      <w:r>
        <w:t xml:space="preserve">a candidate estimator maintained acceptable finite-sample</w:t>
      </w:r>
      <w:r>
        <w:t xml:space="preserve"> </w:t>
      </w:r>
      <w:r>
        <w:t xml:space="preserve">performance according to the chosen criteria. Severity ranges</w:t>
      </w:r>
      <w:r>
        <w:t xml:space="preserve"> </w:t>
      </w:r>
      <w:r>
        <w:t xml:space="preserve">should therefore be justified from external validation studies,</w:t>
      </w:r>
      <w:r>
        <w:t xml:space="preserve"> </w:t>
      </w:r>
      <w:r>
        <w:t xml:space="preserve">data profiling, subject-matter knowledge, expert elicitation, or</w:t>
      </w:r>
      <w:r>
        <w:t xml:space="preserve"> </w:t>
      </w:r>
      <w:r>
        <w:t xml:space="preserve">formal sensitivity-analysis bounds. When such evidence is weak,</w:t>
      </w:r>
      <w:r>
        <w:t xml:space="preserve"> </w:t>
      </w:r>
      <w:r>
        <w:t xml:space="preserve">the stress test should be interpreted as exploratory rather than</w:t>
      </w:r>
      <w:r>
        <w:t xml:space="preserve"> </w:t>
      </w:r>
      <w:r>
        <w:t xml:space="preserve">confirmatory.</w:t>
      </w:r>
    </w:p>
    <w:p>
      <w:pPr>
        <w:pStyle w:val="BodyText"/>
      </w:pPr>
      <w:r>
        <w:t xml:space="preserve">The DQ stress test also depends on the same parametric</w:t>
      </w:r>
      <w:r>
        <w:t xml:space="preserve"> </w:t>
      </w:r>
      <w:r>
        <w:t xml:space="preserve">synthetic-outcome model used by the baseline plasmode. If that</w:t>
      </w:r>
      <w:r>
        <w:t xml:space="preserve"> </w:t>
      </w:r>
      <w:r>
        <w:t xml:space="preserve">model misrepresents the joint covariate-treatment-outcome</w:t>
      </w:r>
      <w:r>
        <w:t xml:space="preserve"> </w:t>
      </w:r>
      <w:r>
        <w:t xml:space="preserve">distribution (for example by omitting effect modification or</w:t>
      </w:r>
      <w:r>
        <w:t xml:space="preserve"> </w:t>
      </w:r>
      <w:r>
        <w:t xml:space="preserve">mis-specifying functional form), the simulated bias and coverage</w:t>
      </w:r>
      <w:r>
        <w:t xml:space="preserve"> </w:t>
      </w:r>
      <w:r>
        <w:t xml:space="preserve">under stressed scenarios may be optimistic or pessimistic in ways</w:t>
      </w:r>
      <w:r>
        <w:t xml:space="preserve"> </w:t>
      </w:r>
      <w:r>
        <w:t xml:space="preserve">that no amount of replication can correct.</w:t>
      </w:r>
    </w:p>
    <w:bookmarkEnd w:id="147"/>
    <w:bookmarkStart w:id="153" w:name="other-limitations"/>
    <w:p>
      <w:pPr>
        <w:pStyle w:val="Heading2"/>
      </w:pPr>
      <w:r>
        <w:t xml:space="preserve">13.5 Other limitations</w:t>
      </w:r>
    </w:p>
    <w:p>
      <w:pPr>
        <w:pStyle w:val="FirstParagraph"/>
      </w:pPr>
      <w:r>
        <w:t xml:space="preserve">The current implementation has additional limitations the</w:t>
      </w:r>
      <w:r>
        <w:t xml:space="preserve"> </w:t>
      </w:r>
      <w:r>
        <w:t xml:space="preserve">analyst should keep in mind, grouped into the candidate-selection</w:t>
      </w:r>
      <w:r>
        <w:t xml:space="preserve"> </w:t>
      </w:r>
      <w:r>
        <w:t xml:space="preserve">rule, model assumptions, computational cost, and estimand scope.</w:t>
      </w:r>
    </w:p>
    <w:bookmarkStart w:id="148" w:name="candidate-selection-rule-fiord-alignment"/>
    <w:p>
      <w:pPr>
        <w:pStyle w:val="Heading3"/>
      </w:pPr>
      <w:r>
        <w:t xml:space="preserve">13.5.1 Candidate-selection rule (FIORD alignment)</w:t>
      </w:r>
    </w:p>
    <w:p>
      <w:pPr>
        <w:pStyle w:val="FirstParagraph"/>
      </w:pPr>
      <w:r>
        <w:t xml:space="preserve">The FIORD outcome-blind simulation guidance</w:t>
      </w:r>
      <w:r>
        <w:t xml:space="preserve"> </w:t>
      </w:r>
      <w:r>
        <w:t xml:space="preserve">(Nance et al. 2026)</w:t>
      </w:r>
      <w:r>
        <w:t xml:space="preserve"> </w:t>
      </w:r>
      <w:r>
        <w:t xml:space="preserve">separates</w:t>
      </w:r>
      <w:r>
        <w:t xml:space="preserve"> </w:t>
      </w:r>
      <w:r>
        <w:t xml:space="preserve">candidate selection into two tasks: first screen point estimators by</w:t>
      </w:r>
      <w:r>
        <w:t xml:space="preserve"> </w:t>
      </w:r>
      <w:r>
        <w:t xml:space="preserve">oracle coverage (a CI built from the Monte Carlo empirical SE) and pick</w:t>
      </w:r>
      <w:r>
        <w:t xml:space="preserve"> </w:t>
      </w:r>
      <w:r>
        <w:t xml:space="preserve">the lowest-variance survivor, then select the variance method on the</w:t>
      </w:r>
      <w:r>
        <w:t xml:space="preserve"> </w:t>
      </w:r>
      <w:r>
        <w:t xml:space="preserve">locked point estimator using nominal CI coverage. cleanTMLE implements</w:t>
      </w:r>
      <w:r>
        <w:t xml:space="preserve"> </w:t>
      </w:r>
      <w:r>
        <w:t xml:space="preserve">both stages. Stage one is</w:t>
      </w:r>
      <w:r>
        <w:t xml:space="preserve"> </w:t>
      </w:r>
      <w:r>
        <w:rPr>
          <w:rStyle w:val="VerbatimChar"/>
        </w:rPr>
        <w:t xml:space="preserve">select_tmle_candidate(rule = "fiord_two_stage")</w:t>
      </w:r>
      <w:r>
        <w:t xml:space="preserve">,</w:t>
      </w:r>
      <w:r>
        <w:t xml:space="preserve"> </w:t>
      </w:r>
      <w:r>
        <w:t xml:space="preserve">which screens candidates to those within</w:t>
      </w:r>
      <w:r>
        <w:t xml:space="preserve"> </w:t>
      </w:r>
      <w:r>
        <w:rPr>
          <w:rStyle w:val="VerbatimChar"/>
        </w:rPr>
        <w:t xml:space="preserve">fiord_coverage_tol</w:t>
      </w:r>
      <w:r>
        <w:t xml:space="preserve"> </w:t>
      </w:r>
      <w:r>
        <w:t xml:space="preserve">of nominal</w:t>
      </w:r>
      <w:r>
        <w:t xml:space="preserve"> </w:t>
      </w:r>
      <w:r>
        <w:t xml:space="preserve">oracle coverage and locks in the lowest-SE survivor (the default</w:t>
      </w:r>
      <w:r>
        <w:t xml:space="preserve"> </w:t>
      </w:r>
      <w:r>
        <w:rPr>
          <w:rStyle w:val="VerbatimChar"/>
        </w:rPr>
        <w:t xml:space="preserve">rule = "min_rmse"</w:t>
      </w:r>
      <w:r>
        <w:t xml:space="preserve">, optionally</w:t>
      </w:r>
      <w:r>
        <w:t xml:space="preserve"> </w:t>
      </w:r>
      <w:r>
        <w:rPr>
          <w:rStyle w:val="VerbatimChar"/>
        </w:rPr>
        <w:t xml:space="preserve">"min_max_rmse"</w:t>
      </w:r>
      <w:r>
        <w:t xml:space="preserve"> </w:t>
      </w:r>
      <w:r>
        <w:t xml:space="preserve">over the DQ stress</w:t>
      </w:r>
      <w:r>
        <w:t xml:space="preserve"> </w:t>
      </w:r>
      <w:r>
        <w:t xml:space="preserve">scenarios, remains available as a single-step alternative). Stage two is</w:t>
      </w:r>
      <w:r>
        <w:t xml:space="preserve"> </w:t>
      </w:r>
      <w:r>
        <w:rPr>
          <w:rStyle w:val="VerbatimChar"/>
        </w:rPr>
        <w:t xml:space="preserve">select_variance_method()</w:t>
      </w:r>
      <w:r>
        <w:t xml:space="preserve">, which, with the point estimator fixed,</w:t>
      </w:r>
      <w:r>
        <w:t xml:space="preserve"> </w:t>
      </w:r>
      <w:r>
        <w:t xml:space="preserve">compares variance methods by their oracle coverage on synthetic data and</w:t>
      </w:r>
      <w:r>
        <w:t xml:space="preserve"> </w:t>
      </w:r>
      <w:r>
        <w:t xml:space="preserve">returns the one closest to nominal;</w:t>
      </w:r>
      <w:r>
        <w:t xml:space="preserve"> </w:t>
      </w:r>
      <w:r>
        <w:rPr>
          <w:rStyle w:val="VerbatimChar"/>
        </w:rPr>
        <w:t xml:space="preserve">bootstrap_rd_variance()</w:t>
      </w:r>
      <w:r>
        <w:t xml:space="preserve"> </w:t>
      </w:r>
      <w:r>
        <w:t xml:space="preserve">supplies a</w:t>
      </w:r>
      <w:r>
        <w:t xml:space="preserve"> </w:t>
      </w:r>
      <w:r>
        <w:t xml:space="preserve">native nonparametric bootstrap standard error and percentile interval for</w:t>
      </w:r>
      <w:r>
        <w:t xml:space="preserve"> </w:t>
      </w:r>
      <w:r>
        <w:t xml:space="preserve">the marginal risk difference under TMLE or stabilised IPTW. The bootstrap</w:t>
      </w:r>
      <w:r>
        <w:t xml:space="preserve"> </w:t>
      </w:r>
      <w:r>
        <w:t xml:space="preserve">is one option when the influence-function variance is suspect. For</w:t>
      </w:r>
      <w:r>
        <w:t xml:space="preserve"> </w:t>
      </w:r>
      <w:r>
        <w:t xml:space="preserve">stabilised IPTW the influence-function variance treats the propensity score</w:t>
      </w:r>
      <w:r>
        <w:t xml:space="preserve"> </w:t>
      </w:r>
      <w:r>
        <w:t xml:space="preserve">as known (</w:t>
      </w:r>
      <w:r>
        <w:t xml:space="preserve">J. M. Robins and Rotnitzky (1992)</w:t>
      </w:r>
      <w:r>
        <w:t xml:space="preserve">), and resampling does not remove that</w:t>
      </w:r>
      <w:r>
        <w:t xml:space="preserve"> </w:t>
      </w:r>
      <w:r>
        <w:t xml:space="preserve">conservatism, so the bootstrap interval is reported alongside the</w:t>
      </w:r>
      <w:r>
        <w:t xml:space="preserve"> </w:t>
      </w:r>
      <w:r>
        <w:t xml:space="preserve">influence-function interval and the better-calibrated one is chosen on</w:t>
      </w:r>
      <w:r>
        <w:t xml:space="preserve"> </w:t>
      </w:r>
      <w:r>
        <w:t xml:space="preserve">oracle coverage. For a matched cohort the standard nonparametric bootstrap</w:t>
      </w:r>
      <w:r>
        <w:t xml:space="preserve"> </w:t>
      </w:r>
      <w:r>
        <w:t xml:space="preserve">is not consistent (</w:t>
      </w:r>
      <w:r>
        <w:t xml:space="preserve">Abadie and Imbens (2008)</w:t>
      </w:r>
      <w:r>
        <w:t xml:space="preserve">), and the full-pipeline re-matching</w:t>
      </w:r>
      <w:r>
        <w:t xml:space="preserve"> </w:t>
      </w:r>
      <w:r>
        <w:t xml:space="preserve">variant is reported as an empirical correction. The remaining limitation is</w:t>
      </w:r>
      <w:r>
        <w:t xml:space="preserve"> </w:t>
      </w:r>
      <w:r>
        <w:t xml:space="preserve">practical. The variance-method stage is exposed as a separate call and is</w:t>
      </w:r>
      <w:r>
        <w:t xml:space="preserve"> </w:t>
      </w:r>
      <w:r>
        <w:t xml:space="preserve">not folded into a single</w:t>
      </w:r>
      <w:r>
        <w:t xml:space="preserve"> </w:t>
      </w:r>
      <w:r>
        <w:rPr>
          <w:rStyle w:val="VerbatimChar"/>
        </w:rPr>
        <w:t xml:space="preserve">run_*</w:t>
      </w:r>
      <w:r>
        <w:t xml:space="preserve"> </w:t>
      </w:r>
      <w:r>
        <w:t xml:space="preserve">wrapper, and the bootstrap multiplies</w:t>
      </w:r>
      <w:r>
        <w:t xml:space="preserve"> </w:t>
      </w:r>
      <w:r>
        <w:t xml:space="preserve">computation, so analysts reserve it for the estimators where the IF variance</w:t>
      </w:r>
      <w:r>
        <w:t xml:space="preserve"> </w:t>
      </w:r>
      <w:r>
        <w:t xml:space="preserve">is known to misbehave.</w:t>
      </w:r>
    </w:p>
    <w:bookmarkEnd w:id="148"/>
    <w:bookmarkStart w:id="149" w:name="model-assumptions"/>
    <w:p>
      <w:pPr>
        <w:pStyle w:val="Heading3"/>
      </w:pPr>
      <w:r>
        <w:t xml:space="preserve">13.5.2 Model assumptions</w:t>
      </w:r>
    </w:p>
    <w:p>
      <w:pPr>
        <w:pStyle w:val="FirstParagraph"/>
      </w:pPr>
      <w:r>
        <w:t xml:space="preserve">The covariate-missingness scenario degrades</w:t>
      </w:r>
      <w:r>
        <w:t xml:space="preserve"> </w:t>
      </w:r>
      <m:oMath>
        <m:r>
          <m:t>W</m:t>
        </m:r>
      </m:oMath>
      <w:r>
        <w:t xml:space="preserve"> </w:t>
      </w:r>
      <w:r>
        <w:t xml:space="preserve">under MCAR, MAR, and</w:t>
      </w:r>
      <w:r>
        <w:t xml:space="preserve"> </w:t>
      </w:r>
      <w:r>
        <w:t xml:space="preserve">MNAR masks, so the stress test can probe missingness that depends on</w:t>
      </w:r>
      <w:r>
        <w:t xml:space="preserve"> </w:t>
      </w:r>
      <w:r>
        <w:t xml:space="preserve">observed covariates (MAR) or on the masked value itself (MNAR). The</w:t>
      </w:r>
      <w:r>
        <w:t xml:space="preserve"> </w:t>
      </w:r>
      <w:r>
        <w:t xml:space="preserve">only missing-data handling exercised, however, is median imputation:</w:t>
      </w:r>
      <w:r>
        <w:t xml:space="preserve"> </w:t>
      </w:r>
      <w:r>
        <w:t xml:space="preserve">the degraded covariate is filled with its column median before each</w:t>
      </w:r>
      <w:r>
        <w:t xml:space="preserve"> </w:t>
      </w:r>
      <w:r>
        <w:t xml:space="preserve">candidate is refit. A principled alternative is</w:t>
      </w:r>
      <w:r>
        <w:t xml:space="preserve"> </w:t>
      </w:r>
      <w:r>
        <w:t xml:space="preserve">inverse-probability-of-missingness weighting or multiple imputation,</w:t>
      </w:r>
      <w:r>
        <w:t xml:space="preserve"> </w:t>
      </w:r>
      <w:r>
        <w:t xml:space="preserve">which under MAR recovers valid inference where median imputation does</w:t>
      </w:r>
      <w:r>
        <w:t xml:space="preserve"> </w:t>
      </w:r>
      <w:r>
        <w:t xml:space="preserve">not; a native cleanTMLE implementation of that path is future work.</w:t>
      </w:r>
    </w:p>
    <w:p>
      <w:pPr>
        <w:pStyle w:val="BodyText"/>
      </w:pPr>
      <w:r>
        <w:t xml:space="preserve">The plasmode DGP itself is parametric. The outcome is generated</w:t>
      </w:r>
      <w:r>
        <w:t xml:space="preserve"> </w:t>
      </w:r>
      <w:r>
        <w:t xml:space="preserve">from a logistic regression of</w:t>
      </w:r>
      <w:r>
        <w:t xml:space="preserve"> </w:t>
      </w:r>
      <m:oMath>
        <m:r>
          <m:t>Y</m:t>
        </m:r>
      </m:oMath>
      <w:r>
        <w:t xml:space="preserve"> </w:t>
      </w:r>
      <w:r>
        <w:t xml:space="preserve">on</w:t>
      </w:r>
      <w:r>
        <w:t xml:space="preserve"> </w:t>
      </w:r>
      <m:oMath>
        <m:r>
          <m:t>W</m:t>
        </m:r>
      </m:oMath>
      <w:r>
        <w:t xml:space="preserve"> </w:t>
      </w:r>
      <w:r>
        <w:t xml:space="preserve">fitted to the lock data,</w:t>
      </w:r>
      <w:r>
        <w:t xml:space="preserve"> </w:t>
      </w:r>
      <w:r>
        <w:t xml:space="preserve">and the synthetic effect is constant on the risk-difference scale</w:t>
      </w:r>
      <w:r>
        <w:t xml:space="preserve"> </w:t>
      </w:r>
      <w:r>
        <w:t xml:space="preserve">(</w:t>
      </w:r>
      <m:oMath>
        <m:sSubSup>
          <m:e>
            <m:r>
              <m:t>p</m:t>
            </m:r>
          </m:e>
          <m:sub>
            <m:r>
              <m:t>1</m:t>
            </m:r>
          </m:sub>
          <m:sup>
            <m:r>
              <m:rPr>
                <m:nor/>
                <m:sty m:val="p"/>
              </m:rPr>
              <m:t>sim</m:t>
            </m:r>
          </m:sup>
        </m:sSubSup>
        <m:r>
          <m:rPr>
            <m:sty m:val="p"/>
          </m:rPr>
          <m:t>=</m:t>
        </m:r>
        <m:sSubSup>
          <m:e>
            <m:r>
              <m:t>p</m:t>
            </m:r>
          </m:e>
          <m:sub>
            <m:r>
              <m:t>0</m:t>
            </m:r>
          </m:sub>
          <m:sup>
            <m:r>
              <m:rPr>
                <m:nor/>
                <m:sty m:val="p"/>
              </m:rPr>
              <m:t>sim</m:t>
            </m:r>
          </m:sup>
        </m:sSubSup>
        <m:r>
          <m:rPr>
            <m:sty m:val="p"/>
          </m:rPr>
          <m:t>+</m:t>
        </m:r>
        <m:r>
          <m:t>Δ</m:t>
        </m:r>
      </m:oMath>
      <w:r>
        <w:t xml:space="preserve">). Effect</w:t>
      </w:r>
      <w:r>
        <w:t xml:space="preserve"> </w:t>
      </w:r>
      <w:r>
        <w:t xml:space="preserve">modification, time-varying treatment, and competing risks would</w:t>
      </w:r>
      <w:r>
        <w:t xml:space="preserve"> </w:t>
      </w:r>
      <w:r>
        <w:t xml:space="preserve">need a richer DGP. The package architecture permits these</w:t>
      </w:r>
      <w:r>
        <w:t xml:space="preserve"> </w:t>
      </w:r>
      <w:r>
        <w:t xml:space="preserve">extensions; the simulation reported here does not exercise them.</w:t>
      </w:r>
      <w:r>
        <w:t xml:space="preserve"> </w:t>
      </w:r>
      <w:r>
        <w:t xml:space="preserve">cleanTMLE 0.2.1 adds a</w:t>
      </w:r>
      <w:r>
        <w:t xml:space="preserve"> </w:t>
      </w:r>
      <w:r>
        <w:rPr>
          <w:rStyle w:val="VerbatimChar"/>
        </w:rPr>
        <w:t xml:space="preserve">q0_library</w:t>
      </w:r>
      <w:r>
        <w:t xml:space="preserve"> </w:t>
      </w:r>
      <w:r>
        <w:t xml:space="preserve">argument to</w:t>
      </w:r>
      <w:r>
        <w:t xml:space="preserve"> </w:t>
      </w:r>
      <w:r>
        <w:rPr>
          <w:rStyle w:val="VerbatimChar"/>
        </w:rPr>
        <w:t xml:space="preserve">run_plasmode_feasibility()</w:t>
      </w:r>
      <w:r>
        <w:t xml:space="preserve"> </w:t>
      </w:r>
      <w:r>
        <w:t xml:space="preserve">so the analyst can fit Q0 with a</w:t>
      </w:r>
      <w:r>
        <w:t xml:space="preserve"> </w:t>
      </w:r>
      <w:r>
        <w:t xml:space="preserve">SuperLearner library rather than the default logistic GLM; this</w:t>
      </w:r>
      <w:r>
        <w:t xml:space="preserve"> </w:t>
      </w:r>
      <w:r>
        <w:t xml:space="preserve">relaxes the bias of candidate selection toward linear-in-logit</w:t>
      </w:r>
      <w:r>
        <w:t xml:space="preserve"> </w:t>
      </w:r>
      <w:r>
        <w:t xml:space="preserve">learners when the underlying outcome surface is nonlinear. A</w:t>
      </w:r>
      <w:r>
        <w:t xml:space="preserve"> </w:t>
      </w:r>
      <w:r>
        <w:t xml:space="preserve">companion pilot simulation (</w:t>
      </w:r>
      <w:r>
        <w:rPr>
          <w:rStyle w:val="VerbatimChar"/>
        </w:rPr>
        <w:t xml:space="preserve">plasmode_selection_paper/</w:t>
      </w:r>
      <w:r>
        <w:t xml:space="preserve">) provides</w:t>
      </w:r>
      <w:r>
        <w:t xml:space="preserve"> </w:t>
      </w:r>
      <w:r>
        <w:t xml:space="preserve">the empirical motivation: at n = 500, a logistic-GLM Q0 yields</w:t>
      </w:r>
      <w:r>
        <w:t xml:space="preserve"> </w:t>
      </w:r>
      <w:r>
        <w:t xml:space="preserve">no detectable separation between fixed-library and plasmode-</w:t>
      </w:r>
      <w:r>
        <w:t xml:space="preserve"> </w:t>
      </w:r>
      <w:r>
        <w:t xml:space="preserve">selected TMLE workflows because both inherit the same linearity</w:t>
      </w:r>
      <w:r>
        <w:t xml:space="preserve"> </w:t>
      </w:r>
      <w:r>
        <w:t xml:space="preserve">bias.</w:t>
      </w:r>
    </w:p>
    <w:p>
      <w:pPr>
        <w:pStyle w:val="BodyText"/>
      </w:pPr>
      <w:r>
        <w:t xml:space="preserve">The plausible degradation ranges have to come from external</w:t>
      </w:r>
      <w:r>
        <w:t xml:space="preserve"> </w:t>
      </w:r>
      <w:r>
        <w:t xml:space="preserve">evidence. The software cannot decide whether 5 % or 20 %</w:t>
      </w:r>
      <w:r>
        <w:t xml:space="preserve"> </w:t>
      </w:r>
      <w:r>
        <w:t xml:space="preserve">covariate missingness is realistic for a given data source; the</w:t>
      </w:r>
      <w:r>
        <w:t xml:space="preserve"> </w:t>
      </w:r>
      <w:r>
        <w:t xml:space="preserve">analyst has to cite a profiling or validation study. SPIFD2 makes</w:t>
      </w:r>
      <w:r>
        <w:t xml:space="preserve"> </w:t>
      </w:r>
      <w:r>
        <w:t xml:space="preserve">the same demand qualitatively, and the DQ stress test inherits it.</w:t>
      </w:r>
    </w:p>
    <w:bookmarkEnd w:id="149"/>
    <w:bookmarkStart w:id="150" w:name="ps-candidate-grid-and-learner-stability"/>
    <w:p>
      <w:pPr>
        <w:pStyle w:val="Heading3"/>
      </w:pPr>
      <w:r>
        <w:t xml:space="preserve">13.5.3 PS candidate grid and learner stability</w:t>
      </w:r>
    </w:p>
    <w:p>
      <w:pPr>
        <w:pStyle w:val="FirstParagraph"/>
      </w:pPr>
      <w:r>
        <w:t xml:space="preserve">The DQ stress test generates synthetic outcomes under degraded</w:t>
      </w:r>
      <w:r>
        <w:t xml:space="preserve"> </w:t>
      </w:r>
      <w:r>
        <w:t xml:space="preserve">covariate, treatment, and confounder distributions, and then re-fits</w:t>
      </w:r>
      <w:r>
        <w:t xml:space="preserve"> </w:t>
      </w:r>
      <w:r>
        <w:t xml:space="preserve">every candidate PS model on each synthetic dataset. The synthetic</w:t>
      </w:r>
      <w:r>
        <w:t xml:space="preserve"> </w:t>
      </w:r>
      <w:r>
        <w:t xml:space="preserve">designs for Scenario B (marginal overlap, PS range 0.037–0.990)</w:t>
      </w:r>
      <w:r>
        <w:t xml:space="preserve"> </w:t>
      </w:r>
      <w:r>
        <w:t xml:space="preserve">produced numerical instability in regularised learners: SL.glmnet</w:t>
      </w:r>
      <w:r>
        <w:t xml:space="preserve"> </w:t>
      </w:r>
      <w:r>
        <w:t xml:space="preserve">ran away on computation with no convergence signal, inflating wall</w:t>
      </w:r>
      <w:r>
        <w:t xml:space="preserve"> </w:t>
      </w:r>
      <w:r>
        <w:t xml:space="preserve">time by more than an order of magnitude relative to GLM. The</w:t>
      </w:r>
      <w:r>
        <w:t xml:space="preserve"> </w:t>
      </w:r>
      <w:r>
        <w:t xml:space="preserve">simulation in</w:t>
      </w:r>
      <w:r>
        <w:t xml:space="preserve"> </w:t>
      </w:r>
      <w:hyperlink w:anchor="sec-simulation">
        <w:r>
          <w:rPr>
            <w:rStyle w:val="Hyperlink"/>
          </w:rPr>
          <w:t xml:space="preserve">Section 10</w:t>
        </w:r>
      </w:hyperlink>
      <w:r>
        <w:t xml:space="preserve"> </w:t>
      </w:r>
      <w:r>
        <w:t xml:space="preserve">therefore uses a three-candidate GLM PS</w:t>
      </w:r>
      <w:r>
        <w:t xml:space="preserve"> </w:t>
      </w:r>
      <w:r>
        <w:t xml:space="preserve">grid (</w:t>
      </w:r>
      <m:oMath>
        <m:r>
          <m:t>t</m:t>
        </m:r>
        <m:r>
          <m:rPr>
            <m:sty m:val="p"/>
          </m:rPr>
          <m:t>∈</m:t>
        </m:r>
        <m:r>
          <m:rPr>
            <m:sty m:val="p"/>
          </m:rPr>
          <m:t>{</m:t>
        </m:r>
        <m:r>
          <m:t>0.001</m:t>
        </m:r>
        <m:r>
          <m:rPr>
            <m:sty m:val="p"/>
          </m:rPr>
          <m:t>,</m:t>
        </m:r>
        <m:r>
          <m:t>0.025</m:t>
        </m:r>
        <m:r>
          <m:rPr>
            <m:sty m:val="p"/>
          </m:rPr>
          <m:t>,</m:t>
        </m:r>
        <m:r>
          <m:t>0.20</m:t>
        </m:r>
        <m:r>
          <m:rPr>
            <m:sty m:val="p"/>
          </m:rPr>
          <m:t>}</m:t>
        </m:r>
      </m:oMath>
      <w:r>
        <w:t xml:space="preserve">) for the DQ stress test; SL.glmnet is</w:t>
      </w:r>
      <w:r>
        <w:t xml:space="preserve"> </w:t>
      </w:r>
      <w:r>
        <w:t xml:space="preserve">retained in the SuperLearner library for the cross-fitted TMLE</w:t>
      </w:r>
      <w:r>
        <w:t xml:space="preserve"> </w:t>
      </w:r>
      <w:r>
        <w:t xml:space="preserve">nuisance fits, where it operates on the full (undegraded)</w:t>
      </w:r>
      <w:r>
        <w:t xml:space="preserve"> </w:t>
      </w:r>
      <w:r>
        <w:t xml:space="preserve">observed-data sample. In practice, the GLM and regularised-learner</w:t>
      </w:r>
      <w:r>
        <w:t xml:space="preserve"> </w:t>
      </w:r>
      <w:r>
        <w:t xml:space="preserve">PS produce near-identical plasmode metrics on the simple logistic DGP</w:t>
      </w:r>
      <w:r>
        <w:t xml:space="preserve"> </w:t>
      </w:r>
      <w:r>
        <w:t xml:space="preserve">used here, so the omission does not change the candidate-selection</w:t>
      </w:r>
      <w:r>
        <w:t xml:space="preserve"> </w:t>
      </w:r>
      <w:r>
        <w:t xml:space="preserve">outcome. Analysts with more complex DGPs or learner libraries that</w:t>
      </w:r>
      <w:r>
        <w:t xml:space="preserve"> </w:t>
      </w:r>
      <w:r>
        <w:t xml:space="preserve">include tree-based or spline models should profile DQ-stress runtime</w:t>
      </w:r>
      <w:r>
        <w:t xml:space="preserve"> </w:t>
      </w:r>
      <w:r>
        <w:t xml:space="preserve">on a small representative run before committing to a full grid.</w:t>
      </w:r>
    </w:p>
    <w:bookmarkEnd w:id="150"/>
    <w:bookmarkStart w:id="151" w:name="computational-cost"/>
    <w:p>
      <w:pPr>
        <w:pStyle w:val="Heading3"/>
      </w:pPr>
      <w:r>
        <w:t xml:space="preserve">13.5.4 Computational cost</w:t>
      </w:r>
    </w:p>
    <w:p>
      <w:pPr>
        <w:pStyle w:val="FirstParagraph"/>
      </w:pPr>
      <w:r>
        <w:t xml:space="preserve">Each scenario</w:t>
      </w:r>
      <w:r>
        <w:t xml:space="preserve"> </w:t>
      </w:r>
      <m:oMath>
        <m:r>
          <m:rPr>
            <m:sty m:val="p"/>
          </m:rPr>
          <m:t>×</m:t>
        </m:r>
      </m:oMath>
      <w:r>
        <w:t xml:space="preserve"> </w:t>
      </w:r>
      <w:r>
        <w:t xml:space="preserve">severity cell adds a full set of plasmode</w:t>
      </w:r>
      <w:r>
        <w:t xml:space="preserve"> </w:t>
      </w:r>
      <w:r>
        <w:t xml:space="preserve">replicates. With the configuration of</w:t>
      </w:r>
      <w:r>
        <w:t xml:space="preserve"> </w:t>
      </w:r>
      <w:hyperlink w:anchor="sec-simulation">
        <w:r>
          <w:rPr>
            <w:rStyle w:val="Hyperlink"/>
          </w:rPr>
          <w:t xml:space="preserve">Section 10</w:t>
        </w:r>
      </w:hyperlink>
      <w:r>
        <w:t xml:space="preserve"> </w:t>
      </w:r>
      <w:r>
        <w:t xml:space="preserve">(30 plasmode</w:t>
      </w:r>
      <w:r>
        <w:t xml:space="preserve"> </w:t>
      </w:r>
      <w:r>
        <w:t xml:space="preserve">replicates per cell, 19 degraded severity cells, and three PS</w:t>
      </w:r>
      <w:r>
        <w:t xml:space="preserve"> </w:t>
      </w:r>
      <w:r>
        <w:t xml:space="preserve">candidates) the stress test fits about 1,700 candidate TMLE models</w:t>
      </w:r>
      <w:r>
        <w:t xml:space="preserve"> </w:t>
      </w:r>
      <w:r>
        <w:t xml:space="preserve">per Monte Carlo scenario, or roughly 6,800 across the four scenarios,</w:t>
      </w:r>
      <w:r>
        <w:t xml:space="preserve"> </w:t>
      </w:r>
      <w:r>
        <w:t xml:space="preserve">alongside the undegraded baseline plasmode. Each fit uses a</w:t>
      </w:r>
      <w:r>
        <w:t xml:space="preserve"> </w:t>
      </w:r>
      <w:r>
        <w:t xml:space="preserve">GLM-nuisance TMLE, so a full per-scenario run, including the</w:t>
      </w:r>
      <w:r>
        <w:t xml:space="preserve"> </w:t>
      </w:r>
      <w:r>
        <w:t xml:space="preserve">200-replicate main Monte Carlo, completed in about twelve minutes on</w:t>
      </w:r>
      <w:r>
        <w:t xml:space="preserve"> </w:t>
      </w:r>
      <w:r>
        <w:t xml:space="preserve">a current multi-core workstation in our runs, and the four-scenario</w:t>
      </w:r>
      <w:r>
        <w:t xml:space="preserve"> </w:t>
      </w:r>
      <w:r>
        <w:t xml:space="preserve">study fits inside a conventional statistical-analysis-plan timeline.</w:t>
      </w:r>
      <w:r>
        <w:t xml:space="preserve"> </w:t>
      </w:r>
      <w:r>
        <w:t xml:space="preserve">Larger candidate grids or higher replicate counts scale linearly;</w:t>
      </w:r>
      <w:r>
        <w:t xml:space="preserve"> </w:t>
      </w:r>
      <w:r>
        <w:t xml:space="preserve">parallelising over severity cells is the most direct route for</w:t>
      </w:r>
      <w:r>
        <w:t xml:space="preserve"> </w:t>
      </w:r>
      <w:r>
        <w:t xml:space="preserve">interactive use.</w:t>
      </w:r>
    </w:p>
    <w:bookmarkEnd w:id="151"/>
    <w:bookmarkStart w:id="152" w:name="estimand-scope"/>
    <w:p>
      <w:pPr>
        <w:pStyle w:val="Heading3"/>
      </w:pPr>
      <w:r>
        <w:t xml:space="preserve">13.5.5 Estimand scope</w:t>
      </w:r>
    </w:p>
    <w:p>
      <w:pPr>
        <w:pStyle w:val="FirstParagraph"/>
      </w:pPr>
      <w:r>
        <w:t xml:space="preserve">The running estimands in this paper are marginal risk contrasts for a</w:t>
      </w:r>
      <w:r>
        <w:t xml:space="preserve"> </w:t>
      </w:r>
      <w:r>
        <w:t xml:space="preserve">binary point exposure: the ATE and its trimmed version, the ATT, and</w:t>
      </w:r>
      <w:r>
        <w:t xml:space="preserve"> </w:t>
      </w:r>
      <w:r>
        <w:t xml:space="preserve">the overlap-weighted ATO, all on the risk-difference scale, with</w:t>
      </w:r>
      <w:r>
        <w:t xml:space="preserve"> </w:t>
      </w:r>
      <w:r>
        <w:t xml:space="preserve">multi-arm exposures handled as prespecified pairwise contrasts under</w:t>
      </w:r>
      <w:r>
        <w:t xml:space="preserve"> </w:t>
      </w:r>
      <w:r>
        <w:t xml:space="preserve">shared-cohort locks. The companion cumulative-risk grammar covers</w:t>
      </w:r>
      <w:r>
        <w:t xml:space="preserve"> </w:t>
      </w:r>
      <w:r>
        <w:t xml:space="preserve">time-to-event risks with censoring and competing risks, but the</w:t>
      </w:r>
      <w:r>
        <w:t xml:space="preserve"> </w:t>
      </w:r>
      <w:r>
        <w:t xml:space="preserve">staged support-and-ladder machinery has not yet been extended to</w:t>
      </w:r>
      <w:r>
        <w:t xml:space="preserve"> </w:t>
      </w:r>
      <w:r>
        <w:t xml:space="preserve">those estimands. Counterfactual hazard ratios, longitudinal</w:t>
      </w:r>
      <w:r>
        <w:t xml:space="preserve"> </w:t>
      </w:r>
      <w:r>
        <w:t xml:space="preserve">treatments, and cumulative-count estimands sit outside the current</w:t>
      </w:r>
      <w:r>
        <w:t xml:space="preserve"> </w:t>
      </w:r>
      <w:r>
        <w:t xml:space="preserve">scope; analysts who need them have</w:t>
      </w:r>
      <w:r>
        <w:t xml:space="preserve"> </w:t>
      </w:r>
      <w:r>
        <w:rPr>
          <w:rStyle w:val="VerbatimChar"/>
        </w:rPr>
        <w:t xml:space="preserve">survtmle</w:t>
      </w:r>
      <w:r>
        <w:t xml:space="preserve"> </w:t>
      </w:r>
      <w:r>
        <w:t xml:space="preserve">(Benkeser and Hejazi 2018)</w:t>
      </w:r>
      <w:r>
        <w:t xml:space="preserve"> </w:t>
      </w:r>
      <w:r>
        <w:t xml:space="preserve">and</w:t>
      </w:r>
      <w:r>
        <w:t xml:space="preserve"> </w:t>
      </w:r>
      <w:r>
        <w:rPr>
          <w:rStyle w:val="VerbatimChar"/>
        </w:rPr>
        <w:t xml:space="preserve">lmtp</w:t>
      </w:r>
      <w:r>
        <w:t xml:space="preserve"> </w:t>
      </w:r>
      <w:r>
        <w:t xml:space="preserve">(Williams and Dı́az 2021)</w:t>
      </w:r>
      <w:r>
        <w:t xml:space="preserve"> </w:t>
      </w:r>
      <w:r>
        <w:t xml:space="preserve">as alternative</w:t>
      </w:r>
      <w:r>
        <w:t xml:space="preserve"> </w:t>
      </w:r>
      <w:r>
        <w:t xml:space="preserve">implementations, and can feed their output through the same lock</w:t>
      </w:r>
      <w:r>
        <w:t xml:space="preserve"> </w:t>
      </w:r>
      <w:r>
        <w:t xml:space="preserve">records.</w:t>
      </w:r>
    </w:p>
    <w:bookmarkEnd w:id="152"/>
    <w:bookmarkEnd w:id="153"/>
    <w:bookmarkStart w:id="154" w:name="sec-future"/>
    <w:p>
      <w:pPr>
        <w:pStyle w:val="Heading2"/>
      </w:pPr>
      <w:r>
        <w:t xml:space="preserve">13.6 Future extensions</w:t>
      </w:r>
    </w:p>
    <w:p>
      <w:pPr>
        <w:pStyle w:val="FirstParagraph"/>
      </w:pPr>
      <w:r>
        <w:t xml:space="preserve">The most consequential extensions, in priority order, are:</w:t>
      </w:r>
    </w:p>
    <w:p>
      <w:pPr>
        <w:pStyle w:val="Compact"/>
        <w:numPr>
          <w:ilvl w:val="0"/>
          <w:numId w:val="1006"/>
        </w:numPr>
      </w:pPr>
      <w:r>
        <w:rPr>
          <w:b/>
          <w:bCs/>
        </w:rPr>
        <w:t xml:space="preserve">Single-call FIORD alignment.</w:t>
      </w:r>
      <w:r>
        <w:t xml:space="preserve"> </w:t>
      </w:r>
      <w:r>
        <w:t xml:space="preserve">Both FIORD stages are now</w:t>
      </w:r>
      <w:r>
        <w:t xml:space="preserve"> </w:t>
      </w:r>
      <w:r>
        <w:t xml:space="preserve">implemented (</w:t>
      </w:r>
      <w:r>
        <w:rPr>
          <w:rStyle w:val="VerbatimChar"/>
        </w:rPr>
        <w:t xml:space="preserve">select_tmle_candidate(rule = "fiord_two_stage")</w:t>
      </w:r>
      <w:r>
        <w:t xml:space="preserve"> </w:t>
      </w:r>
      <w:r>
        <w:t xml:space="preserve">for the</w:t>
      </w:r>
      <w:r>
        <w:t xml:space="preserve"> </w:t>
      </w:r>
      <w:r>
        <w:t xml:space="preserve">point estimator, and</w:t>
      </w:r>
      <w:r>
        <w:t xml:space="preserve"> </w:t>
      </w:r>
      <w:r>
        <w:rPr>
          <w:rStyle w:val="VerbatimChar"/>
        </w:rPr>
        <w:t xml:space="preserve">select_variance_method()</w:t>
      </w:r>
      <w:r>
        <w:t xml:space="preserve"> </w:t>
      </w:r>
      <w:r>
        <w:t xml:space="preserve">with</w:t>
      </w:r>
      <w:r>
        <w:t xml:space="preserve"> </w:t>
      </w:r>
      <w:r>
        <w:rPr>
          <w:rStyle w:val="VerbatimChar"/>
        </w:rPr>
        <w:t xml:space="preserve">bootstrap_rd_variance()</w:t>
      </w:r>
      <w:r>
        <w:t xml:space="preserve"> </w:t>
      </w:r>
      <w:r>
        <w:t xml:space="preserve">for the variance method; see also</w:t>
      </w:r>
      <w:r>
        <w:t xml:space="preserve"> </w:t>
      </w:r>
      <w:r>
        <w:t xml:space="preserve">Mertens, Zhang, et al. (2024)</w:t>
      </w:r>
      <w:r>
        <w:t xml:space="preserve">). Folding the variance stage into a single</w:t>
      </w:r>
      <w:r>
        <w:t xml:space="preserve"> </w:t>
      </w:r>
      <w:r>
        <w:rPr>
          <w:rStyle w:val="VerbatimChar"/>
        </w:rPr>
        <w:t xml:space="preserve">run_*</w:t>
      </w:r>
      <w:r>
        <w:t xml:space="preserve"> </w:t>
      </w:r>
      <w:r>
        <w:t xml:space="preserve">wrapper and caching the bootstrap would make full FIORD alignment the</w:t>
      </w:r>
      <w:r>
        <w:t xml:space="preserve"> </w:t>
      </w:r>
      <w:r>
        <w:t xml:space="preserve">one-call default rather than two explicit steps.</w:t>
      </w:r>
    </w:p>
    <w:p>
      <w:pPr>
        <w:pStyle w:val="Compact"/>
        <w:numPr>
          <w:ilvl w:val="0"/>
          <w:numId w:val="1006"/>
        </w:numPr>
      </w:pPr>
      <w:r>
        <w:rPr>
          <w:b/>
          <w:bCs/>
        </w:rPr>
        <w:t xml:space="preserve">Operating-characteristic validation of the variance selector</w:t>
      </w:r>
      <w:r>
        <w:t xml:space="preserve"> </w:t>
      </w:r>
      <w:r>
        <w:t xml:space="preserve">at</w:t>
      </w:r>
      <w:r>
        <w:t xml:space="preserve"> </w:t>
      </w:r>
      <w:r>
        <w:t xml:space="preserve">scale, paired with the gate validation in</w:t>
      </w:r>
      <w:r>
        <w:t xml:space="preserve"> </w:t>
      </w:r>
      <w:hyperlink w:anchor="sec-gate-oc">
        <w:r>
          <w:rPr>
            <w:rStyle w:val="Hyperlink"/>
          </w:rPr>
          <w:t xml:space="preserve">Section 11</w:t>
        </w:r>
      </w:hyperlink>
      <w:r>
        <w:t xml:space="preserve">, so the</w:t>
      </w:r>
      <w:r>
        <w:t xml:space="preserve"> </w:t>
      </w:r>
      <w:r>
        <w:t xml:space="preserve">variance-method choice is itself shown to recover nominal coverage</w:t>
      </w:r>
      <w:r>
        <w:t xml:space="preserve"> </w:t>
      </w:r>
      <w:r>
        <w:t xml:space="preserve">across a range of data-generating processes.</w:t>
      </w:r>
    </w:p>
    <w:p>
      <w:pPr>
        <w:pStyle w:val="Compact"/>
        <w:numPr>
          <w:ilvl w:val="0"/>
          <w:numId w:val="1006"/>
        </w:numPr>
      </w:pPr>
      <w:r>
        <w:rPr>
          <w:b/>
          <w:bCs/>
        </w:rPr>
        <w:t xml:space="preserve">Unmeasured-confounding severity gradient:</w:t>
      </w:r>
      <w:r>
        <w:t xml:space="preserve"> </w:t>
      </w:r>
      <w:r>
        <w:t xml:space="preserve">vary the strength</w:t>
      </w:r>
      <w:r>
        <w:t xml:space="preserve"> </w:t>
      </w:r>
      <w:r>
        <w:t xml:space="preserve">of the latent-U scenario across a prespecified grid rather than</w:t>
      </w:r>
      <w:r>
        <w:t xml:space="preserve"> </w:t>
      </w:r>
      <w:r>
        <w:t xml:space="preserve">running a single strong-U setting, so the DQ stress test</w:t>
      </w:r>
      <w:r>
        <w:t xml:space="preserve"> </w:t>
      </w:r>
      <w:r>
        <w:t xml:space="preserve">produces an E-value-style sensitivity curve as a by-product.</w:t>
      </w:r>
    </w:p>
    <w:p>
      <w:pPr>
        <w:pStyle w:val="Compact"/>
        <w:numPr>
          <w:ilvl w:val="0"/>
          <w:numId w:val="1006"/>
        </w:numPr>
      </w:pPr>
      <w:r>
        <w:rPr>
          <w:b/>
          <w:bCs/>
        </w:rPr>
        <w:t xml:space="preserve">Pre-protocol stress-test mode:</w:t>
      </w:r>
      <w:r>
        <w:t xml:space="preserve"> </w:t>
      </w:r>
      <w:r>
        <w:t xml:space="preserve">allow the plasmode and DQ</w:t>
      </w:r>
      <w:r>
        <w:t xml:space="preserve"> </w:t>
      </w:r>
      <w:r>
        <w:t xml:space="preserve">stress test to run on user-specified covariate distributions</w:t>
      </w:r>
      <w:r>
        <w:t xml:space="preserve"> </w:t>
      </w:r>
      <w:r>
        <w:t xml:space="preserve">and treatment-mechanism strength (no real data required) so</w:t>
      </w:r>
      <w:r>
        <w:t xml:space="preserve"> </w:t>
      </w:r>
      <w:r>
        <w:t xml:space="preserve">that investigators can decide which dataset to use before any</w:t>
      </w:r>
      <w:r>
        <w:t xml:space="preserve"> </w:t>
      </w:r>
      <w:r>
        <w:t xml:space="preserve">data-use agreement is signed.</w:t>
      </w:r>
    </w:p>
    <w:p>
      <w:pPr>
        <w:pStyle w:val="Compact"/>
        <w:numPr>
          <w:ilvl w:val="0"/>
          <w:numId w:val="1006"/>
        </w:numPr>
      </w:pPr>
      <w:r>
        <w:rPr>
          <w:b/>
          <w:bCs/>
        </w:rPr>
        <w:t xml:space="preserve">DGP-spectrum argument</w:t>
      </w:r>
      <w:r>
        <w:t xml:space="preserve"> </w:t>
      </w:r>
      <w:r>
        <w:t xml:space="preserve">for the plasmode generator: structural-</w:t>
      </w:r>
      <w:r>
        <w:t xml:space="preserve"> </w:t>
      </w:r>
      <w:r>
        <w:t xml:space="preserve">equation (</w:t>
      </w:r>
      <w:r>
        <w:rPr>
          <w:rStyle w:val="VerbatimChar"/>
        </w:rPr>
        <w:t xml:space="preserve">simcausal</w:t>
      </w:r>
      <w:r>
        <w:t xml:space="preserve">-style), hybrid (current default), and</w:t>
      </w:r>
      <w:r>
        <w:t xml:space="preserve"> </w:t>
      </w:r>
      <w:r>
        <w:t xml:space="preserve">parametric-bootstrap modes, with synthetic-data fidelity metrics</w:t>
      </w:r>
      <w:r>
        <w:t xml:space="preserve"> </w:t>
      </w:r>
      <w:r>
        <w:t xml:space="preserve">(Hellinger / Wasserstein, or covariate SMDs between real and</w:t>
      </w:r>
      <w:r>
        <w:t xml:space="preserve"> </w:t>
      </w:r>
      <w:r>
        <w:t xml:space="preserve">synthetic samples) so the analyst can judge whether the DGP is</w:t>
      </w:r>
      <w:r>
        <w:t xml:space="preserve"> </w:t>
      </w:r>
      <w:r>
        <w:t xml:space="preserve">faithful enough to base candidate selection on.</w:t>
      </w:r>
    </w:p>
    <w:p>
      <w:pPr>
        <w:pStyle w:val="Compact"/>
        <w:numPr>
          <w:ilvl w:val="0"/>
          <w:numId w:val="1006"/>
        </w:numPr>
      </w:pPr>
      <w:r>
        <w:rPr>
          <w:b/>
          <w:bCs/>
        </w:rPr>
        <w:t xml:space="preserve">Matched-cohort vs full-cohort plasmode diagnostic:</w:t>
      </w:r>
      <w:r>
        <w:t xml:space="preserve"> </w:t>
      </w:r>
      <w:r>
        <w:t xml:space="preserve">under a</w:t>
      </w:r>
      <w:r>
        <w:t xml:space="preserve"> </w:t>
      </w:r>
      <w:r>
        <w:t xml:space="preserve">known synthetic truth, compare the two estimators side by side</w:t>
      </w:r>
      <w:r>
        <w:t xml:space="preserve"> </w:t>
      </w:r>
      <w:r>
        <w:t xml:space="preserve">to diagnose whether observed real-data gaps are sampling noise</w:t>
      </w:r>
      <w:r>
        <w:t xml:space="preserve"> </w:t>
      </w:r>
      <w:r>
        <w:t xml:space="preserve">or positivity-driven.</w:t>
      </w:r>
    </w:p>
    <w:p>
      <w:pPr>
        <w:pStyle w:val="Compact"/>
        <w:numPr>
          <w:ilvl w:val="0"/>
          <w:numId w:val="1006"/>
        </w:numPr>
      </w:pPr>
      <w:r>
        <w:rPr>
          <w:b/>
          <w:bCs/>
        </w:rPr>
        <w:t xml:space="preserve">Richer synthetic-outcome models:</w:t>
      </w:r>
      <w:r>
        <w:t xml:space="preserve"> </w:t>
      </w:r>
      <w:r>
        <w:t xml:space="preserve">effect modification, time-</w:t>
      </w:r>
      <w:r>
        <w:t xml:space="preserve"> </w:t>
      </w:r>
      <w:r>
        <w:t xml:space="preserve">varying treatment, and competing risks (the current DGP is a</w:t>
      </w:r>
      <w:r>
        <w:t xml:space="preserve"> </w:t>
      </w:r>
      <w:r>
        <w:t xml:space="preserve">logistic regression with a constant additive effect on the</w:t>
      </w:r>
      <w:r>
        <w:t xml:space="preserve"> </w:t>
      </w:r>
      <w:r>
        <w:t xml:space="preserve">risk-difference scale).</w:t>
      </w:r>
    </w:p>
    <w:p>
      <w:pPr>
        <w:pStyle w:val="Compact"/>
        <w:numPr>
          <w:ilvl w:val="0"/>
          <w:numId w:val="1006"/>
        </w:numPr>
      </w:pPr>
      <w:r>
        <w:rPr>
          <w:b/>
          <w:bCs/>
        </w:rPr>
        <w:t xml:space="preserve">MAR / MNAR missingness handling:</w:t>
      </w:r>
      <w:r>
        <w:t xml:space="preserve"> </w:t>
      </w:r>
      <w:r>
        <w:t xml:space="preserve">the data-quality stress test</w:t>
      </w:r>
      <w:r>
        <w:t xml:space="preserve"> </w:t>
      </w:r>
      <w:r>
        <w:t xml:space="preserve">now degrades covariates under MAR and MNAR, but the only handling it</w:t>
      </w:r>
      <w:r>
        <w:t xml:space="preserve"> </w:t>
      </w:r>
      <w:r>
        <w:t xml:space="preserve">exercises is median imputation; a native inverse-probability-of-</w:t>
      </w:r>
      <w:r>
        <w:t xml:space="preserve"> </w:t>
      </w:r>
      <w:r>
        <w:t xml:space="preserve">missingness or multiple-imputation path that does not require a</w:t>
      </w:r>
      <w:r>
        <w:t xml:space="preserve"> </w:t>
      </w:r>
      <w:r>
        <w:t xml:space="preserve">structural missingness model remains future work.</w:t>
      </w:r>
    </w:p>
    <w:p>
      <w:pPr>
        <w:pStyle w:val="Compact"/>
        <w:numPr>
          <w:ilvl w:val="0"/>
          <w:numId w:val="1006"/>
        </w:numPr>
      </w:pPr>
      <w:r>
        <w:rPr>
          <w:b/>
          <w:bCs/>
        </w:rPr>
        <w:t xml:space="preserve">Survival and competing-risk estimands:</w:t>
      </w:r>
      <w:r>
        <w:t xml:space="preserve"> </w:t>
      </w:r>
      <w:r>
        <w:t xml:space="preserve">wrapping</w:t>
      </w:r>
      <w:r>
        <w:t xml:space="preserve"> </w:t>
      </w:r>
      <w:r>
        <w:rPr>
          <w:rStyle w:val="VerbatimChar"/>
        </w:rPr>
        <w:t xml:space="preserve">survtmle</w:t>
      </w:r>
      <w:r>
        <w:t xml:space="preserve"> </w:t>
      </w:r>
      <w:r>
        <w:t xml:space="preserve">(Benkeser and Hejazi 2018)</w:t>
      </w:r>
      <w:r>
        <w:t xml:space="preserve"> </w:t>
      </w:r>
      <w:r>
        <w:t xml:space="preserve">and</w:t>
      </w:r>
      <w:r>
        <w:t xml:space="preserve"> </w:t>
      </w:r>
      <w:r>
        <w:rPr>
          <w:rStyle w:val="VerbatimChar"/>
        </w:rPr>
        <w:t xml:space="preserve">lmtp</w:t>
      </w:r>
      <w:r>
        <w:t xml:space="preserve"> </w:t>
      </w:r>
      <w:r>
        <w:t xml:space="preserve">(Williams and Dı́az 2021)</w:t>
      </w:r>
      <w:r>
        <w:t xml:space="preserve"> </w:t>
      </w:r>
      <w:r>
        <w:t xml:space="preserve">(and</w:t>
      </w:r>
      <w:r>
        <w:t xml:space="preserve"> </w:t>
      </w:r>
      <w:r>
        <w:rPr>
          <w:rStyle w:val="VerbatimChar"/>
        </w:rPr>
        <w:t xml:space="preserve">ltmle</w:t>
      </w:r>
      <w:r>
        <w:t xml:space="preserve"> </w:t>
      </w:r>
      <w:r>
        <w:t xml:space="preserve">for the longitudinal FIORD setting) inside the lock</w:t>
      </w:r>
      <w:r>
        <w:t xml:space="preserve"> </w:t>
      </w:r>
      <w:r>
        <w:t xml:space="preserve">and audit machinery so that hazard-ratio and cumulative-</w:t>
      </w:r>
      <w:r>
        <w:t xml:space="preserve"> </w:t>
      </w:r>
      <w:r>
        <w:t xml:space="preserve">incidence estimands inherit the same governance.</w:t>
      </w:r>
    </w:p>
    <w:p>
      <w:pPr>
        <w:pStyle w:val="Compact"/>
        <w:numPr>
          <w:ilvl w:val="0"/>
          <w:numId w:val="1006"/>
        </w:numPr>
      </w:pPr>
      <w:r>
        <w:rPr>
          <w:b/>
          <w:bCs/>
        </w:rPr>
        <w:t xml:space="preserve">Transportability and decision-population shift:</w:t>
      </w:r>
      <w:r>
        <w:t xml:space="preserve"> </w:t>
      </w:r>
      <w:r>
        <w:t xml:space="preserve">the</w:t>
      </w:r>
      <w:r>
        <w:t xml:space="preserve"> </w:t>
      </w:r>
      <w:r>
        <w:t xml:space="preserve">plasmode framework can in principle simulate covariate-</w:t>
      </w:r>
      <w:r>
        <w:t xml:space="preserve"> </w:t>
      </w:r>
      <w:r>
        <w:t xml:space="preserve">distribution shift between the analytic cohort and the target</w:t>
      </w:r>
      <w:r>
        <w:t xml:space="preserve"> </w:t>
      </w:r>
      <w:r>
        <w:t xml:space="preserve">population, but the package does not yet expose this scenario.</w:t>
      </w:r>
    </w:p>
    <w:p>
      <w:pPr>
        <w:pStyle w:val="Compact"/>
        <w:numPr>
          <w:ilvl w:val="0"/>
          <w:numId w:val="1006"/>
        </w:numPr>
      </w:pPr>
      <w:r>
        <w:rPr>
          <w:b/>
          <w:bCs/>
        </w:rPr>
        <w:t xml:space="preserve">Calibration helpers for severity ranges:</w:t>
      </w:r>
      <w:r>
        <w:t xml:space="preserve"> </w:t>
      </w:r>
      <w:r>
        <w:t xml:space="preserve">small helpers that</w:t>
      </w:r>
      <w:r>
        <w:t xml:space="preserve"> </w:t>
      </w:r>
      <w:r>
        <w:t xml:space="preserve">read validation-literature parameters (PPV, sensitivity, claims-</w:t>
      </w:r>
      <w:r>
        <w:t xml:space="preserve"> </w:t>
      </w:r>
      <w:r>
        <w:t xml:space="preserve">accuracy ranges) from a YAML file and translate them into</w:t>
      </w:r>
      <w:r>
        <w:t xml:space="preserve"> </w:t>
      </w:r>
      <w:r>
        <w:rPr>
          <w:rStyle w:val="VerbatimChar"/>
        </w:rPr>
        <w:t xml:space="preserve">data_quality_scenarios</w:t>
      </w:r>
      <w:r>
        <w:t xml:space="preserve"> </w:t>
      </w:r>
      <w:r>
        <w:t xml:space="preserve">lists, with the citations attached to</w:t>
      </w:r>
      <w:r>
        <w:t xml:space="preserve"> </w:t>
      </w:r>
      <w:r>
        <w:t xml:space="preserve">the audit log.</w:t>
      </w:r>
    </w:p>
    <w:bookmarkEnd w:id="154"/>
    <w:bookmarkStart w:id="155" w:name="X3a4c45a4b83f6adca96de927f71cbd45f486421"/>
    <w:p>
      <w:pPr>
        <w:pStyle w:val="Heading2"/>
      </w:pPr>
      <w:r>
        <w:t xml:space="preserve">13.7 When to use cleanTMLE inside a broader governance arrangement</w:t>
      </w:r>
    </w:p>
    <w:p>
      <w:pPr>
        <w:pStyle w:val="FirstParagraph"/>
      </w:pPr>
      <w:r>
        <w:t xml:space="preserve">For exploratory or lower-stakes RWE studies, cleanTMLE used on</w:t>
      </w:r>
      <w:r>
        <w:t xml:space="preserve"> </w:t>
      </w:r>
      <w:r>
        <w:t xml:space="preserve">its own may be adequate to document and audit outcome-blind</w:t>
      </w:r>
      <w:r>
        <w:t xml:space="preserve"> </w:t>
      </w:r>
      <w:r>
        <w:t xml:space="preserve">estimator selection: the analyst prespecifies the analytic plan,</w:t>
      </w:r>
      <w:r>
        <w:t xml:space="preserve"> </w:t>
      </w:r>
      <w:r>
        <w:t xml:space="preserve">runs the workflow inside a single R session, and archives the</w:t>
      </w:r>
      <w:r>
        <w:t xml:space="preserve"> </w:t>
      </w:r>
      <w:r>
        <w:t xml:space="preserve">analysis lock together with the audit and decision logs. For</w:t>
      </w:r>
      <w:r>
        <w:t xml:space="preserve"> </w:t>
      </w:r>
      <w:r>
        <w:t xml:space="preserve">high-stakes regulatory or confirmatory studies (FDA, EMA, or HTA</w:t>
      </w:r>
      <w:r>
        <w:t xml:space="preserve"> </w:t>
      </w:r>
      <w:r>
        <w:t xml:space="preserve">submission contexts), cleanTMLE should be embedded within</w:t>
      </w:r>
      <w:r>
        <w:t xml:space="preserve"> </w:t>
      </w:r>
      <w:r>
        <w:t xml:space="preserve">personnel-based outcome-blinding and access-control arrangements.</w:t>
      </w:r>
      <w:r>
        <w:t xml:space="preserve"> </w:t>
      </w:r>
      <w:r>
        <w:t xml:space="preserve">That deployment places cleanTMLE inside a broader governed</w:t>
      </w:r>
      <w:r>
        <w:t xml:space="preserve"> </w:t>
      </w:r>
      <w:r>
        <w:t xml:space="preserve">process with separate study-level work items: source-data audit</w:t>
      </w:r>
      <w:r>
        <w:t xml:space="preserve"> </w:t>
      </w:r>
      <w:r>
        <w:t xml:space="preserve">and provenance, exposure and outcome phenotype validation,</w:t>
      </w:r>
      <w:r>
        <w:t xml:space="preserve"> </w:t>
      </w:r>
      <w:r>
        <w:t xml:space="preserve">role-separated analyst and reviewer access, and an independent</w:t>
      </w:r>
      <w:r>
        <w:t xml:space="preserve"> </w:t>
      </w:r>
      <w:r>
        <w:t xml:space="preserve">review of the pre-outcome decision by personnel who did not</w:t>
      </w:r>
      <w:r>
        <w:t xml:space="preserve"> </w:t>
      </w:r>
      <w:r>
        <w:t xml:space="preserve">author the analytic plan. The software-mediated workflow records</w:t>
      </w:r>
      <w:r>
        <w:t xml:space="preserve"> </w:t>
      </w:r>
      <w:r>
        <w:t xml:space="preserve">that the prespecified contract has been followed; the governed</w:t>
      </w:r>
      <w:r>
        <w:t xml:space="preserve"> </w:t>
      </w:r>
      <w:r>
        <w:t xml:space="preserve">process establishes that the contract is the right one</w:t>
      </w:r>
      <w:r>
        <w:t xml:space="preserve"> </w:t>
      </w:r>
      <w:r>
        <w:t xml:space="preserve">(Muntner et al. 2024; U.S. Food and Drug Administration 2018; European Medicines Agency 2024)</w:t>
      </w:r>
      <w:r>
        <w:t xml:space="preserve">.</w:t>
      </w:r>
    </w:p>
    <w:bookmarkEnd w:id="155"/>
    <w:bookmarkStart w:id="156" w:name="recommendations-for-practice"/>
    <w:p>
      <w:pPr>
        <w:pStyle w:val="Heading2"/>
      </w:pPr>
      <w:r>
        <w:t xml:space="preserve">13.8 Recommendations for practice</w:t>
      </w:r>
    </w:p>
    <w:p>
      <w:pPr>
        <w:pStyle w:val="FirstParagraph"/>
      </w:pPr>
      <w:r>
        <w:t xml:space="preserve">A fillable SAP template aligned with the prespecification checklist</w:t>
      </w:r>
      <w:r>
        <w:t xml:space="preserve"> </w:t>
      </w:r>
      <w:r>
        <w:t xml:space="preserve">of</w:t>
      </w:r>
      <w:r>
        <w:t xml:space="preserve"> </w:t>
      </w:r>
      <w:r>
        <w:t xml:space="preserve">Gruber, Lee, et al. (2024)</w:t>
      </w:r>
      <w:r>
        <w:t xml:space="preserve"> </w:t>
      </w:r>
      <w:r>
        <w:t xml:space="preserve">and the staging construct of</w:t>
      </w:r>
      <w:r>
        <w:t xml:space="preserve"> </w:t>
      </w:r>
      <w:r>
        <w:t xml:space="preserve">Muntner et al. (2024)</w:t>
      </w:r>
      <w:r>
        <w:t xml:space="preserve"> </w:t>
      </w:r>
      <w:r>
        <w:t xml:space="preserve">is shipped with the package as</w:t>
      </w:r>
      <w:r>
        <w:t xml:space="preserve"> </w:t>
      </w:r>
      <w:r>
        <w:rPr>
          <w:rStyle w:val="VerbatimChar"/>
        </w:rPr>
        <w:t xml:space="preserve">system.file("templates", "sap_template.qmd", package = "cleanTMLE")</w:t>
      </w:r>
      <w:r>
        <w:t xml:space="preserve">.</w:t>
      </w:r>
      <w:r>
        <w:t xml:space="preserve"> </w:t>
      </w:r>
      <w:r>
        <w:t xml:space="preserve">The template walks the analyst through the eight-section structure</w:t>
      </w:r>
      <w:r>
        <w:t xml:space="preserve"> </w:t>
      </w:r>
      <w:r>
        <w:t xml:space="preserve">(estimand under ICH E9(R1), identifiability assumptions and DQ</w:t>
      </w:r>
      <w:r>
        <w:t xml:space="preserve"> </w:t>
      </w:r>
      <w:r>
        <w:t xml:space="preserve">mappings, candidate grid, decision thresholds, NC domain coverage,</w:t>
      </w:r>
      <w:r>
        <w:t xml:space="preserve"> </w:t>
      </w:r>
      <w:r>
        <w:t xml:space="preserve">sensitivity plan, decision log, reporting checklist) so that the</w:t>
      </w:r>
      <w:r>
        <w:t xml:space="preserve"> </w:t>
      </w:r>
      <w:r>
        <w:t xml:space="preserve">prespecification is filed in the same form that the audit log will</w:t>
      </w:r>
      <w:r>
        <w:t xml:space="preserve"> </w:t>
      </w:r>
      <w:r>
        <w:t xml:space="preserve">later reference.</w:t>
      </w:r>
    </w:p>
    <w:p>
      <w:pPr>
        <w:pStyle w:val="BodyText"/>
      </w:pPr>
      <w:r>
        <w:t xml:space="preserve">We recommend a five-step pre-outcome workflow when the analyst is</w:t>
      </w:r>
      <w:r>
        <w:t xml:space="preserve"> </w:t>
      </w:r>
      <w:r>
        <w:t xml:space="preserve">preparing a TL-RWE study.</w:t>
      </w:r>
    </w:p>
    <w:p>
      <w:pPr>
        <w:pStyle w:val="Compact"/>
        <w:numPr>
          <w:ilvl w:val="0"/>
          <w:numId w:val="1007"/>
        </w:numPr>
      </w:pPr>
      <w:r>
        <w:t xml:space="preserve">Document the SPIFD2 template, citing validation studies or data</w:t>
      </w:r>
      <w:r>
        <w:t xml:space="preserve"> </w:t>
      </w:r>
      <w:r>
        <w:t xml:space="preserve">profiling for each plausible range.</w:t>
      </w:r>
    </w:p>
    <w:p>
      <w:pPr>
        <w:pStyle w:val="Compact"/>
        <w:numPr>
          <w:ilvl w:val="0"/>
          <w:numId w:val="1007"/>
        </w:numPr>
      </w:pPr>
      <w:r>
        <w:t xml:space="preserve">Lock the specification and declare the estimand ladder: the</w:t>
      </w:r>
      <w:r>
        <w:t xml:space="preserve"> </w:t>
      </w:r>
      <w:r>
        <w:t xml:space="preserve">primary estimand, the ordered fallbacks, the switching trigger,</w:t>
      </w:r>
      <w:r>
        <w:t xml:space="preserve"> </w:t>
      </w:r>
      <w:r>
        <w:t xml:space="preserve">and the decision thresholds, all before any simulation runs.</w:t>
      </w:r>
    </w:p>
    <w:p>
      <w:pPr>
        <w:pStyle w:val="Compact"/>
        <w:numPr>
          <w:ilvl w:val="0"/>
          <w:numId w:val="1007"/>
        </w:numPr>
      </w:pPr>
      <w:r>
        <w:t xml:space="preserve">Fit the propensity and read the design:</w:t>
      </w:r>
      <w:r>
        <w:t xml:space="preserve"> </w:t>
      </w:r>
      <w:r>
        <w:rPr>
          <w:rStyle w:val="VerbatimChar"/>
        </w:rPr>
        <w:t xml:space="preserve">assess_support()</w:t>
      </w:r>
      <w:r>
        <w:t xml:space="preserve">,</w:t>
      </w:r>
      <w:r>
        <w:t xml:space="preserve"> </w:t>
      </w:r>
      <w:r>
        <w:rPr>
          <w:rStyle w:val="VerbatimChar"/>
        </w:rPr>
        <w:t xml:space="preserve">estimand_feasibility()</w:t>
      </w:r>
      <w:r>
        <w:t xml:space="preserve">, and</w:t>
      </w:r>
      <w:r>
        <w:t xml:space="preserve"> </w:t>
      </w:r>
      <w:r>
        <w:rPr>
          <w:rStyle w:val="VerbatimChar"/>
        </w:rPr>
        <w:t xml:space="preserve">simulate_support()</w:t>
      </w:r>
      <w:r>
        <w:t xml:space="preserve">. If the</w:t>
      </w:r>
      <w:r>
        <w:t xml:space="preserve"> </w:t>
      </w:r>
      <w:r>
        <w:t xml:space="preserve">declared primary is unsupported, the ladder, not the analyst’s</w:t>
      </w:r>
      <w:r>
        <w:t xml:space="preserve"> </w:t>
      </w:r>
      <w:r>
        <w:t xml:space="preserve">discretion, chooses what replaces it.</w:t>
      </w:r>
    </w:p>
    <w:p>
      <w:pPr>
        <w:pStyle w:val="Compact"/>
        <w:numPr>
          <w:ilvl w:val="0"/>
          <w:numId w:val="1007"/>
        </w:numPr>
      </w:pPr>
      <w:r>
        <w:t xml:space="preserve">Run</w:t>
      </w:r>
      <w:r>
        <w:t xml:space="preserve"> </w:t>
      </w:r>
      <w:r>
        <w:rPr>
          <w:rStyle w:val="VerbatimChar"/>
        </w:rPr>
        <w:t xml:space="preserve">run_plasmode_feasibility()</w:t>
      </w:r>
      <w:r>
        <w:t xml:space="preserve"> </w:t>
      </w:r>
      <w:r>
        <w:t xml:space="preserve">and</w:t>
      </w:r>
      <w:r>
        <w:t xml:space="preserve"> </w:t>
      </w:r>
      <w:r>
        <w:rPr>
          <w:rStyle w:val="VerbatimChar"/>
        </w:rPr>
        <w:t xml:space="preserve">run_plasmode_dq_stress()</w:t>
      </w:r>
      <w:r>
        <w:t xml:space="preserve"> </w:t>
      </w:r>
      <w:r>
        <w:t xml:space="preserve">on the surviving estimand. Use the SPIFD2-derived ranges as the</w:t>
      </w:r>
      <w:r>
        <w:t xml:space="preserve"> </w:t>
      </w:r>
      <w:r>
        <w:t xml:space="preserve">inputs to</w:t>
      </w:r>
      <w:r>
        <w:t xml:space="preserve"> </w:t>
      </w:r>
      <w:r>
        <w:rPr>
          <w:rStyle w:val="VerbatimChar"/>
        </w:rPr>
        <w:t xml:space="preserve">data_quality_scenarios</w:t>
      </w:r>
      <w:r>
        <w:t xml:space="preserve">.</w:t>
      </w:r>
    </w:p>
    <w:p>
      <w:pPr>
        <w:pStyle w:val="Compact"/>
        <w:numPr>
          <w:ilvl w:val="0"/>
          <w:numId w:val="1007"/>
        </w:numPr>
      </w:pPr>
      <w:r>
        <w:t xml:space="preserve">Assemble</w:t>
      </w:r>
      <w:r>
        <w:t xml:space="preserve"> </w:t>
      </w:r>
      <w:r>
        <w:rPr>
          <w:rStyle w:val="VerbatimChar"/>
        </w:rPr>
        <w:t xml:space="preserve">design_report()</w:t>
      </w:r>
      <w:r>
        <w:t xml:space="preserve"> </w:t>
      </w:r>
      <w:r>
        <w:t xml:space="preserve">and score the pre-outcome decision. If</w:t>
      </w:r>
      <w:r>
        <w:t xml:space="preserve"> </w:t>
      </w:r>
      <w:r>
        <w:t xml:space="preserve">a candidate is robust to the SPIFD2 plausible ranges, lock it. If</w:t>
      </w:r>
      <w:r>
        <w:t xml:space="preserve"> </w:t>
      </w:r>
      <w:r>
        <w:t xml:space="preserve">no candidate is robust, the correct decision is to stop, and the</w:t>
      </w:r>
      <w:r>
        <w:t xml:space="preserve"> </w:t>
      </w:r>
      <w:r>
        <w:t xml:space="preserve">analyst should reconsider the data source, the estimand, or the</w:t>
      </w:r>
      <w:r>
        <w:t xml:space="preserve"> </w:t>
      </w:r>
      <w:r>
        <w:t xml:space="preserve">decision thresholds before unblinding.</w:t>
      </w:r>
    </w:p>
    <w:p>
      <w:pPr>
        <w:pStyle w:val="FirstParagraph"/>
      </w:pPr>
      <w:r>
        <w:t xml:space="preserve">The design log preserves all of the above. The final paper or</w:t>
      </w:r>
      <w:r>
        <w:t xml:space="preserve"> </w:t>
      </w:r>
      <w:r>
        <w:t xml:space="preserve">regulatory submission can be reconstructed from the lock and the</w:t>
      </w:r>
      <w:r>
        <w:t xml:space="preserve"> </w:t>
      </w:r>
      <w:r>
        <w:t xml:space="preserve">log, including the SPIFD2 ranges, the support and feasibility</w:t>
      </w:r>
      <w:r>
        <w:t xml:space="preserve"> </w:t>
      </w:r>
      <w:r>
        <w:t xml:space="preserve">verdicts, the plasmode and DQ stress metrics, the pre-outcome</w:t>
      </w:r>
      <w:r>
        <w:t xml:space="preserve"> </w:t>
      </w:r>
      <w:r>
        <w:t xml:space="preserve">decision, and the post-outcome estimates with any ladder switch.</w:t>
      </w:r>
    </w:p>
    <w:bookmarkEnd w:id="156"/>
    <w:bookmarkEnd w:id="157"/>
    <w:bookmarkStart w:id="160" w:name="sec-summary"/>
    <w:p>
      <w:pPr>
        <w:pStyle w:val="Heading1"/>
      </w:pPr>
      <w:r>
        <w:t xml:space="preserve">14. Summary</w:t>
      </w:r>
    </w:p>
    <w:p>
      <w:pPr>
        <w:pStyle w:val="FirstParagraph"/>
      </w:pPr>
      <w:r>
        <w:t xml:space="preserve">cleanTMLE is an R package for staged, outcome-blind targeted learning</w:t>
      </w:r>
      <w:r>
        <w:t xml:space="preserve"> </w:t>
      </w:r>
      <w:r>
        <w:t xml:space="preserve">that makes estimability a design-stage question and produces</w:t>
      </w:r>
      <w:r>
        <w:t xml:space="preserve"> </w:t>
      </w:r>
      <w:r>
        <w:t xml:space="preserve">reproducible prespecification records. A traditional clean room</w:t>
      </w:r>
      <w:r>
        <w:t xml:space="preserve"> </w:t>
      </w:r>
      <w:r>
        <w:t xml:space="preserve">establishes that the analyst did not peek; cleanTMLE additionally</w:t>
      </w:r>
      <w:r>
        <w:t xml:space="preserve"> </w:t>
      </w:r>
      <w:r>
        <w:t xml:space="preserve">establishes whether the promised comparison was answerable, names the</w:t>
      </w:r>
      <w:r>
        <w:t xml:space="preserve"> </w:t>
      </w:r>
      <w:r>
        <w:t xml:space="preserve">neighbouring estimand the data can support when it is not, and</w:t>
      </w:r>
      <w:r>
        <w:t xml:space="preserve"> </w:t>
      </w:r>
      <w:r>
        <w:t xml:space="preserve">estimates that estimand with a doubly robust estimator, all committed</w:t>
      </w:r>
      <w:r>
        <w:t xml:space="preserve"> </w:t>
      </w:r>
      <w:r>
        <w:t xml:space="preserve">before anyone saw an outcome. The support assessment, the</w:t>
      </w:r>
      <w:r>
        <w:t xml:space="preserve"> </w:t>
      </w:r>
      <w:r>
        <w:t xml:space="preserve">per-estimand feasibility reading, the outcome-blind support map</w:t>
      </w:r>
      <w:r>
        <w:t xml:space="preserve"> </w:t>
      </w:r>
      <w:r>
        <w:t xml:space="preserve">(built on the generate-treatment plasmode design of</w:t>
      </w:r>
      <w:r>
        <w:t xml:space="preserve"> </w:t>
      </w:r>
      <w:r>
        <w:t xml:space="preserve">Shaw et al. (2025)</w:t>
      </w:r>
      <w:r>
        <w:t xml:space="preserve">), and the pre-registered estimand ladder implement</w:t>
      </w:r>
      <w:r>
        <w:t xml:space="preserve"> </w:t>
      </w:r>
      <w:r>
        <w:t xml:space="preserve">the estimability half. The data-quality stress test implements the</w:t>
      </w:r>
      <w:r>
        <w:t xml:space="preserve"> </w:t>
      </w:r>
      <w:r>
        <w:t xml:space="preserve">robustness half: it extends the outcome-blind plasmode loop of</w:t>
      </w:r>
      <w:r>
        <w:t xml:space="preserve"> </w:t>
      </w:r>
      <w:r>
        <w:t xml:space="preserve">Dang et al. (2023)</w:t>
      </w:r>
      <w:r>
        <w:t xml:space="preserve"> </w:t>
      </w:r>
      <w:r>
        <w:t xml:space="preserve">and</w:t>
      </w:r>
      <w:r>
        <w:t xml:space="preserve"> </w:t>
      </w:r>
      <w:r>
        <w:t xml:space="preserve">Gruber, Lee, et al. (2024)</w:t>
      </w:r>
      <w:r>
        <w:t xml:space="preserve"> </w:t>
      </w:r>
      <w:r>
        <w:t xml:space="preserve">with five data-quality</w:t>
      </w:r>
      <w:r>
        <w:t xml:space="preserve"> </w:t>
      </w:r>
      <w:r>
        <w:t xml:space="preserve">degradation mechanisms, producing per-candidate degradation gradients</w:t>
      </w:r>
      <w:r>
        <w:t xml:space="preserve"> </w:t>
      </w:r>
      <w:r>
        <w:t xml:space="preserve">on the same bias, RMSE, and coverage scale as the baseline plasmode</w:t>
      </w:r>
      <w:r>
        <w:t xml:space="preserve"> </w:t>
      </w:r>
      <w:r>
        <w:t xml:space="preserve">so the prespecified decision rule applies uniformly to both, and a</w:t>
      </w:r>
      <w:r>
        <w:t xml:space="preserve"> </w:t>
      </w:r>
      <w:r>
        <w:t xml:space="preserve">constructed demonstration (</w:t>
      </w:r>
      <w:hyperlink w:anchor="sec-divergence">
        <w:r>
          <w:rPr>
            <w:rStyle w:val="Hyperlink"/>
          </w:rPr>
          <w:t xml:space="preserve">Section 10.4</w:t>
        </w:r>
      </w:hyperlink>
      <w:r>
        <w:t xml:space="preserve">) shows the worst-case rule</w:t>
      </w:r>
      <w:r>
        <w:t xml:space="preserve"> </w:t>
      </w:r>
      <w:r>
        <w:t xml:space="preserve">can lock a different candidate from the baseline rule. The package</w:t>
      </w:r>
      <w:r>
        <w:t xml:space="preserve"> </w:t>
      </w:r>
      <w:r>
        <w:t xml:space="preserve">does not itself determine whether a data source is fit for purpose;</w:t>
      </w:r>
      <w:r>
        <w:t xml:space="preserve"> </w:t>
      </w:r>
      <w:r>
        <w:t xml:space="preserve">the severity ranges entered into the stress test must come from prior</w:t>
      </w:r>
      <w:r>
        <w:t xml:space="preserve"> </w:t>
      </w:r>
      <w:r>
        <w:t xml:space="preserve">validation studies, data profiling, or expert elicitation, and the</w:t>
      </w:r>
      <w:r>
        <w:t xml:space="preserve"> </w:t>
      </w:r>
      <w:r>
        <w:t xml:space="preserve">support machinery reads only the measured covariates. The</w:t>
      </w:r>
      <w:r>
        <w:t xml:space="preserve"> </w:t>
      </w:r>
      <w:r>
        <w:t xml:space="preserve">analysis-lock object and design log persist the prespecification as</w:t>
      </w:r>
      <w:r>
        <w:t xml:space="preserve"> </w:t>
      </w:r>
      <w:r>
        <w:t xml:space="preserve">reproducible records. The package is available at</w:t>
      </w:r>
      <w:r>
        <w:t xml:space="preserve"> </w:t>
      </w:r>
      <w:hyperlink r:id="rId158">
        <w:r>
          <w:rPr>
            <w:rStyle w:val="Hyperlink"/>
          </w:rPr>
          <w:t xml:space="preserve">https://github.com/amertens/cleanTMLE</w:t>
        </w:r>
      </w:hyperlink>
      <w:r>
        <w:t xml:space="preserve">;</w:t>
      </w:r>
      <w:r>
        <w:t xml:space="preserve"> </w:t>
      </w:r>
      <w:r>
        <w:t xml:space="preserve">the simulation code for the results in</w:t>
      </w:r>
      <w:r>
        <w:t xml:space="preserve"> </w:t>
      </w:r>
      <w:hyperlink w:anchor="sec-simulation">
        <w:r>
          <w:rPr>
            <w:rStyle w:val="Hyperlink"/>
          </w:rPr>
          <w:t xml:space="preserve">Section 10</w:t>
        </w:r>
      </w:hyperlink>
      <w:r>
        <w:t xml:space="preserve"> </w:t>
      </w:r>
      <w:r>
        <w:t xml:space="preserve">is in</w:t>
      </w:r>
      <w:r>
        <w:t xml:space="preserve"> </w:t>
      </w:r>
      <w:r>
        <w:t xml:space="preserve">the companion repository</w:t>
      </w:r>
      <w:r>
        <w:t xml:space="preserve"> </w:t>
      </w:r>
      <w:hyperlink r:id="rId159">
        <w:r>
          <w:rPr>
            <w:rStyle w:val="Hyperlink"/>
          </w:rPr>
          <w:t xml:space="preserve">https://github.com/amertens/clean-room-sim</w:t>
        </w:r>
      </w:hyperlink>
      <w:r>
        <w:t xml:space="preserve">.</w:t>
      </w:r>
    </w:p>
    <w:bookmarkEnd w:id="160"/>
    <w:bookmarkStart w:id="163" w:name="sec-reproducibility"/>
    <w:p>
      <w:pPr>
        <w:pStyle w:val="Heading1"/>
      </w:pPr>
      <w:r>
        <w:t xml:space="preserve">15. Reproducibility</w:t>
      </w:r>
    </w:p>
    <w:p>
      <w:pPr>
        <w:pStyle w:val="FirstParagraph"/>
      </w:pPr>
      <w:r>
        <w:t xml:space="preserve">The cleanTMLE package ships 22 testthat test files covering the core</w:t>
      </w:r>
      <w:r>
        <w:t xml:space="preserve"> </w:t>
      </w:r>
      <w:r>
        <w:t xml:space="preserve">workflow: analysis-lock creation and validation, the support assessment</w:t>
      </w:r>
      <w:r>
        <w:t xml:space="preserve"> </w:t>
      </w:r>
      <w:r>
        <w:t xml:space="preserve">and per-estimand feasibility functions, the estimand ladder and its</w:t>
      </w:r>
      <w:r>
        <w:t xml:space="preserve"> </w:t>
      </w:r>
      <w:r>
        <w:t xml:space="preserve">estimators (including recovery of known ATT and ATO truths and the</w:t>
      </w:r>
      <w:r>
        <w:t xml:space="preserve"> </w:t>
      </w:r>
      <w:r>
        <w:t xml:space="preserve">Shaw-artifact design comparison), the DQ stress-test mechanics and</w:t>
      </w:r>
      <w:r>
        <w:t xml:space="preserve"> </w:t>
      </w:r>
      <w:r>
        <w:t xml:space="preserve">degradation gradients, bootstrap and influence-function variance</w:t>
      </w:r>
      <w:r>
        <w:t xml:space="preserve"> </w:t>
      </w:r>
      <w:r>
        <w:t xml:space="preserve">estimators (including the</w:t>
      </w:r>
      <w:r>
        <w:t xml:space="preserve"> </w:t>
      </w:r>
      <w:r>
        <w:rPr>
          <w:rStyle w:val="VerbatimChar"/>
        </w:rPr>
        <w:t xml:space="preserve">"match_tmle"</w:t>
      </w:r>
      <w:r>
        <w:t xml:space="preserve"> </w:t>
      </w:r>
      <w:r>
        <w:t xml:space="preserve">estimator), event-process</w:t>
      </w:r>
      <w:r>
        <w:t xml:space="preserve"> </w:t>
      </w:r>
      <w:r>
        <w:t xml:space="preserve">helpers, plasmode simulation, estimator ground-truth comparisons</w:t>
      </w:r>
      <w:r>
        <w:t xml:space="preserve"> </w:t>
      </w:r>
      <w:r>
        <w:t xml:space="preserve">against</w:t>
      </w:r>
      <w:r>
        <w:t xml:space="preserve"> </w:t>
      </w:r>
      <w:r>
        <w:rPr>
          <w:rStyle w:val="VerbatimChar"/>
        </w:rPr>
        <w:t xml:space="preserve">tmle::tmle()</w:t>
      </w:r>
      <w:r>
        <w:t xml:space="preserve">, and reporting tables. Tests are run on every</w:t>
      </w:r>
      <w:r>
        <w:t xml:space="preserve"> </w:t>
      </w:r>
      <w:r>
        <w:t xml:space="preserve">push via the repository’s continuous-integration configuration</w:t>
      </w:r>
      <w:r>
        <w:t xml:space="preserve"> </w:t>
      </w:r>
      <w:r>
        <w:t xml:space="preserve">(</w:t>
      </w:r>
      <w:r>
        <w:rPr>
          <w:rStyle w:val="VerbatimChar"/>
        </w:rPr>
        <w:t xml:space="preserve">cleanTMLE/tests/testthat/</w:t>
      </w:r>
      <w:r>
        <w:t xml:space="preserve">). The experimental time-to-event</w:t>
      </w:r>
      <w:r>
        <w:t xml:space="preserve"> </w:t>
      </w:r>
      <w:r>
        <w:t xml:space="preserve">estimators have separate test files and are tagged accordingly.</w:t>
      </w:r>
    </w:p>
    <w:bookmarkStart w:id="162" w:name="sec-validation"/>
    <w:p>
      <w:pPr>
        <w:pStyle w:val="Heading2"/>
      </w:pPr>
      <w:r>
        <w:t xml:space="preserve">15.1 Estimator validation against a reference implementation</w:t>
      </w:r>
    </w:p>
    <w:p>
      <w:pPr>
        <w:pStyle w:val="FirstParagraph"/>
      </w:pPr>
      <w:r>
        <w:t xml:space="preserve">Beyond the unit tests, we validate the package’s targeted-learning estimator</w:t>
      </w:r>
      <w:r>
        <w:t xml:space="preserve"> </w:t>
      </w:r>
      <w:r>
        <w:t xml:space="preserve">against the reference</w:t>
      </w:r>
      <w:r>
        <w:t xml:space="preserve"> </w:t>
      </w:r>
      <w:r>
        <w:rPr>
          <w:rStyle w:val="VerbatimChar"/>
        </w:rPr>
        <w:t xml:space="preserve">tmle</w:t>
      </w:r>
      <w:r>
        <w:t xml:space="preserve"> </w:t>
      </w:r>
      <w:r>
        <w:t xml:space="preserve">package on a single large sample (</w:t>
      </w:r>
      <m:oMath>
        <m:r>
          <m:t>n</m:t>
        </m:r>
        <m:r>
          <m:rPr>
            <m:sty m:val="p"/>
          </m:rPr>
          <m:t>=</m:t>
        </m:r>
        <m:r>
          <m:t>20</m:t>
        </m:r>
        <m:r>
          <m:rPr>
            <m:sty m:val="p"/>
          </m:rPr>
          <m:t>,</m:t>
        </m:r>
        <m:r>
          <m:t>000</m:t>
        </m:r>
      </m:oMath>
      <w:r>
        <w:t xml:space="preserve">)</w:t>
      </w:r>
      <w:r>
        <w:t xml:space="preserve"> </w:t>
      </w:r>
      <w:r>
        <w:t xml:space="preserve">from the Scenario A data-generating process, where the analytic marginal risk</w:t>
      </w:r>
      <w:r>
        <w:t xml:space="preserve"> </w:t>
      </w:r>
      <w:r>
        <w:t xml:space="preserve">difference is known. The results show the cleanTMLE TMLE and</w:t>
      </w:r>
      <w:r>
        <w:t xml:space="preserve"> </w:t>
      </w:r>
      <w:r>
        <w:rPr>
          <w:rStyle w:val="VerbatimChar"/>
        </w:rPr>
        <w:t xml:space="preserve">tmle::tmle()</w:t>
      </w:r>
      <w:r>
        <w:t xml:space="preserve"> </w:t>
      </w:r>
      <w:r>
        <w:t xml:space="preserve">agreeing to roughly four decimal places (a difference near</w:t>
      </w:r>
      <w:r>
        <w:t xml:space="preserve"> </w:t>
      </w:r>
      <m:oMath>
        <m:r>
          <m:t>0.0002</m:t>
        </m:r>
      </m:oMath>
      <w:r>
        <w:t xml:space="preserve"> </w:t>
      </w:r>
      <w:r>
        <w:t xml:space="preserve">in the</w:t>
      </w:r>
      <w:r>
        <w:t xml:space="preserve"> </w:t>
      </w:r>
      <w:r>
        <w:t xml:space="preserve">risk difference, with</w:t>
      </w:r>
      <w:r>
        <w:t xml:space="preserve"> </w:t>
      </w:r>
      <w:r>
        <w:t xml:space="preserve">near-identical standard errors), and both recovering the analytic truth</w:t>
      </w:r>
      <w:r>
        <w:t xml:space="preserve"> </w:t>
      </w:r>
      <w:r>
        <w:t xml:space="preserve">(</w:t>
      </w:r>
      <w:hyperlink w:anchor="tbl-validation">
        <w:r>
          <w:rPr>
            <w:rStyle w:val="Hyperlink"/>
          </w:rPr>
          <w:t xml:space="preserve">Table 13</w:t>
        </w:r>
      </w:hyperlink>
      <w:r>
        <w:t xml:space="preserve">). This establishes that the estimator machinery is a correct</w:t>
      </w:r>
      <w:r>
        <w:t xml:space="preserve"> </w:t>
      </w:r>
      <w:r>
        <w:t xml:space="preserve">implementation; the package’s distinct contributions are the staged</w:t>
      </w:r>
      <w:r>
        <w:t xml:space="preserve"> </w:t>
      </w:r>
      <w:r>
        <w:t xml:space="preserve">outcome-blind governance and the data-quality stress test layered on top of a</w:t>
      </w:r>
      <w:r>
        <w:t xml:space="preserve"> </w:t>
      </w:r>
      <w:r>
        <w:t xml:space="preserve">standard, validated estimator.</w:t>
      </w:r>
    </w:p>
    <w:tbl>
      <w:tblPr>
        <w:tblStyle w:val="Table"/>
        <w:tblW w:type="pct" w:w="5000"/>
        <w:tblLayout w:type="fixed"/>
        <w:tblLook w:firstRow="0" w:lastRow="0" w:firstColumn="0" w:lastColumn="0" w:noHBand="0" w:noVBand="0" w:val="0000"/>
      </w:tblPr>
      <w:tblGrid>
        <w:gridCol w:w="7920"/>
      </w:tblGrid>
      <w:tr>
        <w:tc>
          <w:tcPr/>
          <w:bookmarkStart w:id="161" w:name="tbl-validation"/>
          <w:p>
            <w:pPr>
              <w:jc w:val="center"/>
            </w:pPr>
            <w:pPr>
              <w:jc w:val="start"/>
              <w:spacing w:before="200"/>
              <w:pStyle w:val="ImageCaption"/>
            </w:pPr>
            <w:r>
              <w:t xml:space="preserve">Table 13: cleanTMLE TMLE versus the reference tmle package and the analytic truth on identical data (Scenario A DGP, n = 20,000). diff_vs_tmle is the cleanTMLE estimate minus the tmle::tmle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source</w:t>
                  </w:r>
                </w:p>
              </w:tc>
              <w:tc>
                <w:tcPr/>
                <w:p>
                  <w:pPr>
                    <w:pStyle w:val="Compact"/>
                    <w:jc w:val="right"/>
                    <w:jc w:val="center"/>
                  </w:pPr>
                  <w:r>
                    <w:t xml:space="preserve">RD</w:t>
                  </w:r>
                </w:p>
              </w:tc>
              <w:tc>
                <w:tcPr/>
                <w:p>
                  <w:pPr>
                    <w:pStyle w:val="Compact"/>
                    <w:jc w:val="right"/>
                    <w:jc w:val="center"/>
                  </w:pPr>
                  <w:r>
                    <w:t xml:space="preserve">SE</w:t>
                  </w:r>
                </w:p>
              </w:tc>
              <w:tc>
                <w:tcPr/>
                <w:p>
                  <w:pPr>
                    <w:pStyle w:val="Compact"/>
                    <w:jc w:val="right"/>
                    <w:jc w:val="center"/>
                  </w:pPr>
                  <w:r>
                    <w:t xml:space="preserve">diff_vs_tmle</w:t>
                  </w:r>
                </w:p>
              </w:tc>
            </w:tr>
            <w:tr>
              <w:tc>
                <w:tcPr/>
                <w:p>
                  <w:pPr>
                    <w:pStyle w:val="Compact"/>
                    <w:jc w:val="left"/>
                    <w:jc w:val="center"/>
                  </w:pPr>
                  <w:r>
                    <w:t xml:space="preserve">Analytic truth</w:t>
                  </w:r>
                </w:p>
              </w:tc>
              <w:tc>
                <w:tcPr/>
                <w:p>
                  <w:pPr>
                    <w:pStyle w:val="Compact"/>
                    <w:jc w:val="right"/>
                    <w:jc w:val="center"/>
                  </w:pPr>
                  <w:r>
                    <w:t xml:space="preserve">-0.02974</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tmle::tmle (GLM)</w:t>
                  </w:r>
                </w:p>
              </w:tc>
              <w:tc>
                <w:tcPr/>
                <w:p>
                  <w:pPr>
                    <w:pStyle w:val="Compact"/>
                    <w:jc w:val="right"/>
                    <w:jc w:val="center"/>
                  </w:pPr>
                  <w:r>
                    <w:t xml:space="preserve">-0.02876</w:t>
                  </w:r>
                </w:p>
              </w:tc>
              <w:tc>
                <w:tcPr/>
                <w:p>
                  <w:pPr>
                    <w:pStyle w:val="Compact"/>
                    <w:jc w:val="right"/>
                    <w:jc w:val="center"/>
                  </w:pPr>
                  <w:r>
                    <w:t xml:space="preserve">0.00658</w:t>
                  </w:r>
                </w:p>
              </w:tc>
              <w:tc>
                <w:tcPr/>
                <w:p>
                  <w:pPr>
                    <w:pStyle w:val="Compact"/>
                    <w:jc w:val="right"/>
                    <w:jc w:val="center"/>
                  </w:pPr>
                  <w:r>
                    <w:t xml:space="preserve">0.00000</w:t>
                  </w:r>
                </w:p>
              </w:tc>
            </w:tr>
            <w:tr>
              <w:tc>
                <w:tcPr/>
                <w:p>
                  <w:pPr>
                    <w:pStyle w:val="Compact"/>
                    <w:jc w:val="left"/>
                    <w:jc w:val="center"/>
                  </w:pPr>
                  <w:r>
                    <w:t xml:space="preserve">cleanTMLE TMLE (GLM)</w:t>
                  </w:r>
                </w:p>
              </w:tc>
              <w:tc>
                <w:tcPr/>
                <w:p>
                  <w:pPr>
                    <w:pStyle w:val="Compact"/>
                    <w:jc w:val="right"/>
                    <w:jc w:val="center"/>
                  </w:pPr>
                  <w:r>
                    <w:t xml:space="preserve">-0.02892</w:t>
                  </w:r>
                </w:p>
              </w:tc>
              <w:tc>
                <w:tcPr/>
                <w:p>
                  <w:pPr>
                    <w:pStyle w:val="Compact"/>
                    <w:jc w:val="right"/>
                    <w:jc w:val="center"/>
                  </w:pPr>
                  <w:r>
                    <w:t xml:space="preserve">0.00657</w:t>
                  </w:r>
                </w:p>
              </w:tc>
              <w:tc>
                <w:tcPr/>
                <w:p>
                  <w:pPr>
                    <w:pStyle w:val="Compact"/>
                    <w:jc w:val="right"/>
                    <w:jc w:val="center"/>
                  </w:pPr>
                  <w:r>
                    <w:t xml:space="preserve">-0.00016</w:t>
                  </w:r>
                </w:p>
              </w:tc>
            </w:tr>
          </w:tbl>
          <w:bookmarkEnd w:id="161"/>
          <w:p/>
        </w:tc>
      </w:tr>
    </w:tbl>
    <w:p>
      <w:pPr>
        <w:pStyle w:val="BodyText"/>
      </w:pPr>
      <w:r>
        <w:t xml:space="preserve">The simulation results reported in this paper are produced by the</w:t>
      </w:r>
      <w:r>
        <w:t xml:space="preserve"> </w:t>
      </w:r>
      <w:r>
        <w:t xml:space="preserve">scripts listed below in the companion repository</w:t>
      </w:r>
      <w:r>
        <w:t xml:space="preserve"> </w:t>
      </w:r>
      <w:r>
        <w:t xml:space="preserve">(</w:t>
      </w:r>
      <w:hyperlink r:id="rId159">
        <w:r>
          <w:rPr>
            <w:rStyle w:val="Hyperlink"/>
          </w:rPr>
          <w:t xml:space="preserve">https://github.com/amertens/clean-room-sim</w:t>
        </w:r>
      </w:hyperlink>
      <w:r>
        <w:t xml:space="preserve">). Each writes to a</w:t>
      </w:r>
      <w:r>
        <w:t xml:space="preserve"> </w:t>
      </w:r>
      <w:r>
        <w:t xml:space="preserve">tracked results directory:</w:t>
      </w:r>
      <w:r>
        <w:t xml:space="preserve"> </w:t>
      </w:r>
      <w:r>
        <w:rPr>
          <w:rStyle w:val="VerbatimChar"/>
        </w:rPr>
        <w:t xml:space="preserve">results_new/</w:t>
      </w:r>
      <w:r>
        <w:t xml:space="preserve"> </w:t>
      </w:r>
      <w:r>
        <w:t xml:space="preserve">for the main simulation and</w:t>
      </w:r>
      <w:r>
        <w:t xml:space="preserve"> </w:t>
      </w:r>
      <w:r>
        <w:t xml:space="preserve">the variance study,</w:t>
      </w:r>
      <w:r>
        <w:t xml:space="preserve"> </w:t>
      </w:r>
      <w:r>
        <w:rPr>
          <w:rStyle w:val="VerbatimChar"/>
        </w:rPr>
        <w:t xml:space="preserve">rescueCo/results/</w:t>
      </w:r>
      <w:r>
        <w:t xml:space="preserve"> </w:t>
      </w:r>
      <w:r>
        <w:t xml:space="preserve">for the case study, and</w:t>
      </w:r>
      <w:r>
        <w:t xml:space="preserve"> </w:t>
      </w:r>
      <w:r>
        <w:rPr>
          <w:rStyle w:val="VerbatimChar"/>
        </w:rPr>
        <w:t xml:space="preserve">sandbox/</w:t>
      </w:r>
      <w:r>
        <w:t xml:space="preserve"> </w:t>
      </w:r>
      <w:r>
        <w:t xml:space="preserve">for the divergence and validation studies. Replicate counts,</w:t>
      </w:r>
      <w:r>
        <w:t xml:space="preserve"> </w:t>
      </w:r>
      <w:r>
        <w:t xml:space="preserve">sample size, and output directory for the main simulation are set with</w:t>
      </w:r>
      <w:r>
        <w:t xml:space="preserve"> </w:t>
      </w:r>
      <w:r>
        <w:t xml:space="preserve">the</w:t>
      </w:r>
      <w:r>
        <w:t xml:space="preserve"> </w:t>
      </w:r>
      <w:r>
        <w:rPr>
          <w:rStyle w:val="VerbatimChar"/>
        </w:rPr>
        <w:t xml:space="preserve">SIM_REPS</w:t>
      </w:r>
      <w:r>
        <w:t xml:space="preserve">,</w:t>
      </w:r>
      <w:r>
        <w:t xml:space="preserve"> </w:t>
      </w:r>
      <w:r>
        <w:rPr>
          <w:rStyle w:val="VerbatimChar"/>
        </w:rPr>
        <w:t xml:space="preserve">SIM_NOBS</w:t>
      </w:r>
      <w:r>
        <w:t xml:space="preserve">, and</w:t>
      </w:r>
      <w:r>
        <w:t xml:space="preserve"> </w:t>
      </w:r>
      <w:r>
        <w:rPr>
          <w:rStyle w:val="VerbatimChar"/>
        </w:rPr>
        <w:t xml:space="preserve">SIM_RESULTS</w:t>
      </w:r>
      <w:r>
        <w:t xml:space="preserve"> </w:t>
      </w:r>
      <w:r>
        <w:t xml:space="preserve">environment variables (see</w:t>
      </w:r>
      <w:r>
        <w:t xml:space="preserve"> </w:t>
      </w:r>
      <w:r>
        <w:rPr>
          <w:rStyle w:val="VerbatimChar"/>
        </w:rPr>
        <w:t xml:space="preserve">RUN_MANIFEST.md</w:t>
      </w:r>
      <w:r>
        <w:t xml:space="preserve">).</w:t>
      </w:r>
    </w:p>
    <w:p>
      <w:pPr>
        <w:pStyle w:val="TableCaption"/>
      </w:pPr>
      <w:r>
        <w:t xml:space="preserve">Script-to-output map. Running the scripts in order fully</w:t>
      </w:r>
      <w:r>
        <w:t xml:space="preserve"> </w:t>
      </w:r>
      <w:r>
        <w:t xml:space="preserve">regenerates the tracked simulation outputs; rendering the</w:t>
      </w:r>
      <w:r>
        <w:t xml:space="preserve"> </w:t>
      </w:r>
      <w:r>
        <w:rPr>
          <w:rStyle w:val="VerbatimChar"/>
        </w:rPr>
        <w:t xml:space="preserve">.qmd</w:t>
      </w:r>
      <w:r>
        <w:t xml:space="preserve"> </w:t>
      </w:r>
      <w:r>
        <w:t xml:space="preserve">then</w:t>
      </w:r>
      <w:r>
        <w:t xml:space="preserve"> </w:t>
      </w:r>
      <w:r>
        <w:t xml:space="preserve">produces all figures and tables. The underscore-prefixed scripts</w:t>
      </w:r>
      <w:r>
        <w:t xml:space="preserve"> </w:t>
      </w:r>
      <w:r>
        <w:t xml:space="preserve">(</w:t>
      </w:r>
      <w:r>
        <w:rPr>
          <w:rStyle w:val="VerbatimChar"/>
        </w:rPr>
        <w:t xml:space="preserve">dev/</w:t>
      </w:r>
      <w:r>
        <w:t xml:space="preserve">) are diagnostic utilities not required for manuscript</w:t>
      </w:r>
      <w:r>
        <w:t xml:space="preserve"> </w:t>
      </w:r>
      <w:r>
        <w:t xml:space="preserve">reproduction.</w:t>
      </w:r>
    </w:p>
    <w:tbl>
      <w:tblPr>
        <w:tblStyle w:val="Table"/>
        <w:tblW w:type="pct" w:w="5000"/>
        <w:tblLayout w:type="fixed"/>
        <w:tblLook w:firstRow="1" w:lastRow="0" w:firstColumn="0" w:lastColumn="0" w:noHBand="0" w:noVBand="0" w:val="0020"/>
        <w:tblCaption w:val="Script-to-output map. Running the scripts in order fully regenerates the tracked simulation outputs; rendering the .qmd then produces all figures and tables. The underscore-prefixed scripts (dev/) are diagnostic utilities not required for manuscript reproduction."/>
      </w:tblPr>
      <w:tblGrid>
        <w:gridCol w:w="2640"/>
        <w:gridCol w:w="2640"/>
        <w:gridCol w:w="2640"/>
      </w:tblGrid>
      <w:tr>
        <w:trPr>
          <w:tblHeader w:val="on"/>
        </w:trPr>
        <w:tc>
          <w:tcPr/>
          <w:p>
            <w:pPr>
              <w:pStyle w:val="Compact"/>
            </w:pPr>
            <w:r>
              <w:t xml:space="preserve">Script</w:t>
            </w:r>
          </w:p>
        </w:tc>
        <w:tc>
          <w:tcPr/>
          <w:p>
            <w:pPr>
              <w:pStyle w:val="Compact"/>
            </w:pPr>
            <w:r>
              <w:t xml:space="preserve">Output file(s)</w:t>
            </w:r>
          </w:p>
        </w:tc>
        <w:tc>
          <w:tcPr/>
          <w:p>
            <w:pPr>
              <w:pStyle w:val="Compact"/>
            </w:pPr>
            <w:r>
              <w:t xml:space="preserve">Figures / tables</w:t>
            </w:r>
          </w:p>
        </w:tc>
      </w:tr>
      <w:tr>
        <w:tc>
          <w:tcPr/>
          <w:p>
            <w:pPr>
              <w:pStyle w:val="Compact"/>
            </w:pPr>
            <w:r>
              <w:rPr>
                <w:rStyle w:val="VerbatimChar"/>
              </w:rPr>
              <w:t xml:space="preserve">run_simulation.R</w:t>
            </w:r>
          </w:p>
        </w:tc>
        <w:tc>
          <w:tcPr/>
          <w:p>
            <w:pPr>
              <w:pStyle w:val="Compact"/>
            </w:pPr>
            <w:r>
              <w:rPr>
                <w:rStyle w:val="VerbatimChar"/>
              </w:rPr>
              <w:t xml:space="preserve">results_new/simulation_results.rds</w:t>
            </w:r>
            <w:r>
              <w:t xml:space="preserve">,</w:t>
            </w:r>
            <w:r>
              <w:t xml:space="preserve"> </w:t>
            </w:r>
            <w:r>
              <w:rPr>
                <w:rStyle w:val="VerbatimChar"/>
              </w:rPr>
              <w:t xml:space="preserve">results_new/summary_*.csv</w:t>
            </w:r>
          </w:p>
        </w:tc>
        <w:tc>
          <w:tcPr/>
          <w:p>
            <w:pPr>
              <w:pStyle w:val="Compact"/>
            </w:pPr>
            <w:r>
              <w:t xml:space="preserve">per-scenario metrics tables in</w:t>
            </w:r>
            <w:r>
              <w:t xml:space="preserve"> </w:t>
            </w:r>
            <w:hyperlink w:anchor="sec-simulation">
              <w:r>
                <w:rPr>
                  <w:rStyle w:val="Hyperlink"/>
                </w:rPr>
                <w:t xml:space="preserve">Section 10</w:t>
              </w:r>
            </w:hyperlink>
            <w:r>
              <w:t xml:space="preserve">,</w:t>
            </w:r>
            <w:r>
              <w:t xml:space="preserve"> </w:t>
            </w:r>
            <w:hyperlink w:anchor="fig-mc-boxplots">
              <w:r>
                <w:rPr>
                  <w:rStyle w:val="Hyperlink"/>
                </w:rPr>
                <w:t xml:space="preserve">Figure 1</w:t>
              </w:r>
            </w:hyperlink>
            <w:r>
              <w:t xml:space="preserve">,</w:t>
            </w:r>
            <w:r>
              <w:t xml:space="preserve"> </w:t>
            </w:r>
            <w:hyperlink w:anchor="fig-coverage-bar">
              <w:r>
                <w:rPr>
                  <w:rStyle w:val="Hyperlink"/>
                </w:rPr>
                <w:t xml:space="preserve">Figure 2</w:t>
              </w:r>
            </w:hyperlink>
            <w:r>
              <w:t xml:space="preserve">,</w:t>
            </w:r>
            <w:r>
              <w:t xml:space="preserve"> </w:t>
            </w:r>
            <w:hyperlink w:anchor="fig-se-calibration">
              <w:r>
                <w:rPr>
                  <w:rStyle w:val="Hyperlink"/>
                </w:rPr>
                <w:t xml:space="preserve">Figure 3</w:t>
              </w:r>
            </w:hyperlink>
            <w:r>
              <w:t xml:space="preserve">,</w:t>
            </w:r>
            <w:r>
              <w:t xml:space="preserve"> </w:t>
            </w:r>
            <w:hyperlink w:anchor="fig-mc-forest">
              <w:r>
                <w:rPr>
                  <w:rStyle w:val="Hyperlink"/>
                </w:rPr>
                <w:t xml:space="preserve">Figure 4</w:t>
              </w:r>
            </w:hyperlink>
            <w:r>
              <w:t xml:space="preserve">,</w:t>
            </w:r>
            <w:r>
              <w:t xml:space="preserve"> </w:t>
            </w:r>
            <w:hyperlink w:anchor="fig-dq-degradation">
              <w:r>
                <w:rPr>
                  <w:rStyle w:val="Hyperlink"/>
                </w:rPr>
                <w:t xml:space="preserve">Figure 5</w:t>
              </w:r>
            </w:hyperlink>
          </w:p>
        </w:tc>
      </w:tr>
      <w:tr>
        <w:tc>
          <w:tcPr/>
          <w:p>
            <w:pPr>
              <w:pStyle w:val="Compact"/>
            </w:pPr>
            <w:r>
              <w:rPr>
                <w:rStyle w:val="VerbatimChar"/>
              </w:rPr>
              <w:t xml:space="preserve">run_gate_operating_characteristics.R</w:t>
            </w:r>
          </w:p>
        </w:tc>
        <w:tc>
          <w:tcPr/>
          <w:p>
            <w:pPr>
              <w:pStyle w:val="Compact"/>
            </w:pPr>
            <w:r>
              <w:rPr>
                <w:rStyle w:val="VerbatimChar"/>
              </w:rPr>
              <w:t xml:space="preserve">results_new/gate_oc.rds</w:t>
            </w:r>
          </w:p>
        </w:tc>
        <w:tc>
          <w:tcPr/>
          <w:p>
            <w:pPr>
              <w:pStyle w:val="Compact"/>
            </w:pPr>
            <w:hyperlink w:anchor="tbl-gate-oc">
              <w:r>
                <w:rPr>
                  <w:rStyle w:val="Hyperlink"/>
                </w:rPr>
                <w:t xml:space="preserve">Table 7</w:t>
              </w:r>
            </w:hyperlink>
            <w:r>
              <w:t xml:space="preserve">,</w:t>
            </w:r>
            <w:r>
              <w:t xml:space="preserve"> </w:t>
            </w:r>
            <w:hyperlink w:anchor="sec-gate-oc">
              <w:r>
                <w:rPr>
                  <w:rStyle w:val="Hyperlink"/>
                </w:rPr>
                <w:t xml:space="preserve">Section 11</w:t>
              </w:r>
            </w:hyperlink>
          </w:p>
        </w:tc>
      </w:tr>
      <w:tr>
        <w:tc>
          <w:tcPr/>
          <w:p>
            <w:pPr>
              <w:pStyle w:val="Compact"/>
            </w:pPr>
            <w:r>
              <w:rPr>
                <w:rStyle w:val="VerbatimChar"/>
              </w:rPr>
              <w:t xml:space="preserve">_bootstrap_variance.R</w:t>
            </w:r>
          </w:p>
        </w:tc>
        <w:tc>
          <w:tcPr/>
          <w:p>
            <w:pPr>
              <w:pStyle w:val="Compact"/>
            </w:pPr>
            <w:r>
              <w:rPr>
                <w:rStyle w:val="VerbatimChar"/>
              </w:rPr>
              <w:t xml:space="preserve">results_new/bootstrap_variance.rds</w:t>
            </w:r>
            <w:r>
              <w:t xml:space="preserve">,</w:t>
            </w:r>
            <w:r>
              <w:t xml:space="preserve"> </w:t>
            </w:r>
            <w:r>
              <w:rPr>
                <w:rStyle w:val="VerbatimChar"/>
              </w:rPr>
              <w:t xml:space="preserve">results_new/bootstrap_variance.csv</w:t>
            </w:r>
          </w:p>
        </w:tc>
        <w:tc>
          <w:tcPr/>
          <w:p>
            <w:pPr>
              <w:pStyle w:val="Compact"/>
            </w:pPr>
            <w:hyperlink w:anchor="tbl-boot-variance">
              <w:r>
                <w:rPr>
                  <w:rStyle w:val="Hyperlink"/>
                </w:rPr>
                <w:t xml:space="preserve">Table 5</w:t>
              </w:r>
            </w:hyperlink>
          </w:p>
        </w:tc>
      </w:tr>
      <w:tr>
        <w:tc>
          <w:tcPr/>
          <w:p>
            <w:pPr>
              <w:pStyle w:val="Compact"/>
            </w:pPr>
            <w:r>
              <w:rPr>
                <w:rStyle w:val="VerbatimChar"/>
              </w:rPr>
              <w:t xml:space="preserve">sandbox/validation/validate_vs_tmle.R</w:t>
            </w:r>
          </w:p>
        </w:tc>
        <w:tc>
          <w:tcPr/>
          <w:p>
            <w:pPr>
              <w:pStyle w:val="Compact"/>
            </w:pPr>
            <w:r>
              <w:rPr>
                <w:rStyle w:val="VerbatimChar"/>
              </w:rPr>
              <w:t xml:space="preserve">sandbox/validation/validation_vs_tmle.csv</w:t>
            </w:r>
          </w:p>
        </w:tc>
        <w:tc>
          <w:tcPr/>
          <w:p>
            <w:pPr>
              <w:pStyle w:val="Compact"/>
            </w:pPr>
            <w:hyperlink w:anchor="tbl-validation">
              <w:r>
                <w:rPr>
                  <w:rStyle w:val="Hyperlink"/>
                </w:rPr>
                <w:t xml:space="preserve">Table 13</w:t>
              </w:r>
            </w:hyperlink>
          </w:p>
        </w:tc>
      </w:tr>
      <w:tr>
        <w:tc>
          <w:tcPr/>
          <w:p>
            <w:pPr>
              <w:pStyle w:val="Compact"/>
            </w:pPr>
            <w:r>
              <w:rPr>
                <w:rStyle w:val="VerbatimChar"/>
              </w:rPr>
              <w:t xml:space="preserve">rescueCo/scripts/10_multiarm_build.R</w:t>
            </w:r>
          </w:p>
        </w:tc>
        <w:tc>
          <w:tcPr/>
          <w:p>
            <w:pPr>
              <w:pStyle w:val="Compact"/>
            </w:pPr>
            <w:r>
              <w:rPr>
                <w:rStyle w:val="VerbatimChar"/>
              </w:rPr>
              <w:t xml:space="preserve">rescueCo/results/multiarm/multiarm_locks.rds</w:t>
            </w:r>
            <w:r>
              <w:t xml:space="preserve">,</w:t>
            </w:r>
            <w:r>
              <w:t xml:space="preserve"> </w:t>
            </w:r>
            <w:r>
              <w:rPr>
                <w:rStyle w:val="VerbatimChar"/>
              </w:rPr>
              <w:t xml:space="preserve">lock_summary.csv</w:t>
            </w:r>
          </w:p>
        </w:tc>
        <w:tc>
          <w:tcPr/>
          <w:p>
            <w:pPr>
              <w:pStyle w:val="Compact"/>
            </w:pPr>
            <w:r>
              <w:t xml:space="preserve">Case-study locks (</w:t>
            </w:r>
            <w:hyperlink w:anchor="tbl-cs-locks">
              <w:r>
                <w:rPr>
                  <w:rStyle w:val="Hyperlink"/>
                </w:rPr>
                <w:t xml:space="preserve">Table 8</w:t>
              </w:r>
            </w:hyperlink>
            <w:r>
              <w:t xml:space="preserve">)</w:t>
            </w:r>
          </w:p>
        </w:tc>
      </w:tr>
      <w:tr>
        <w:tc>
          <w:tcPr/>
          <w:p>
            <w:pPr>
              <w:pStyle w:val="Compact"/>
            </w:pPr>
            <w:r>
              <w:rPr>
                <w:rStyle w:val="VerbatimChar"/>
              </w:rPr>
              <w:t xml:space="preserve">rescueCo/scripts/11_multiarm_design.R</w:t>
            </w:r>
            <w:r>
              <w:t xml:space="preserve">,</w:t>
            </w:r>
            <w:r>
              <w:t xml:space="preserve"> </w:t>
            </w:r>
            <w:r>
              <w:rPr>
                <w:rStyle w:val="VerbatimChar"/>
              </w:rPr>
              <w:t xml:space="preserve">11b_nc_ladder_unadjusted.R</w:t>
            </w:r>
          </w:p>
        </w:tc>
        <w:tc>
          <w:tcPr/>
          <w:p>
            <w:pPr>
              <w:pStyle w:val="Compact"/>
            </w:pPr>
            <w:r>
              <w:rPr>
                <w:rStyle w:val="VerbatimChar"/>
              </w:rPr>
              <w:t xml:space="preserve">support_by_contrast.csv</w:t>
            </w:r>
            <w:r>
              <w:t xml:space="preserve">,</w:t>
            </w:r>
            <w:r>
              <w:t xml:space="preserve"> </w:t>
            </w:r>
            <w:r>
              <w:rPr>
                <w:rStyle w:val="VerbatimChar"/>
              </w:rPr>
              <w:t xml:space="preserve">estimand_feasibility.csv</w:t>
            </w:r>
            <w:r>
              <w:t xml:space="preserve">,</w:t>
            </w:r>
            <w:r>
              <w:t xml:space="preserve"> </w:t>
            </w:r>
            <w:r>
              <w:rPr>
                <w:rStyle w:val="VerbatimChar"/>
              </w:rPr>
              <w:t xml:space="preserve">who_is_unsupported.csv</w:t>
            </w:r>
            <w:r>
              <w:t xml:space="preserve">,</w:t>
            </w:r>
            <w:r>
              <w:t xml:space="preserve"> </w:t>
            </w:r>
            <w:r>
              <w:rPr>
                <w:rStyle w:val="VerbatimChar"/>
              </w:rPr>
              <w:t xml:space="preserve">violation_regions.csv</w:t>
            </w:r>
            <w:r>
              <w:t xml:space="preserve">,</w:t>
            </w:r>
            <w:r>
              <w:t xml:space="preserve"> </w:t>
            </w:r>
            <w:r>
              <w:rPr>
                <w:rStyle w:val="VerbatimChar"/>
              </w:rPr>
              <w:t xml:space="preserve">nc_ladder.csv</w:t>
            </w:r>
            <w:r>
              <w:t xml:space="preserve">,</w:t>
            </w:r>
            <w:r>
              <w:t xml:space="preserve"> </w:t>
            </w:r>
            <w:r>
              <w:rPr>
                <w:rStyle w:val="VerbatimChar"/>
              </w:rPr>
              <w:t xml:space="preserve">collider_check.csv</w:t>
            </w:r>
            <w:r>
              <w:t xml:space="preserve">, support figures</w:t>
            </w:r>
          </w:p>
        </w:tc>
        <w:tc>
          <w:tcPr/>
          <w:p>
            <w:pPr>
              <w:pStyle w:val="Compact"/>
            </w:pPr>
            <w:hyperlink w:anchor="sec-casestudy-support">
              <w:r>
                <w:rPr>
                  <w:rStyle w:val="Hyperlink"/>
                </w:rPr>
                <w:t xml:space="preserve">Section 12.3</w:t>
              </w:r>
            </w:hyperlink>
            <w:r>
              <w:t xml:space="preserve"> </w:t>
            </w:r>
            <w:r>
              <w:t xml:space="preserve">tables and figures</w:t>
            </w:r>
          </w:p>
        </w:tc>
      </w:tr>
      <w:tr>
        <w:tc>
          <w:tcPr/>
          <w:p>
            <w:pPr>
              <w:pStyle w:val="Compact"/>
            </w:pPr>
            <w:r>
              <w:rPr>
                <w:rStyle w:val="VerbatimChar"/>
              </w:rPr>
              <w:t xml:space="preserve">rescueCo/scripts/12_multiarm_support_sim.R</w:t>
            </w:r>
          </w:p>
        </w:tc>
        <w:tc>
          <w:tcPr/>
          <w:p>
            <w:pPr>
              <w:pStyle w:val="Compact"/>
            </w:pPr>
            <w:r>
              <w:rPr>
                <w:rStyle w:val="VerbatimChar"/>
              </w:rPr>
              <w:t xml:space="preserve">supportsim_*.rds</w:t>
            </w:r>
            <w:r>
              <w:t xml:space="preserve">,</w:t>
            </w:r>
            <w:r>
              <w:t xml:space="preserve"> </w:t>
            </w:r>
            <w:r>
              <w:rPr>
                <w:rStyle w:val="VerbatimChar"/>
              </w:rPr>
              <w:t xml:space="preserve">designcmp_*.rds</w:t>
            </w:r>
            <w:r>
              <w:t xml:space="preserve">, support-map figures</w:t>
            </w:r>
          </w:p>
        </w:tc>
        <w:tc>
          <w:tcPr/>
          <w:p>
            <w:pPr>
              <w:pStyle w:val="Compact"/>
            </w:pPr>
            <w:r>
              <w:t xml:space="preserve">Support maps and</w:t>
            </w:r>
            <w:r>
              <w:t xml:space="preserve"> </w:t>
            </w:r>
            <w:hyperlink w:anchor="tbl-cs-designcmp">
              <w:r>
                <w:rPr>
                  <w:rStyle w:val="Hyperlink"/>
                </w:rPr>
                <w:t xml:space="preserve">Table 10</w:t>
              </w:r>
            </w:hyperlink>
          </w:p>
        </w:tc>
      </w:tr>
      <w:tr>
        <w:tc>
          <w:tcPr/>
          <w:p>
            <w:pPr>
              <w:pStyle w:val="Compact"/>
            </w:pPr>
            <w:r>
              <w:rPr>
                <w:rStyle w:val="VerbatimChar"/>
              </w:rPr>
              <w:t xml:space="preserve">rescueCo/scripts/13_multiarm_estimation.R</w:t>
            </w:r>
            <w:r>
              <w:t xml:space="preserve">,</w:t>
            </w:r>
            <w:r>
              <w:t xml:space="preserve"> </w:t>
            </w:r>
            <w:r>
              <w:rPr>
                <w:rStyle w:val="VerbatimChar"/>
              </w:rPr>
              <w:t xml:space="preserve">14_multiarm_report.R</w:t>
            </w:r>
          </w:p>
        </w:tc>
        <w:tc>
          <w:tcPr/>
          <w:p>
            <w:pPr>
              <w:pStyle w:val="Compact"/>
            </w:pPr>
            <w:r>
              <w:rPr>
                <w:rStyle w:val="VerbatimChar"/>
              </w:rPr>
              <w:t xml:space="preserve">ladder_estimates.csv</w:t>
            </w:r>
            <w:r>
              <w:t xml:space="preserve">,</w:t>
            </w:r>
            <w:r>
              <w:t xml:space="preserve"> </w:t>
            </w:r>
            <w:r>
              <w:rPr>
                <w:rStyle w:val="VerbatimChar"/>
              </w:rPr>
              <w:t xml:space="preserve">ladder_design_log.csv</w:t>
            </w:r>
          </w:p>
        </w:tc>
        <w:tc>
          <w:tcPr/>
          <w:p>
            <w:pPr>
              <w:pStyle w:val="Compact"/>
            </w:pPr>
            <w:hyperlink w:anchor="tbl-cs-ladder">
              <w:r>
                <w:rPr>
                  <w:rStyle w:val="Hyperlink"/>
                </w:rPr>
                <w:t xml:space="preserve">Table 11</w:t>
              </w:r>
            </w:hyperlink>
          </w:p>
        </w:tc>
      </w:tr>
      <w:tr>
        <w:tc>
          <w:tcPr/>
          <w:p>
            <w:pPr>
              <w:pStyle w:val="Compact"/>
            </w:pPr>
            <w:r>
              <w:rPr>
                <w:rStyle w:val="VerbatimChar"/>
              </w:rPr>
              <w:t xml:space="preserve">rescueCo/scripts/build_reconciliation_table.R</w:t>
            </w:r>
          </w:p>
        </w:tc>
        <w:tc>
          <w:tcPr/>
          <w:p>
            <w:pPr>
              <w:pStyle w:val="Compact"/>
            </w:pPr>
            <w:r>
              <w:rPr>
                <w:rStyle w:val="VerbatimChar"/>
              </w:rPr>
              <w:t xml:space="preserve">rescueCo/results/reconciliation_table.csv</w:t>
            </w:r>
          </w:p>
        </w:tc>
        <w:tc>
          <w:tcPr/>
          <w:p>
            <w:pPr>
              <w:pStyle w:val="Compact"/>
            </w:pPr>
            <w:r>
              <w:t xml:space="preserve">Reconciliation against the parallel unblinded analysis</w:t>
            </w:r>
          </w:p>
        </w:tc>
      </w:tr>
      <w:tr>
        <w:tc>
          <w:tcPr/>
          <w:p>
            <w:pPr>
              <w:pStyle w:val="Compact"/>
            </w:pPr>
            <w:r>
              <w:rPr>
                <w:rStyle w:val="VerbatimChar"/>
              </w:rPr>
              <w:t xml:space="preserve">rescueCo/scripts/rescueco_dq_full.R</w:t>
            </w:r>
          </w:p>
        </w:tc>
        <w:tc>
          <w:tcPr/>
          <w:p>
            <w:pPr>
              <w:pStyle w:val="Compact"/>
            </w:pPr>
            <w:r>
              <w:rPr>
                <w:rStyle w:val="VerbatimChar"/>
              </w:rPr>
              <w:t xml:space="preserve">rescueCo/results/plasmode_dq_stress.rds</w:t>
            </w:r>
            <w:r>
              <w:t xml:space="preserve">,</w:t>
            </w:r>
            <w:r>
              <w:t xml:space="preserve"> </w:t>
            </w:r>
            <w:r>
              <w:rPr>
                <w:rStyle w:val="VerbatimChar"/>
              </w:rPr>
              <w:t xml:space="preserve">rescueCo/results/plasmode_dq_degradation.csv</w:t>
            </w:r>
          </w:p>
        </w:tc>
        <w:tc>
          <w:tcPr/>
          <w:p>
            <w:pPr>
              <w:pStyle w:val="Compact"/>
            </w:pPr>
            <w:r>
              <w:t xml:space="preserve">Case-study DQ subsection (</w:t>
            </w:r>
            <w:hyperlink w:anchor="sec-casestudy-dq">
              <w:r>
                <w:rPr>
                  <w:rStyle w:val="Hyperlink"/>
                </w:rPr>
                <w:t xml:space="preserve">Section 12.6</w:t>
              </w:r>
            </w:hyperlink>
            <w:r>
              <w:t xml:space="preserve">)</w:t>
            </w:r>
          </w:p>
        </w:tc>
      </w:tr>
      <w:tr>
        <w:tc>
          <w:tcPr/>
          <w:p>
            <w:pPr>
              <w:pStyle w:val="Compact"/>
            </w:pPr>
            <w:r>
              <w:rPr>
                <w:rStyle w:val="VerbatimChar"/>
              </w:rPr>
              <w:t xml:space="preserve">sandbox/rescueco_fidelity/plasmode_fidelity.R</w:t>
            </w:r>
          </w:p>
        </w:tc>
        <w:tc>
          <w:tcPr/>
          <w:p>
            <w:pPr>
              <w:pStyle w:val="Compact"/>
            </w:pPr>
            <w:r>
              <w:rPr>
                <w:rStyle w:val="VerbatimChar"/>
              </w:rPr>
              <w:t xml:space="preserve">rescueCo/results/plasmode_fidelity.csv</w:t>
            </w:r>
          </w:p>
        </w:tc>
        <w:tc>
          <w:tcPr/>
          <w:p>
            <w:pPr>
              <w:pStyle w:val="Compact"/>
            </w:pPr>
            <w:r>
              <w:t xml:space="preserve">Case-study synthetic-outcome fidelity subsection</w:t>
            </w:r>
          </w:p>
        </w:tc>
      </w:tr>
      <w:tr>
        <w:tc>
          <w:tcPr/>
          <w:p>
            <w:pPr>
              <w:pStyle w:val="Compact"/>
            </w:pPr>
            <w:r>
              <w:rPr>
                <w:rStyle w:val="VerbatimChar"/>
              </w:rPr>
              <w:t xml:space="preserve">sandbox/candidate_divergence/divergence_study.R</w:t>
            </w:r>
          </w:p>
        </w:tc>
        <w:tc>
          <w:tcPr/>
          <w:p>
            <w:pPr>
              <w:pStyle w:val="Compact"/>
            </w:pPr>
            <w:r>
              <w:rPr>
                <w:rStyle w:val="VerbatimChar"/>
              </w:rPr>
              <w:t xml:space="preserve">candidate_divergence_full.rds</w:t>
            </w:r>
            <w:r>
              <w:t xml:space="preserve">,</w:t>
            </w:r>
            <w:r>
              <w:t xml:space="preserve"> </w:t>
            </w:r>
            <w:r>
              <w:rPr>
                <w:rStyle w:val="VerbatimChar"/>
              </w:rPr>
              <w:t xml:space="preserve">degradation_gradient.png</w:t>
            </w:r>
          </w:p>
        </w:tc>
        <w:tc>
          <w:tcPr/>
          <w:p>
            <w:pPr>
              <w:pStyle w:val="Compact"/>
            </w:pPr>
            <w:hyperlink w:anchor="sec-divergence">
              <w:r>
                <w:rPr>
                  <w:rStyle w:val="Hyperlink"/>
                </w:rPr>
                <w:t xml:space="preserve">Section 10.4</w:t>
              </w:r>
            </w:hyperlink>
            <w:r>
              <w:t xml:space="preserve"> </w:t>
            </w:r>
            <w:r>
              <w:t xml:space="preserve">(</w:t>
            </w:r>
            <w:hyperlink w:anchor="fig-divergence">
              <w:r>
                <w:rPr>
                  <w:rStyle w:val="Hyperlink"/>
                </w:rPr>
                <w:t xml:space="preserve">Figure 6</w:t>
              </w:r>
            </w:hyperlink>
            <w:r>
              <w:t xml:space="preserve">)</w:t>
            </w:r>
          </w:p>
        </w:tc>
      </w:tr>
    </w:tbl>
    <w:p>
      <w:pPr>
        <w:pStyle w:val="BodyText"/>
      </w:pPr>
      <w:r>
        <w:t xml:space="preserve">The case-study DQ results reported in</w:t>
      </w:r>
      <w:r>
        <w:t xml:space="preserve"> </w:t>
      </w:r>
      <w:hyperlink w:anchor="sec-casestudy-dq">
        <w:r>
          <w:rPr>
            <w:rStyle w:val="Hyperlink"/>
          </w:rPr>
          <w:t xml:space="preserve">Section 12.6</w:t>
        </w:r>
      </w:hyperlink>
      <w:r>
        <w:t xml:space="preserve"> </w:t>
      </w:r>
      <w:r>
        <w:t xml:space="preserve">use a</w:t>
      </w:r>
      <w:r>
        <w:t xml:space="preserve"> </w:t>
      </w:r>
      <w:r>
        <w:t xml:space="preserve">50-replicate illustrative run produced by</w:t>
      </w:r>
      <w:r>
        <w:t xml:space="preserve"> </w:t>
      </w:r>
      <w:r>
        <w:rPr>
          <w:rStyle w:val="VerbatimChar"/>
        </w:rPr>
        <w:t xml:space="preserve">rescueCo/scripts/rescueco_dq_full.R</w:t>
      </w:r>
      <w:r>
        <w:t xml:space="preserve"> </w:t>
      </w:r>
      <w:r>
        <w:t xml:space="preserve">(a 200-replicate confirmation is</w:t>
      </w:r>
      <w:r>
        <w:t xml:space="preserve"> </w:t>
      </w:r>
      <w:r>
        <w:t xml:space="preserve">deferred, as the case study is a workflow demonstration rather than</w:t>
      </w:r>
      <w:r>
        <w:t xml:space="preserve"> </w:t>
      </w:r>
      <w:r>
        <w:t xml:space="preserve">confirmatory evidence). The</w:t>
      </w:r>
      <w:r>
        <w:t xml:space="preserve"> </w:t>
      </w:r>
      <w:r>
        <w:t xml:space="preserve">bundled configuration (</w:t>
      </w:r>
      <w:r>
        <w:rPr>
          <w:rStyle w:val="VerbatimChar"/>
        </w:rPr>
        <w:t xml:space="preserve">config/clean_room_config.yml</w:t>
      </w:r>
      <w:r>
        <w:t xml:space="preserve">) runs Stage 2c</w:t>
      </w:r>
      <w:r>
        <w:t xml:space="preserve"> </w:t>
      </w:r>
      <w:r>
        <w:t xml:space="preserve">at 3 replicates per threat-severity cell as a continuous-integration</w:t>
      </w:r>
      <w:r>
        <w:t xml:space="preserve"> </w:t>
      </w:r>
      <w:r>
        <w:t xml:space="preserve">smoke test, which is not used for any reported result.</w:t>
      </w:r>
    </w:p>
    <w:bookmarkEnd w:id="162"/>
    <w:bookmarkEnd w:id="163"/>
    <w:bookmarkStart w:id="179" w:name="sec-appendix"/>
    <w:p>
      <w:pPr>
        <w:pStyle w:val="Heading1"/>
      </w:pPr>
      <w:r>
        <w:t xml:space="preserve">Appendix</w:t>
      </w:r>
    </w:p>
    <w:bookmarkStart w:id="165" w:name="conceptual-layers-of-the-workflow"/>
    <w:p>
      <w:pPr>
        <w:pStyle w:val="Heading2"/>
      </w:pPr>
      <w:r>
        <w:t xml:space="preserve">15.2 Conceptual layers of the workflow</w:t>
      </w:r>
    </w:p>
    <w:p>
      <w:pPr>
        <w:pStyle w:val="FirstParagraph"/>
      </w:pPr>
      <w:hyperlink w:anchor="tbl-layers">
        <w:r>
          <w:rPr>
            <w:rStyle w:val="Hyperlink"/>
          </w:rPr>
          <w:t xml:space="preserve">Table 14</w:t>
        </w:r>
      </w:hyperlink>
      <w:r>
        <w:t xml:space="preserve"> </w:t>
      </w:r>
      <w:r>
        <w:t xml:space="preserve">distinguishes the conceptual layers that the workflow keeps</w:t>
      </w:r>
      <w:r>
        <w:t xml:space="preserve"> </w:t>
      </w:r>
      <w:r>
        <w:t xml:space="preserve">separate, and is a reference for which decisions are addressed at</w:t>
      </w:r>
      <w:r>
        <w:t xml:space="preserve"> </w:t>
      </w:r>
      <w:r>
        <w:t xml:space="preserve">the design stage versus the estimation stage.</w:t>
      </w:r>
    </w:p>
    <w:tbl>
      <w:tblPr>
        <w:tblStyle w:val="Table"/>
        <w:tblW w:type="pct" w:w="5000"/>
        <w:tblLayout w:type="fixed"/>
        <w:tblLook w:firstRow="0" w:lastRow="0" w:firstColumn="0" w:lastColumn="0" w:noHBand="0" w:noVBand="0" w:val="0000"/>
      </w:tblPr>
      <w:tblGrid>
        <w:gridCol w:w="7920"/>
      </w:tblGrid>
      <w:tr>
        <w:tc>
          <w:tcPr/>
          <w:bookmarkStart w:id="164" w:name="tbl-layers"/>
          <w:p>
            <w:pPr>
              <w:jc w:val="center"/>
            </w:pPr>
            <w:pPr>
              <w:jc w:val="start"/>
              <w:spacing w:before="200"/>
              <w:pStyle w:val="ImageCaption"/>
            </w:pPr>
            <w:r>
              <w:t xml:space="preserve">Table 14: Conceptual layers in the staged workflow. The same vocabulary is used throughout the manuscript to keep estimand, estimator, simulation, and decision rule distinct.</w:t>
            </w:r>
          </w:p>
          <w:tbl>
            <w:tblPr>
              <w:tblStyle w:val="Table"/>
              <w:tblW w:type="pct" w:w="5000"/>
              <w:tblLayout w:type="fixed"/>
              <w:tblLook w:firstRow="1" w:lastRow="0" w:firstColumn="0" w:lastColumn="0" w:noHBand="0" w:noVBand="0" w:val="0020"/>
            </w:tblPr>
            <w:tblGrid>
              <w:gridCol w:w="1120"/>
              <w:gridCol w:w="6799"/>
            </w:tblGrid>
            <w:tr>
              <w:trPr>
                <w:tblHeader w:val="on"/>
              </w:trPr>
              <w:tc>
                <w:tcPr/>
                <w:p>
                  <w:pPr>
                    <w:pStyle w:val="Compact"/>
                    <w:jc w:val="left"/>
                    <w:jc w:val="center"/>
                  </w:pPr>
                  <w:r>
                    <w:t xml:space="preserve">Layer</w:t>
                  </w:r>
                </w:p>
              </w:tc>
              <w:tc>
                <w:tcPr/>
                <w:p>
                  <w:pPr>
                    <w:pStyle w:val="Compact"/>
                    <w:jc w:val="left"/>
                    <w:jc w:val="center"/>
                  </w:pPr>
                  <w:r>
                    <w:t xml:space="preserve">Description</w:t>
                  </w:r>
                </w:p>
              </w:tc>
            </w:tr>
            <w:tr>
              <w:tc>
                <w:tcPr/>
                <w:p>
                  <w:pPr>
                    <w:pStyle w:val="Compact"/>
                    <w:jc w:val="left"/>
                    <w:jc w:val="center"/>
                  </w:pPr>
                  <w:r>
                    <w:t xml:space="preserve">Causal question</w:t>
                  </w:r>
                </w:p>
              </w:tc>
              <w:tc>
                <w:tcPr/>
                <w:p>
                  <w:pPr>
                    <w:pStyle w:val="Compact"/>
                    <w:jc w:val="left"/>
                    <w:jc w:val="center"/>
                  </w:pPr>
                  <w:r>
                    <w:t xml:space="preserve">Clinical or policy question framed as a target trial or causal contrast.</w:t>
                  </w:r>
                </w:p>
              </w:tc>
            </w:tr>
            <w:tr>
              <w:tc>
                <w:tcPr/>
                <w:p>
                  <w:pPr>
                    <w:pStyle w:val="Compact"/>
                    <w:jc w:val="left"/>
                    <w:jc w:val="center"/>
                  </w:pPr>
                  <w:r>
                    <w:t xml:space="preserve">Causal estimand</w:t>
                  </w:r>
                </w:p>
              </w:tc>
              <w:tc>
                <w:tcPr/>
                <w:p>
                  <w:pPr>
                    <w:pStyle w:val="Compact"/>
                    <w:jc w:val="left"/>
                    <w:jc w:val="center"/>
                  </w:pPr>
                  <w:r>
                    <w:t xml:space="preserve">Counterfactual treatment effect of interest (e.g. marginal risk difference).</w:t>
                  </w:r>
                </w:p>
              </w:tc>
            </w:tr>
            <w:tr>
              <w:tc>
                <w:tcPr/>
                <w:p>
                  <w:pPr>
                    <w:pStyle w:val="Compact"/>
                    <w:jc w:val="left"/>
                    <w:jc w:val="center"/>
                  </w:pPr>
                  <w:r>
                    <w:t xml:space="preserve">Identification assumptions</w:t>
                  </w:r>
                </w:p>
              </w:tc>
              <w:tc>
                <w:tcPr/>
                <w:p>
                  <w:pPr>
                    <w:pStyle w:val="Compact"/>
                    <w:jc w:val="left"/>
                    <w:jc w:val="center"/>
                  </w:pPr>
                  <w:r>
                    <w:t xml:space="preserve">Conditions under which the causal estimand can be expressed as an observed-data parameter (exchangeability, positivity, consistency, measurement validity, missingness assumptions).</w:t>
                  </w:r>
                </w:p>
              </w:tc>
            </w:tr>
            <w:tr>
              <w:tc>
                <w:tcPr/>
                <w:p>
                  <w:pPr>
                    <w:pStyle w:val="Compact"/>
                    <w:jc w:val="left"/>
                    <w:jc w:val="center"/>
                  </w:pPr>
                  <w:r>
                    <w:t xml:space="preserve">Statistical estimand</w:t>
                  </w:r>
                </w:p>
              </w:tc>
              <w:tc>
                <w:tcPr/>
                <w:p>
                  <w:pPr>
                    <w:pStyle w:val="Compact"/>
                    <w:jc w:val="left"/>
                    <w:jc w:val="center"/>
                  </w:pPr>
                  <w:r>
                    <w:t xml:space="preserve">Observed-data parameter identified under the assumptions above.</w:t>
                  </w:r>
                </w:p>
              </w:tc>
            </w:tr>
            <w:tr>
              <w:tc>
                <w:tcPr/>
                <w:p>
                  <w:pPr>
                    <w:pStyle w:val="Compact"/>
                    <w:jc w:val="left"/>
                    <w:jc w:val="center"/>
                  </w:pPr>
                  <w:r>
                    <w:t xml:space="preserve">Estimand ladder</w:t>
                  </w:r>
                </w:p>
              </w:tc>
              <w:tc>
                <w:tcPr/>
                <w:p>
                  <w:pPr>
                    <w:pStyle w:val="Compact"/>
                    <w:jc w:val="left"/>
                    <w:jc w:val="center"/>
                  </w:pPr>
                  <w:r>
                    <w:t xml:space="preserve">Pre-registered ordered fallbacks (trimmed ATE, ATT, ATO) and the support verdict that triggers a switch when the declared primary is not estimable in practice.</w:t>
                  </w:r>
                </w:p>
              </w:tc>
            </w:tr>
            <w:tr>
              <w:tc>
                <w:tcPr/>
                <w:p>
                  <w:pPr>
                    <w:pStyle w:val="Compact"/>
                    <w:jc w:val="left"/>
                    <w:jc w:val="center"/>
                  </w:pPr>
                  <w:r>
                    <w:t xml:space="preserve">Estimator</w:t>
                  </w:r>
                </w:p>
              </w:tc>
              <w:tc>
                <w:tcPr/>
                <w:p>
                  <w:pPr>
                    <w:pStyle w:val="Compact"/>
                    <w:jc w:val="left"/>
                    <w:jc w:val="center"/>
                  </w:pPr>
                  <w:r>
                    <w:t xml:space="preserve">Algorithm used to estimate the statistical estimand, for example TMLE, IPTW, or matching.</w:t>
                  </w:r>
                </w:p>
              </w:tc>
            </w:tr>
            <w:tr>
              <w:tc>
                <w:tcPr/>
                <w:p>
                  <w:pPr>
                    <w:pStyle w:val="Compact"/>
                    <w:jc w:val="left"/>
                    <w:jc w:val="center"/>
                  </w:pPr>
                  <w:r>
                    <w:t xml:space="preserve">Pre-outcome diagnostic metric</w:t>
                  </w:r>
                </w:p>
              </w:tc>
              <w:tc>
                <w:tcPr/>
                <w:p>
                  <w:pPr>
                    <w:pStyle w:val="Compact"/>
                    <w:jc w:val="left"/>
                    <w:jc w:val="center"/>
                  </w:pPr>
                  <w:r>
                    <w:t xml:space="preserve">Pre-outcome quantity used for design checks: support verdict, per-estimand feasibility, simulated bias, RMSE, coverage, effective sample size, balance, negative-control performance.</w:t>
                  </w:r>
                </w:p>
              </w:tc>
            </w:tr>
            <w:tr>
              <w:tc>
                <w:tcPr/>
                <w:p>
                  <w:pPr>
                    <w:pStyle w:val="Compact"/>
                    <w:jc w:val="left"/>
                    <w:jc w:val="center"/>
                  </w:pPr>
                  <w:r>
                    <w:t xml:space="preserve">Governance decision</w:t>
                  </w:r>
                </w:p>
              </w:tc>
              <w:tc>
                <w:tcPr/>
                <w:p>
                  <w:pPr>
                    <w:pStyle w:val="Compact"/>
                    <w:jc w:val="left"/>
                    <w:jc w:val="center"/>
                  </w:pPr>
                  <w:r>
                    <w:t xml:space="preserve">Whether prespecified criteria support proceeding, require additional review, or require stopping the analysis before the outcome is examined.</w:t>
                  </w:r>
                </w:p>
              </w:tc>
            </w:tr>
          </w:tbl>
          <w:bookmarkEnd w:id="164"/>
          <w:p/>
        </w:tc>
      </w:tr>
    </w:tbl>
    <w:bookmarkEnd w:id="165"/>
    <w:bookmarkStart w:id="174" w:name="the-package-inside-the-causal-roadmap"/>
    <w:p>
      <w:pPr>
        <w:pStyle w:val="Heading2"/>
      </w:pPr>
      <w:r>
        <w:t xml:space="preserve">15.3 The package inside the causal roadmap</w:t>
      </w:r>
    </w:p>
    <w:p>
      <w:pPr>
        <w:pStyle w:val="FirstParagraph"/>
      </w:pPr>
      <w:hyperlink w:anchor="fig-roadmap">
        <w:r>
          <w:rPr>
            <w:rStyle w:val="Hyperlink"/>
          </w:rPr>
          <w:t xml:space="preserve">Figure 7</w:t>
        </w:r>
      </w:hyperlink>
      <w:r>
        <w:t xml:space="preserve"> </w:t>
      </w:r>
      <w:r>
        <w:t xml:space="preserve">shows where the package sits in the roadmap, and</w:t>
      </w:r>
      <w:r>
        <w:t xml:space="preserve"> </w:t>
      </w:r>
      <w:hyperlink w:anchor="fig-governance">
        <w:r>
          <w:rPr>
            <w:rStyle w:val="Hyperlink"/>
          </w:rPr>
          <w:t xml:space="preserve">Figure 8</w:t>
        </w:r>
      </w:hyperlink>
      <w:r>
        <w:t xml:space="preserve"> </w:t>
      </w:r>
      <w:r>
        <w:t xml:space="preserve">shows the software arrangement as one layer of a broader</w:t>
      </w:r>
      <w:r>
        <w:t xml:space="preserve"> </w:t>
      </w:r>
      <w:r>
        <w:t xml:space="preserve">governance stack in which external validation, independent oversight,</w:t>
      </w:r>
      <w:r>
        <w:t xml:space="preserve"> </w:t>
      </w:r>
      <w:r>
        <w:t xml:space="preserve">and data standards remain necessary inputs to the pre-outcome decision.</w:t>
      </w:r>
    </w:p>
    <w:tbl>
      <w:tblPr>
        <w:tblStyle w:val="Table"/>
        <w:tblW w:type="pct" w:w="5000"/>
        <w:tblLayout w:type="fixed"/>
        <w:tblLook w:firstRow="0" w:lastRow="0" w:firstColumn="0" w:lastColumn="0" w:noHBand="0" w:noVBand="0" w:val="0000"/>
      </w:tblPr>
      <w:tblGrid>
        <w:gridCol w:w="7920"/>
      </w:tblGrid>
      <w:tr>
        <w:tc>
          <w:tcPr/>
          <w:bookmarkStart w:id="169" w:name="fig-roadmap"/>
          <w:p>
            <w:pPr>
              <w:pStyle w:val="Compact"/>
              <w:jc w:val="center"/>
            </w:pPr>
            <w:r>
              <w:drawing>
                <wp:inline>
                  <wp:extent cx="3733800" cy="5974080"/>
                  <wp:effectExtent b="0" l="0" r="0" t="0"/>
                  <wp:docPr descr="" title="" id="167" name="Picture"/>
                  <a:graphic>
                    <a:graphicData uri="http://schemas.openxmlformats.org/drawingml/2006/picture">
                      <pic:pic>
                        <pic:nvPicPr>
                          <pic:cNvPr descr="figures/fig-roadmap.png" id="168" name="Picture"/>
                          <pic:cNvPicPr>
                            <a:picLocks noChangeArrowheads="1" noChangeAspect="1"/>
                          </pic:cNvPicPr>
                        </pic:nvPicPr>
                        <pic:blipFill>
                          <a:blip r:embed="rId166"/>
                          <a:stretch>
                            <a:fillRect/>
                          </a:stretch>
                        </pic:blipFill>
                        <pic:spPr bwMode="auto">
                          <a:xfrm>
                            <a:off x="0" y="0"/>
                            <a:ext cx="3733800" cy="59740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cleanTMLE inside the causal roadmap. Boxes shaded grey indicate work that the package can operationalise; the remaining boxes are external study-level activities.</w:t>
            </w:r>
          </w:p>
          <w:bookmarkEnd w:id="1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3" w:name="fig-governance"/>
          <w:p>
            <w:pPr>
              <w:pStyle w:val="Compact"/>
              <w:jc w:val="center"/>
            </w:pPr>
            <w:r>
              <w:drawing>
                <wp:inline>
                  <wp:extent cx="4800600" cy="4235823"/>
                  <wp:effectExtent b="0" l="0" r="0" t="0"/>
                  <wp:docPr descr="" title="" id="171" name="Picture"/>
                  <a:graphic>
                    <a:graphicData uri="http://schemas.openxmlformats.org/drawingml/2006/picture">
                      <pic:pic>
                        <pic:nvPicPr>
                          <pic:cNvPr descr="figures/fig-governance.png" id="172" name="Picture"/>
                          <pic:cNvPicPr>
                            <a:picLocks noChangeArrowheads="1" noChangeAspect="1"/>
                          </pic:cNvPicPr>
                        </pic:nvPicPr>
                        <pic:blipFill>
                          <a:blip r:embed="rId170"/>
                          <a:stretch>
                            <a:fillRect/>
                          </a:stretch>
                        </pic:blipFill>
                        <pic:spPr bwMode="auto">
                          <a:xfrm>
                            <a:off x="0" y="0"/>
                            <a:ext cx="4800600" cy="4235823"/>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Governance layers. The software-level arrangement is necessary but not sufficient for regulatory or confirmatory RWE; external validation, independent review, and data standards feed the pre-outcome decision.</w:t>
            </w:r>
          </w:p>
          <w:bookmarkEnd w:id="173"/>
        </w:tc>
      </w:tr>
    </w:tbl>
    <w:bookmarkEnd w:id="174"/>
    <w:bookmarkStart w:id="176" w:name="regulatory-alignment"/>
    <w:p>
      <w:pPr>
        <w:pStyle w:val="Heading2"/>
      </w:pPr>
      <w:r>
        <w:t xml:space="preserve">15.4 Regulatory alignment</w:t>
      </w:r>
    </w:p>
    <w:p>
      <w:pPr>
        <w:pStyle w:val="FirstParagraph"/>
      </w:pPr>
      <w:hyperlink w:anchor="tbl-reg-align">
        <w:r>
          <w:rPr>
            <w:rStyle w:val="Hyperlink"/>
          </w:rPr>
          <w:t xml:space="preserve">Table 15</w:t>
        </w:r>
      </w:hyperlink>
      <w:r>
        <w:t xml:space="preserve"> </w:t>
      </w:r>
      <w:r>
        <w:t xml:space="preserve">maps each roadmap component to the corresponding</w:t>
      </w:r>
      <w:r>
        <w:t xml:space="preserve"> </w:t>
      </w:r>
      <w:r>
        <w:t xml:space="preserve">manuscript section, the relevant FDA, EMA, and ICH expectation, what</w:t>
      </w:r>
      <w:r>
        <w:t xml:space="preserve"> </w:t>
      </w:r>
      <w:r>
        <w:t xml:space="preserve">cleanTMLE can operationalise in software, and what still requires</w:t>
      </w:r>
      <w:r>
        <w:t xml:space="preserve"> </w:t>
      </w:r>
      <w:r>
        <w:t xml:space="preserve">external study-level justification. The final column is the one that</w:t>
      </w:r>
      <w:r>
        <w:t xml:space="preserve"> </w:t>
      </w:r>
      <w:r>
        <w:t xml:space="preserve">distinguishes the software-level workflow from the broader regulatory</w:t>
      </w:r>
      <w:r>
        <w:t xml:space="preserve"> </w:t>
      </w:r>
      <w:r>
        <w:t xml:space="preserve">governance arrangement.</w:t>
      </w:r>
    </w:p>
    <w:tbl>
      <w:tblPr>
        <w:tblStyle w:val="Table"/>
        <w:tblW w:type="pct" w:w="5000"/>
        <w:tblLayout w:type="fixed"/>
        <w:tblLook w:firstRow="0" w:lastRow="0" w:firstColumn="0" w:lastColumn="0" w:noHBand="0" w:noVBand="0" w:val="0000"/>
      </w:tblPr>
      <w:tblGrid>
        <w:gridCol w:w="7920"/>
      </w:tblGrid>
      <w:tr>
        <w:tc>
          <w:tcPr/>
          <w:bookmarkStart w:id="175" w:name="tbl-reg-align"/>
          <w:p>
            <w:pPr>
              <w:jc w:val="center"/>
            </w:pPr>
            <w:pPr>
              <w:jc w:val="start"/>
              <w:spacing w:before="200"/>
              <w:pStyle w:val="ImageCaption"/>
            </w:pPr>
            <w:r>
              <w:t xml:space="preserve">Table 15: Mapping of causal-roadmap components to manuscript sections, regulatory anchors, what cleanTMLE operationalises, and what still requires external study-level justification.</w:t>
            </w:r>
          </w:p>
          <w:tbl>
            <w:tblPr>
              <w:tblStyle w:val="Table"/>
              <w:tblW w:type="pct" w:w="5000"/>
              <w:tblLayout w:type="fixed"/>
              <w:tblLook w:firstRow="1" w:lastRow="0" w:firstColumn="0" w:lastColumn="0" w:noHBand="0" w:noVBand="0" w:val="0020"/>
            </w:tblPr>
            <w:tblGrid>
              <w:gridCol w:w="1042"/>
              <w:gridCol w:w="893"/>
              <w:gridCol w:w="1936"/>
              <w:gridCol w:w="2482"/>
              <w:gridCol w:w="1564"/>
            </w:tblGrid>
            <w:tr>
              <w:trPr>
                <w:tblHeader w:val="on"/>
              </w:trPr>
              <w:tc>
                <w:tcPr/>
                <w:p>
                  <w:pPr>
                    <w:pStyle w:val="Compact"/>
                    <w:jc w:val="left"/>
                    <w:jc w:val="center"/>
                  </w:pPr>
                  <w:r>
                    <w:t xml:space="preserve">Roadmap component</w:t>
                  </w:r>
                </w:p>
              </w:tc>
              <w:tc>
                <w:tcPr/>
                <w:p>
                  <w:pPr>
                    <w:pStyle w:val="Compact"/>
                    <w:jc w:val="left"/>
                    <w:jc w:val="center"/>
                  </w:pPr>
                  <w:r>
                    <w:t xml:space="preserve">Manuscript section</w:t>
                  </w:r>
                </w:p>
              </w:tc>
              <w:tc>
                <w:tcPr/>
                <w:p>
                  <w:pPr>
                    <w:pStyle w:val="Compact"/>
                    <w:jc w:val="left"/>
                    <w:jc w:val="center"/>
                  </w:pPr>
                  <w:r>
                    <w:t xml:space="preserve">FDA / EMA / ICH anchor</w:t>
                  </w:r>
                </w:p>
              </w:tc>
              <w:tc>
                <w:tcPr/>
                <w:p>
                  <w:pPr>
                    <w:pStyle w:val="Compact"/>
                    <w:jc w:val="left"/>
                    <w:jc w:val="center"/>
                  </w:pPr>
                  <w:r>
                    <w:t xml:space="preserve">What cleanTMLE operationalises</w:t>
                  </w:r>
                </w:p>
              </w:tc>
              <w:tc>
                <w:tcPr/>
                <w:p>
                  <w:pPr>
                    <w:pStyle w:val="Compact"/>
                    <w:jc w:val="left"/>
                    <w:jc w:val="center"/>
                  </w:pPr>
                  <w:r>
                    <w:t xml:space="preserve">External study-level work still required</w:t>
                  </w:r>
                </w:p>
              </w:tc>
            </w:tr>
            <w:tr>
              <w:tc>
                <w:tcPr/>
                <w:p>
                  <w:pPr>
                    <w:pStyle w:val="Compact"/>
                    <w:jc w:val="left"/>
                    <w:jc w:val="center"/>
                  </w:pPr>
                  <w:r>
                    <w:t xml:space="preserve">Causal question / target trial</w:t>
                  </w:r>
                </w:p>
              </w:tc>
              <w:tc>
                <w:tcPr/>
                <w:p>
                  <w:pPr>
                    <w:pStyle w:val="Compact"/>
                    <w:jc w:val="left"/>
                    <w:jc w:val="center"/>
                  </w:pPr>
                  <w:hyperlink w:anchor="sec-estimand">
                    <w:r>
                      <w:rPr>
                        <w:rStyle w:val="Hyperlink"/>
                      </w:rPr>
                      <w:t xml:space="preserve">Section 4</w:t>
                    </w:r>
                  </w:hyperlink>
                </w:p>
              </w:tc>
              <w:tc>
                <w:tcPr/>
                <w:p>
                  <w:pPr>
                    <w:pStyle w:val="Compact"/>
                    <w:jc w:val="left"/>
                    <w:jc w:val="center"/>
                  </w:pPr>
                  <w:r>
                    <w:t xml:space="preserve">Hernán target-trial framework; FDA RWE Framework; ICH M14 (March 2026)</w:t>
                  </w:r>
                </w:p>
              </w:tc>
              <w:tc>
                <w:tcPr/>
                <w:p>
                  <w:pPr>
                    <w:pStyle w:val="Compact"/>
                    <w:jc w:val="left"/>
                    <w:jc w:val="center"/>
                  </w:pPr>
                  <w:r>
                    <w:t xml:space="preserve">(none)</w:t>
                  </w:r>
                </w:p>
              </w:tc>
              <w:tc>
                <w:tcPr/>
                <w:p>
                  <w:pPr>
                    <w:pStyle w:val="Compact"/>
                    <w:jc w:val="left"/>
                    <w:jc w:val="center"/>
                  </w:pPr>
                  <w:r>
                    <w:t xml:space="preserve">Full target-trial protocol</w:t>
                  </w:r>
                </w:p>
              </w:tc>
            </w:tr>
            <w:tr>
              <w:tc>
                <w:tcPr/>
                <w:p>
                  <w:pPr>
                    <w:pStyle w:val="Compact"/>
                    <w:jc w:val="left"/>
                    <w:jc w:val="center"/>
                  </w:pPr>
                  <w:r>
                    <w:t xml:space="preserve">Observed data and source characterisation</w:t>
                  </w:r>
                </w:p>
              </w:tc>
              <w:tc>
                <w:tcPr/>
                <w:p>
                  <w:pPr>
                    <w:pStyle w:val="Compact"/>
                    <w:jc w:val="left"/>
                    <w:jc w:val="center"/>
                  </w:pPr>
                  <w:hyperlink w:anchor="sec-estimand">
                    <w:r>
                      <w:rPr>
                        <w:rStyle w:val="Hyperlink"/>
                      </w:rPr>
                      <w:t xml:space="preserve">Section 4</w:t>
                    </w:r>
                  </w:hyperlink>
                  <w:r>
                    <w:t xml:space="preserve">,</w:t>
                  </w:r>
                  <w:r>
                    <w:t xml:space="preserve"> </w:t>
                  </w:r>
                  <w:hyperlink w:anchor="sec-casestudy">
                    <w:r>
                      <w:rPr>
                        <w:rStyle w:val="Hyperlink"/>
                      </w:rPr>
                      <w:t xml:space="preserve">Section 12</w:t>
                    </w:r>
                  </w:hyperlink>
                </w:p>
              </w:tc>
              <w:tc>
                <w:tcPr/>
                <w:p>
                  <w:pPr>
                    <w:pStyle w:val="Compact"/>
                    <w:jc w:val="left"/>
                    <w:jc w:val="center"/>
                  </w:pPr>
                  <w:r>
                    <w:t xml:space="preserve">FDA EHR/claims, registries; EMA registry guideline; EMA RWD quality framework</w:t>
                  </w:r>
                </w:p>
              </w:tc>
              <w:tc>
                <w:tcPr/>
                <w:p>
                  <w:pPr>
                    <w:pStyle w:val="Compact"/>
                    <w:jc w:val="left"/>
                    <w:jc w:val="center"/>
                  </w:pPr>
                  <w:r>
                    <w:t xml:space="preserve">Lock fingerprint of column names + data shape</w:t>
                  </w:r>
                </w:p>
              </w:tc>
              <w:tc>
                <w:tcPr/>
                <w:p>
                  <w:pPr>
                    <w:pStyle w:val="Compact"/>
                    <w:jc w:val="left"/>
                    <w:jc w:val="center"/>
                  </w:pPr>
                  <w:r>
                    <w:t xml:space="preserve">Phenotype validation, data lineage, source audit</w:t>
                  </w:r>
                </w:p>
              </w:tc>
            </w:tr>
            <w:tr>
              <w:tc>
                <w:tcPr/>
                <w:p>
                  <w:pPr>
                    <w:pStyle w:val="Compact"/>
                    <w:jc w:val="left"/>
                    <w:jc w:val="center"/>
                  </w:pPr>
                  <w:r>
                    <w:t xml:space="preserve">Identification assumptions</w:t>
                  </w:r>
                </w:p>
              </w:tc>
              <w:tc>
                <w:tcPr/>
                <w:p>
                  <w:pPr>
                    <w:pStyle w:val="Compact"/>
                    <w:jc w:val="left"/>
                    <w:jc w:val="center"/>
                  </w:pPr>
                  <w:hyperlink w:anchor="sec-id">
                    <w:r>
                      <w:rPr>
                        <w:rStyle w:val="Hyperlink"/>
                      </w:rPr>
                      <w:t xml:space="preserve">Section 4.4</w:t>
                    </w:r>
                  </w:hyperlink>
                  <w:r>
                    <w:t xml:space="preserve">,</w:t>
                  </w:r>
                  <w:r>
                    <w:t xml:space="preserve"> </w:t>
                  </w:r>
                  <w:hyperlink w:anchor="sec-support">
                    <w:r>
                      <w:rPr>
                        <w:rStyle w:val="Hyperlink"/>
                      </w:rPr>
                      <w:t xml:space="preserve">Section 6</w:t>
                    </w:r>
                  </w:hyperlink>
                </w:p>
              </w:tc>
              <w:tc>
                <w:tcPr/>
                <w:p>
                  <w:pPr>
                    <w:pStyle w:val="Compact"/>
                    <w:jc w:val="left"/>
                    <w:jc w:val="center"/>
                  </w:pPr>
                  <w:r>
                    <w:t xml:space="preserve">ICH E9(R1)</w:t>
                  </w:r>
                </w:p>
              </w:tc>
              <w:tc>
                <w:tcPr/>
                <w:p>
                  <w:pPr>
                    <w:pStyle w:val="Compact"/>
                    <w:jc w:val="left"/>
                    <w:jc w:val="center"/>
                  </w:pPr>
                  <w:r>
                    <w:t xml:space="preserve">assess_support, estimand_feasibility (practical positivity); other assumptions recorded on the lock</w:t>
                  </w:r>
                </w:p>
              </w:tc>
              <w:tc>
                <w:tcPr/>
                <w:p>
                  <w:pPr>
                    <w:pStyle w:val="Compact"/>
                    <w:jc w:val="left"/>
                    <w:jc w:val="center"/>
                  </w:pPr>
                  <w:r>
                    <w:t xml:space="preserve">Subject-matter justification of exchangeability and positivity</w:t>
                  </w:r>
                </w:p>
              </w:tc>
            </w:tr>
            <w:tr>
              <w:tc>
                <w:tcPr/>
                <w:p>
                  <w:pPr>
                    <w:pStyle w:val="Compact"/>
                    <w:jc w:val="left"/>
                    <w:jc w:val="center"/>
                  </w:pPr>
                  <w:r>
                    <w:t xml:space="preserve">Statistical estimand</w:t>
                  </w:r>
                </w:p>
              </w:tc>
              <w:tc>
                <w:tcPr/>
                <w:p>
                  <w:pPr>
                    <w:pStyle w:val="Compact"/>
                    <w:jc w:val="left"/>
                    <w:jc w:val="center"/>
                  </w:pPr>
                  <w:hyperlink w:anchor="sec-estimand">
                    <w:r>
                      <w:rPr>
                        <w:rStyle w:val="Hyperlink"/>
                      </w:rPr>
                      <w:t xml:space="preserve">Section 4</w:t>
                    </w:r>
                  </w:hyperlink>
                  <w:r>
                    <w:t xml:space="preserve">,</w:t>
                  </w:r>
                  <w:r>
                    <w:t xml:space="preserve"> </w:t>
                  </w:r>
                  <w:hyperlink w:anchor="sec-support">
                    <w:r>
                      <w:rPr>
                        <w:rStyle w:val="Hyperlink"/>
                      </w:rPr>
                      <w:t xml:space="preserve">Section 6</w:t>
                    </w:r>
                  </w:hyperlink>
                </w:p>
              </w:tc>
              <w:tc>
                <w:tcPr/>
                <w:p>
                  <w:pPr>
                    <w:pStyle w:val="Compact"/>
                    <w:jc w:val="left"/>
                    <w:jc w:val="center"/>
                  </w:pPr>
                  <w:r>
                    <w:t xml:space="preserve">ICH E9(R1); FDA Considerations for RWD/RWE</w:t>
                  </w:r>
                </w:p>
              </w:tc>
              <w:tc>
                <w:tcPr/>
                <w:p>
                  <w:pPr>
                    <w:pStyle w:val="Compact"/>
                    <w:jc w:val="left"/>
                    <w:jc w:val="center"/>
                  </w:pPr>
                  <w:r>
                    <w:t xml:space="preserve">declare_estimand_ladder, run_estimand_ladder</w:t>
                  </w:r>
                </w:p>
              </w:tc>
              <w:tc>
                <w:tcPr/>
                <w:p>
                  <w:pPr>
                    <w:pStyle w:val="Compact"/>
                    <w:jc w:val="left"/>
                    <w:jc w:val="center"/>
                  </w:pPr>
                  <w:r>
                    <w:t xml:space="preserve">Source-specific operationalisation of intercurrent events</w:t>
                  </w:r>
                </w:p>
              </w:tc>
            </w:tr>
            <w:tr>
              <w:tc>
                <w:tcPr/>
                <w:p>
                  <w:pPr>
                    <w:pStyle w:val="Compact"/>
                    <w:jc w:val="left"/>
                    <w:jc w:val="center"/>
                  </w:pPr>
                  <w:r>
                    <w:t xml:space="preserve">Estimator selection and locking</w:t>
                  </w:r>
                </w:p>
              </w:tc>
              <w:tc>
                <w:tcPr/>
                <w:p>
                  <w:pPr>
                    <w:pStyle w:val="Compact"/>
                    <w:jc w:val="left"/>
                    <w:jc w:val="center"/>
                  </w:pPr>
                  <w:hyperlink w:anchor="sec-framework">
                    <w:r>
                      <w:rPr>
                        <w:rStyle w:val="Hyperlink"/>
                      </w:rPr>
                      <w:t xml:space="preserve">Section 5</w:t>
                    </w:r>
                  </w:hyperlink>
                  <w:r>
                    <w:t xml:space="preserve">,</w:t>
                  </w:r>
                  <w:r>
                    <w:t xml:space="preserve"> </w:t>
                  </w:r>
                  <w:hyperlink w:anchor="sec-implementation">
                    <w:r>
                      <w:rPr>
                        <w:rStyle w:val="Hyperlink"/>
                      </w:rPr>
                      <w:t xml:space="preserve">Section 9</w:t>
                    </w:r>
                  </w:hyperlink>
                </w:p>
              </w:tc>
              <w:tc>
                <w:tcPr/>
                <w:p>
                  <w:pPr>
                    <w:pStyle w:val="Compact"/>
                    <w:jc w:val="left"/>
                    <w:jc w:val="center"/>
                  </w:pPr>
                  <w:r>
                    <w:t xml:space="preserve">FDA non-interventional studies; ICH M14 (March 2026)</w:t>
                  </w:r>
                </w:p>
              </w:tc>
              <w:tc>
                <w:tcPr/>
                <w:p>
                  <w:pPr>
                    <w:pStyle w:val="Compact"/>
                    <w:jc w:val="left"/>
                    <w:jc w:val="center"/>
                  </w:pPr>
                  <w:r>
                    <w:t xml:space="preserve">tmle_candidate, select_tmle_candidate, save_lock</w:t>
                  </w:r>
                </w:p>
              </w:tc>
              <w:tc>
                <w:tcPr/>
                <w:p>
                  <w:pPr>
                    <w:pStyle w:val="Compact"/>
                    <w:jc w:val="left"/>
                    <w:jc w:val="center"/>
                  </w:pPr>
                  <w:r>
                    <w:t xml:space="preserve">Justification of SuperLearner library and severity grids</w:t>
                  </w:r>
                </w:p>
              </w:tc>
            </w:tr>
            <w:tr>
              <w:tc>
                <w:tcPr/>
                <w:p>
                  <w:pPr>
                    <w:pStyle w:val="Compact"/>
                    <w:jc w:val="left"/>
                    <w:jc w:val="center"/>
                  </w:pPr>
                  <w:r>
                    <w:t xml:space="preserve">Pre-outcome data-quality stress</w:t>
                  </w:r>
                </w:p>
              </w:tc>
              <w:tc>
                <w:tcPr/>
                <w:p>
                  <w:pPr>
                    <w:pStyle w:val="Compact"/>
                    <w:jc w:val="left"/>
                    <w:jc w:val="center"/>
                  </w:pPr>
                  <w:hyperlink w:anchor="sec-dq">
                    <w:r>
                      <w:rPr>
                        <w:rStyle w:val="Hyperlink"/>
                      </w:rPr>
                      <w:t xml:space="preserve">Section 7</w:t>
                    </w:r>
                  </w:hyperlink>
                </w:p>
              </w:tc>
              <w:tc>
                <w:tcPr/>
                <w:p>
                  <w:pPr>
                    <w:pStyle w:val="Compact"/>
                    <w:jc w:val="left"/>
                    <w:jc w:val="center"/>
                  </w:pPr>
                  <w:r>
                    <w:t xml:space="preserve">Source-specific reliability (FDA/EMA); validation evidence</w:t>
                  </w:r>
                </w:p>
              </w:tc>
              <w:tc>
                <w:tcPr/>
                <w:p>
                  <w:pPr>
                    <w:pStyle w:val="Compact"/>
                    <w:jc w:val="left"/>
                    <w:jc w:val="center"/>
                  </w:pPr>
                  <w:r>
                    <w:t xml:space="preserve">run_plasmode_dq_stress, simulate_support</w:t>
                  </w:r>
                </w:p>
              </w:tc>
              <w:tc>
                <w:tcPr/>
                <w:p>
                  <w:pPr>
                    <w:pStyle w:val="Compact"/>
                    <w:jc w:val="left"/>
                    <w:jc w:val="center"/>
                  </w:pPr>
                  <w:r>
                    <w:t xml:space="preserve">External validation evidence anchoring DQ severity ranges</w:t>
                  </w:r>
                </w:p>
              </w:tc>
            </w:tr>
            <w:tr>
              <w:tc>
                <w:tcPr/>
                <w:p>
                  <w:pPr>
                    <w:pStyle w:val="Compact"/>
                    <w:jc w:val="left"/>
                    <w:jc w:val="center"/>
                  </w:pPr>
                  <w:r>
                    <w:t xml:space="preserve">Stage gate</w:t>
                  </w:r>
                </w:p>
              </w:tc>
              <w:tc>
                <w:tcPr/>
                <w:p>
                  <w:pPr>
                    <w:pStyle w:val="Compact"/>
                    <w:jc w:val="left"/>
                    <w:jc w:val="center"/>
                  </w:pPr>
                  <w:hyperlink w:anchor="sec-bridge">
                    <w:r>
                      <w:rPr>
                        <w:rStyle w:val="Hyperlink"/>
                      </w:rPr>
                      <w:t xml:space="preserve">Section 8</w:t>
                    </w:r>
                  </w:hyperlink>
                </w:p>
              </w:tc>
              <w:tc>
                <w:tcPr/>
                <w:p>
                  <w:pPr>
                    <w:pStyle w:val="Compact"/>
                    <w:jc w:val="left"/>
                    <w:jc w:val="center"/>
                  </w:pPr>
                  <w:r>
                    <w:t xml:space="preserve">Internal protocol governance; FDA traceability</w:t>
                  </w:r>
                </w:p>
              </w:tc>
              <w:tc>
                <w:tcPr/>
                <w:p>
                  <w:pPr>
                    <w:pStyle w:val="Compact"/>
                    <w:jc w:val="left"/>
                    <w:jc w:val="center"/>
                  </w:pPr>
                  <w:r>
                    <w:t xml:space="preserve">design_report and the design log</w:t>
                  </w:r>
                </w:p>
              </w:tc>
              <w:tc>
                <w:tcPr/>
                <w:p>
                  <w:pPr>
                    <w:pStyle w:val="Compact"/>
                    <w:jc w:val="left"/>
                    <w:jc w:val="center"/>
                  </w:pPr>
                  <w:r>
                    <w:t xml:space="preserve">Independent review of the pre-outcome decision</w:t>
                  </w:r>
                </w:p>
              </w:tc>
            </w:tr>
            <w:tr>
              <w:tc>
                <w:tcPr/>
                <w:p>
                  <w:pPr>
                    <w:pStyle w:val="Compact"/>
                    <w:jc w:val="left"/>
                    <w:jc w:val="center"/>
                  </w:pPr>
                  <w:r>
                    <w:t xml:space="preserve">Outcome analysis</w:t>
                  </w:r>
                </w:p>
              </w:tc>
              <w:tc>
                <w:tcPr/>
                <w:p>
                  <w:pPr>
                    <w:pStyle w:val="Compact"/>
                    <w:jc w:val="left"/>
                    <w:jc w:val="center"/>
                  </w:pPr>
                  <w:hyperlink w:anchor="sec-implementation">
                    <w:r>
                      <w:rPr>
                        <w:rStyle w:val="Hyperlink"/>
                      </w:rPr>
                      <w:t xml:space="preserve">Section 9</w:t>
                    </w:r>
                  </w:hyperlink>
                </w:p>
              </w:tc>
              <w:tc>
                <w:tcPr/>
                <w:p>
                  <w:pPr>
                    <w:pStyle w:val="Compact"/>
                    <w:jc w:val="left"/>
                    <w:jc w:val="center"/>
                  </w:pPr>
                  <w:r>
                    <w:t xml:space="preserve">FDA Considerations for RWD/RWE</w:t>
                  </w:r>
                </w:p>
              </w:tc>
              <w:tc>
                <w:tcPr/>
                <w:p>
                  <w:pPr>
                    <w:pStyle w:val="Compact"/>
                    <w:jc w:val="left"/>
                    <w:jc w:val="center"/>
                  </w:pPr>
                  <w:r>
                    <w:t xml:space="preserve">estimate_effect, run_estimand_ladder</w:t>
                  </w:r>
                </w:p>
              </w:tc>
              <w:tc>
                <w:tcPr/>
                <w:p>
                  <w:pPr>
                    <w:pStyle w:val="Compact"/>
                    <w:jc w:val="left"/>
                    <w:jc w:val="center"/>
                  </w:pPr>
                  <w:r>
                    <w:t xml:space="preserve">Role separation, oversight, deviation memos</w:t>
                  </w:r>
                </w:p>
              </w:tc>
            </w:tr>
            <w:tr>
              <w:tc>
                <w:tcPr/>
                <w:p>
                  <w:pPr>
                    <w:pStyle w:val="Compact"/>
                    <w:jc w:val="left"/>
                    <w:jc w:val="center"/>
                  </w:pPr>
                  <w:r>
                    <w:t xml:space="preserve">At-outcome diagnostics</w:t>
                  </w:r>
                </w:p>
              </w:tc>
              <w:tc>
                <w:tcPr/>
                <w:p>
                  <w:pPr>
                    <w:pStyle w:val="Compact"/>
                    <w:jc w:val="left"/>
                    <w:jc w:val="center"/>
                  </w:pPr>
                  <w:hyperlink w:anchor="sec-discussion">
                    <w:r>
                      <w:rPr>
                        <w:rStyle w:val="Hyperlink"/>
                      </w:rPr>
                      <w:t xml:space="preserve">Section 13</w:t>
                    </w:r>
                  </w:hyperlink>
                </w:p>
              </w:tc>
              <w:tc>
                <w:tcPr/>
                <w:p>
                  <w:pPr>
                    <w:pStyle w:val="Compact"/>
                    <w:jc w:val="left"/>
                    <w:jc w:val="center"/>
                  </w:pPr>
                  <w:r>
                    <w:t xml:space="preserve">EMA RWE Guide; FDA non-interventional studies</w:t>
                  </w:r>
                </w:p>
              </w:tc>
              <w:tc>
                <w:tcPr/>
                <w:p>
                  <w:pPr>
                    <w:pStyle w:val="Compact"/>
                    <w:jc w:val="left"/>
                    <w:jc w:val="center"/>
                  </w:pPr>
                  <w:r>
                    <w:t xml:space="preserve">run_negative_control_ladder, check_process_indicators</w:t>
                  </w:r>
                </w:p>
              </w:tc>
              <w:tc>
                <w:tcPr/>
                <w:p>
                  <w:pPr>
                    <w:pStyle w:val="Compact"/>
                    <w:jc w:val="left"/>
                    <w:jc w:val="center"/>
                  </w:pPr>
                  <w:r>
                    <w:t xml:space="preserve">Choice of negative-control outcomes and domains</w:t>
                  </w:r>
                </w:p>
              </w:tc>
            </w:tr>
            <w:tr>
              <w:tc>
                <w:tcPr/>
                <w:p>
                  <w:pPr>
                    <w:pStyle w:val="Compact"/>
                    <w:jc w:val="left"/>
                    <w:jc w:val="center"/>
                  </w:pPr>
                  <w:r>
                    <w:t xml:space="preserve">Post-outcome sensitivity analyses</w:t>
                  </w:r>
                </w:p>
              </w:tc>
              <w:tc>
                <w:tcPr/>
                <w:p>
                  <w:pPr>
                    <w:pStyle w:val="Compact"/>
                    <w:jc w:val="left"/>
                    <w:jc w:val="center"/>
                  </w:pPr>
                  <w:hyperlink w:anchor="sec-discussion">
                    <w:r>
                      <w:rPr>
                        <w:rStyle w:val="Hyperlink"/>
                      </w:rPr>
                      <w:t xml:space="preserve">Section 13</w:t>
                    </w:r>
                  </w:hyperlink>
                </w:p>
              </w:tc>
              <w:tc>
                <w:tcPr/>
                <w:p>
                  <w:pPr>
                    <w:pStyle w:val="Compact"/>
                    <w:jc w:val="left"/>
                    <w:jc w:val="center"/>
                  </w:pPr>
                  <w:r>
                    <w:t xml:space="preserve">FDA non-interventional studies; ICH E9(R1) sensitivity</w:t>
                  </w:r>
                </w:p>
              </w:tc>
              <w:tc>
                <w:tcPr/>
                <w:p>
                  <w:pPr>
                    <w:pStyle w:val="Compact"/>
                    <w:jc w:val="left"/>
                    <w:jc w:val="center"/>
                  </w:pPr>
                  <w:r>
                    <w:t xml:space="preserve">compute_evalue, run_delta_sensitivity</w:t>
                  </w:r>
                </w:p>
              </w:tc>
              <w:tc>
                <w:tcPr/>
                <w:p>
                  <w:pPr>
                    <w:pStyle w:val="Compact"/>
                    <w:jc w:val="left"/>
                    <w:jc w:val="center"/>
                  </w:pPr>
                  <w:r>
                    <w:t xml:space="preserve">Quantitative bias analysis tailored to study threats</w:t>
                  </w:r>
                </w:p>
              </w:tc>
            </w:tr>
          </w:tbl>
          <w:bookmarkEnd w:id="175"/>
          <w:p/>
        </w:tc>
      </w:tr>
    </w:tbl>
    <w:bookmarkEnd w:id="176"/>
    <w:bookmarkStart w:id="178" w:name="event-process-and-diagnostic-helpers"/>
    <w:p>
      <w:pPr>
        <w:pStyle w:val="Heading2"/>
      </w:pPr>
      <w:r>
        <w:t xml:space="preserve">15.5 Event-process and diagnostic helpers</w:t>
      </w:r>
    </w:p>
    <w:p>
      <w:pPr>
        <w:pStyle w:val="FirstParagraph"/>
      </w:pPr>
      <w:hyperlink w:anchor="tbl-event-diag">
        <w:r>
          <w:rPr>
            <w:rStyle w:val="Hyperlink"/>
          </w:rPr>
          <w:t xml:space="preserve">Table 16</w:t>
        </w:r>
      </w:hyperlink>
      <w:r>
        <w:t xml:space="preserve"> </w:t>
      </w:r>
      <w:r>
        <w:t xml:space="preserve">lists the additional event-process and diagnostic</w:t>
      </w:r>
      <w:r>
        <w:t xml:space="preserve"> </w:t>
      </w:r>
      <w:r>
        <w:t xml:space="preserve">structures the workflow makes explicit.</w:t>
      </w:r>
    </w:p>
    <w:tbl>
      <w:tblPr>
        <w:tblStyle w:val="Table"/>
        <w:tblW w:type="pct" w:w="5000"/>
        <w:tblLayout w:type="fixed"/>
        <w:tblLook w:firstRow="0" w:lastRow="0" w:firstColumn="0" w:lastColumn="0" w:noHBand="0" w:noVBand="0" w:val="0000"/>
      </w:tblPr>
      <w:tblGrid>
        <w:gridCol w:w="7920"/>
      </w:tblGrid>
      <w:tr>
        <w:tc>
          <w:tcPr/>
          <w:bookmarkStart w:id="177" w:name="tbl-event-diag"/>
          <w:p>
            <w:pPr>
              <w:jc w:val="center"/>
            </w:pPr>
            <w:pPr>
              <w:jc w:val="start"/>
              <w:spacing w:before="200"/>
              <w:pStyle w:val="ImageCaption"/>
            </w:pPr>
            <w:r>
              <w:t xml:space="preserve">Table 16: Supplementary mapping. Event-process and diagnostic structures that the workflow makes explicit.</w:t>
            </w:r>
          </w:p>
          <w:tbl>
            <w:tblPr>
              <w:tblStyle w:val="Table"/>
              <w:tblW w:type="pct" w:w="5000"/>
              <w:tblLayout w:type="fixed"/>
              <w:tblLook w:firstRow="1" w:lastRow="0" w:firstColumn="0" w:lastColumn="0" w:noHBand="0" w:noVBand="0" w:val="0020"/>
            </w:tblPr>
            <w:tblGrid>
              <w:gridCol w:w="1988"/>
              <w:gridCol w:w="5931"/>
            </w:tblGrid>
            <w:tr>
              <w:trPr>
                <w:tblHeader w:val="on"/>
              </w:trPr>
              <w:tc>
                <w:tcPr/>
                <w:p>
                  <w:pPr>
                    <w:pStyle w:val="Compact"/>
                    <w:jc w:val="left"/>
                    <w:jc w:val="center"/>
                  </w:pPr>
                  <w:r>
                    <w:t xml:space="preserve">Component</w:t>
                  </w:r>
                </w:p>
              </w:tc>
              <w:tc>
                <w:tcPr/>
                <w:p>
                  <w:pPr>
                    <w:pStyle w:val="Compact"/>
                    <w:jc w:val="left"/>
                    <w:jc w:val="center"/>
                  </w:pPr>
                  <w:r>
                    <w:t xml:space="preserve">Purpose</w:t>
                  </w:r>
                </w:p>
              </w:tc>
            </w:tr>
            <w:tr>
              <w:tc>
                <w:tcPr/>
                <w:p>
                  <w:pPr>
                    <w:pStyle w:val="Compact"/>
                    <w:jc w:val="left"/>
                    <w:jc w:val="center"/>
                  </w:pPr>
                  <w:r>
                    <w:t xml:space="preserve">Event-process classification</w:t>
                  </w:r>
                </w:p>
              </w:tc>
              <w:tc>
                <w:tcPr/>
                <w:p>
                  <w:pPr>
                    <w:pStyle w:val="Compact"/>
                    <w:jc w:val="left"/>
                    <w:jc w:val="center"/>
                  </w:pPr>
                  <w:r>
                    <w:t xml:space="preserve">Map each post-baseline event to its role in the estimand and ICH E9(R1) intercurrent-event strategy.</w:t>
                  </w:r>
                </w:p>
              </w:tc>
            </w:tr>
            <w:tr>
              <w:tc>
                <w:tcPr/>
                <w:p>
                  <w:pPr>
                    <w:pStyle w:val="Compact"/>
                    <w:jc w:val="left"/>
                    <w:jc w:val="center"/>
                  </w:pPr>
                  <w:r>
                    <w:t xml:space="preserve">Target population and reference group</w:t>
                  </w:r>
                </w:p>
              </w:tc>
              <w:tc>
                <w:tcPr/>
                <w:p>
                  <w:pPr>
                    <w:pStyle w:val="Compact"/>
                    <w:jc w:val="left"/>
                    <w:jc w:val="center"/>
                  </w:pPr>
                  <w:r>
                    <w:t xml:space="preserve">Force explicit declaration of the population and reference group for every contrast.</w:t>
                  </w:r>
                </w:p>
              </w:tc>
            </w:tr>
            <w:tr>
              <w:tc>
                <w:tcPr/>
                <w:p>
                  <w:pPr>
                    <w:pStyle w:val="Compact"/>
                    <w:jc w:val="left"/>
                    <w:jc w:val="center"/>
                  </w:pPr>
                  <w:r>
                    <w:t xml:space="preserve">Treatment, censoring, and missingness weight diagnostics</w:t>
                  </w:r>
                </w:p>
              </w:tc>
              <w:tc>
                <w:tcPr/>
                <w:p>
                  <w:pPr>
                    <w:pStyle w:val="Compact"/>
                    <w:jc w:val="left"/>
                    <w:jc w:val="center"/>
                  </w:pPr>
                  <w:r>
                    <w:t xml:space="preserve">Report percentiles, ESS, extreme-weight counts, and weighted SMDs for each weight vector used.</w:t>
                  </w:r>
                </w:p>
              </w:tc>
            </w:tr>
            <w:tr>
              <w:tc>
                <w:tcPr/>
                <w:p>
                  <w:pPr>
                    <w:pStyle w:val="Compact"/>
                    <w:jc w:val="left"/>
                    <w:jc w:val="center"/>
                  </w:pPr>
                  <w:r>
                    <w:t xml:space="preserve">Competing-risk and composite-risk coherence check</w:t>
                  </w:r>
                </w:p>
              </w:tc>
              <w:tc>
                <w:tcPr/>
                <w:p>
                  <w:pPr>
                    <w:pStyle w:val="Compact"/>
                    <w:jc w:val="left"/>
                    <w:jc w:val="center"/>
                  </w:pPr>
                  <w:r>
                    <w:t xml:space="preserve">Verify that event-of-interest plus competing-event cumulative incidences are coherent with the composite risk.</w:t>
                  </w:r>
                </w:p>
              </w:tc>
            </w:tr>
            <w:tr>
              <w:tc>
                <w:tcPr/>
                <w:p>
                  <w:pPr>
                    <w:pStyle w:val="Compact"/>
                    <w:jc w:val="left"/>
                    <w:jc w:val="center"/>
                  </w:pPr>
                  <w:r>
                    <w:t xml:space="preserve">Cumulative-risk reporting table</w:t>
                  </w:r>
                </w:p>
              </w:tc>
              <w:tc>
                <w:tcPr/>
                <w:p>
                  <w:pPr>
                    <w:pStyle w:val="Compact"/>
                    <w:jc w:val="left"/>
                    <w:jc w:val="center"/>
                  </w:pPr>
                  <w:r>
                    <w:t xml:space="preserve">Single structured table of cumulative risks, contrasts, event counts, and estimator name.</w:t>
                  </w:r>
                </w:p>
              </w:tc>
            </w:tr>
            <w:tr>
              <w:tc>
                <w:tcPr/>
                <w:p>
                  <w:pPr>
                    <w:pStyle w:val="Compact"/>
                    <w:jc w:val="left"/>
                    <w:jc w:val="center"/>
                  </w:pPr>
                  <w:r>
                    <w:t xml:space="preserve">Hazard-ratio de-emphasis</w:t>
                  </w:r>
                </w:p>
              </w:tc>
              <w:tc>
                <w:tcPr/>
                <w:p>
                  <w:pPr>
                    <w:pStyle w:val="Compact"/>
                    <w:jc w:val="left"/>
                    <w:jc w:val="center"/>
                  </w:pPr>
                  <w:r>
                    <w:t xml:space="preserve">Cumulative risks, risk differences, and risk ratios are the primary summaries; hazard ratios are reported only as secondary when the estimand is explicitly hazard-based.</w:t>
                  </w:r>
                </w:p>
              </w:tc>
            </w:tr>
          </w:tbl>
          <w:bookmarkEnd w:id="177"/>
          <w:p/>
        </w:tc>
      </w:tr>
    </w:tbl>
    <w:bookmarkEnd w:id="178"/>
    <w:bookmarkEnd w:id="179"/>
    <w:bookmarkStart w:id="180" w:name="acknowledgements"/>
    <w:p>
      <w:pPr>
        <w:pStyle w:val="Heading1"/>
      </w:pPr>
      <w:r>
        <w:t xml:space="preserve">Acknowledgements</w:t>
      </w:r>
    </w:p>
    <w:p>
      <w:pPr>
        <w:pStyle w:val="FirstParagraph"/>
      </w:pPr>
      <w:r>
        <w:t xml:space="preserve">We thank the targeted-learning RWE roadmap authors (Dang, Gruber,</w:t>
      </w:r>
      <w:r>
        <w:t xml:space="preserve"> </w:t>
      </w:r>
      <w:r>
        <w:t xml:space="preserve">Phillips, Lee, Ho, van der Laan, Petersen, and colleagues), whose</w:t>
      </w:r>
      <w:r>
        <w:t xml:space="preserve"> </w:t>
      </w:r>
      <w:r>
        <w:t xml:space="preserve">published frameworks this software builds on, and the broader</w:t>
      </w:r>
      <w:r>
        <w:t xml:space="preserve"> </w:t>
      </w:r>
      <w:r>
        <w:t xml:space="preserve">cumulative-risk pharmacoepidemiology literature whose estimand</w:t>
      </w:r>
      <w:r>
        <w:t xml:space="preserve"> </w:t>
      </w:r>
      <w:r>
        <w:t xml:space="preserve">framing motivated several of our diagnostic helpers. Any errors</w:t>
      </w:r>
      <w:r>
        <w:t xml:space="preserve"> </w:t>
      </w:r>
      <w:r>
        <w:t xml:space="preserve">are ours.</w:t>
      </w:r>
    </w:p>
    <w:bookmarkEnd w:id="180"/>
    <w:bookmarkStart w:id="283" w:name="references"/>
    <w:p>
      <w:pPr>
        <w:pStyle w:val="Heading1"/>
      </w:pPr>
      <w:r>
        <w:t xml:space="preserve">References</w:t>
      </w:r>
    </w:p>
    <w:bookmarkStart w:id="282" w:name="refs"/>
    <w:bookmarkStart w:id="182" w:name="ref-abadie2008bootstrap"/>
    <w:p>
      <w:pPr>
        <w:pStyle w:val="Bibliography"/>
      </w:pPr>
      <w:r>
        <w:t xml:space="preserve">Abadie, Alberto, and Guido W. Imbens. 2008.</w:t>
      </w:r>
      <w:r>
        <w:t xml:space="preserve"> </w:t>
      </w:r>
      <w:r>
        <w:t xml:space="preserve">“On the Failure of the Bootstrap for Matching Estimators.”</w:t>
      </w:r>
      <w:r>
        <w:t xml:space="preserve"> </w:t>
      </w:r>
      <w:r>
        <w:rPr>
          <w:i/>
          <w:iCs/>
        </w:rPr>
        <w:t xml:space="preserve">Econometrica</w:t>
      </w:r>
      <w:r>
        <w:t xml:space="preserve"> </w:t>
      </w:r>
      <w:r>
        <w:t xml:space="preserve">76 (6): 1537–57.</w:t>
      </w:r>
      <w:r>
        <w:t xml:space="preserve"> </w:t>
      </w:r>
      <w:hyperlink r:id="rId181">
        <w:r>
          <w:rPr>
            <w:rStyle w:val="Hyperlink"/>
          </w:rPr>
          <w:t xml:space="preserve">https://doi.org/10.3982/ECTA5444</w:t>
        </w:r>
      </w:hyperlink>
      <w:r>
        <w:t xml:space="preserve">.</w:t>
      </w:r>
    </w:p>
    <w:bookmarkEnd w:id="182"/>
    <w:bookmarkStart w:id="184" w:name="ref-austin2009ps"/>
    <w:p>
      <w:pPr>
        <w:pStyle w:val="Bibliography"/>
      </w:pPr>
      <w:r>
        <w:t xml:space="preserve">Austin, Peter C. 2009.</w:t>
      </w:r>
      <w:r>
        <w:t xml:space="preserve"> </w:t>
      </w:r>
      <w:r>
        <w:t xml:space="preserve">“Balance Diagnostics for Comparing the Distribution of Baseline Covariates Between Treatment Groups in Propensity-Score Matched Samples.”</w:t>
      </w:r>
      <w:r>
        <w:t xml:space="preserve"> </w:t>
      </w:r>
      <w:r>
        <w:rPr>
          <w:i/>
          <w:iCs/>
        </w:rPr>
        <w:t xml:space="preserve">Statistics in Medicine</w:t>
      </w:r>
      <w:r>
        <w:t xml:space="preserve"> </w:t>
      </w:r>
      <w:r>
        <w:t xml:space="preserve">28 (25): 3083–3107.</w:t>
      </w:r>
      <w:r>
        <w:t xml:space="preserve"> </w:t>
      </w:r>
      <w:hyperlink r:id="rId183">
        <w:r>
          <w:rPr>
            <w:rStyle w:val="Hyperlink"/>
          </w:rPr>
          <w:t xml:space="preserve">https://doi.org/10.1002/sim.3697</w:t>
        </w:r>
      </w:hyperlink>
      <w:r>
        <w:t xml:space="preserve">.</w:t>
      </w:r>
    </w:p>
    <w:bookmarkEnd w:id="184"/>
    <w:bookmarkStart w:id="185" w:name="ref-survtmlepackage2018"/>
    <w:p>
      <w:pPr>
        <w:pStyle w:val="Bibliography"/>
      </w:pPr>
      <w:r>
        <w:t xml:space="preserve">Benkeser, David, and Nima S. Hejazi. 2018.</w:t>
      </w:r>
      <w:r>
        <w:t xml:space="preserve"> </w:t>
      </w:r>
      <w:r>
        <w:t xml:space="preserve">“Survtmle: Compute Targeted Minimum Loss-Based Estimates in Right-Censored Survival Settings.”</w:t>
      </w:r>
    </w:p>
    <w:bookmarkEnd w:id="185"/>
    <w:bookmarkStart w:id="187" w:name="ref-cashin2024target"/>
    <w:p>
      <w:pPr>
        <w:pStyle w:val="Bibliography"/>
      </w:pPr>
      <w:r>
        <w:t xml:space="preserve">Cashin, A. G., H. J. Hansford, T. R. Stanton, et al. 2024.</w:t>
      </w:r>
      <w:r>
        <w:t xml:space="preserve"> </w:t>
      </w:r>
      <w:r>
        <w:t xml:space="preserve">“</w:t>
      </w:r>
      <w:r>
        <w:t xml:space="preserve">TARGET</w:t>
      </w:r>
      <w:r>
        <w:t xml:space="preserve">: Target Trial Reporting Tool for Observational Studies.”</w:t>
      </w:r>
      <w:r>
        <w:t xml:space="preserve"> </w:t>
      </w:r>
      <w:r>
        <w:rPr>
          <w:i/>
          <w:iCs/>
        </w:rPr>
        <w:t xml:space="preserve">BMJ</w:t>
      </w:r>
      <w:r>
        <w:t xml:space="preserve">.</w:t>
      </w:r>
      <w:r>
        <w:t xml:space="preserve"> </w:t>
      </w:r>
      <w:hyperlink r:id="rId186">
        <w:r>
          <w:rPr>
            <w:rStyle w:val="Hyperlink"/>
          </w:rPr>
          <w:t xml:space="preserve">https://doi.org/10.1136/bmj-2024-080483</w:t>
        </w:r>
      </w:hyperlink>
      <w:r>
        <w:t xml:space="preserve">.</w:t>
      </w:r>
    </w:p>
    <w:bookmarkEnd w:id="187"/>
    <w:bookmarkStart w:id="189" w:name="ref-chernozhukov2018dml"/>
    <w:p>
      <w:pPr>
        <w:pStyle w:val="Bibliography"/>
      </w:pPr>
      <w:r>
        <w:t xml:space="preserve">Chernozhukov, Victor, Denis Chetverikov, Mert Demirer, Esther Duflo, Christian Hansen, Whitney Newey, and James Robins. 2018.</w:t>
      </w:r>
      <w:r>
        <w:t xml:space="preserve"> </w:t>
      </w:r>
      <w:r>
        <w:t xml:space="preserve">“Double/Debiased Machine Learning for Treatment and Structural Parameters.”</w:t>
      </w:r>
      <w:r>
        <w:t xml:space="preserve"> </w:t>
      </w:r>
      <w:r>
        <w:rPr>
          <w:i/>
          <w:iCs/>
        </w:rPr>
        <w:t xml:space="preserve">The Econometrics Journal</w:t>
      </w:r>
      <w:r>
        <w:t xml:space="preserve"> </w:t>
      </w:r>
      <w:r>
        <w:t xml:space="preserve">21 (1): C1–68.</w:t>
      </w:r>
      <w:r>
        <w:t xml:space="preserve"> </w:t>
      </w:r>
      <w:hyperlink r:id="rId188">
        <w:r>
          <w:rPr>
            <w:rStyle w:val="Hyperlink"/>
          </w:rPr>
          <w:t xml:space="preserve">https://doi.org/10.1111/ectj.12097</w:t>
        </w:r>
      </w:hyperlink>
      <w:r>
        <w:t xml:space="preserve">.</w:t>
      </w:r>
    </w:p>
    <w:bookmarkEnd w:id="189"/>
    <w:bookmarkStart w:id="190" w:name="ref-conover2025diagnostics"/>
    <w:p>
      <w:pPr>
        <w:pStyle w:val="Bibliography"/>
      </w:pPr>
      <w:r>
        <w:t xml:space="preserve">Conover, Mitchell M., Martijn J. Schuemie, Marc A. Suchard, George Hripcsak, Patrick B. Ryan, et al. 2025.</w:t>
      </w:r>
      <w:r>
        <w:t xml:space="preserve"> </w:t>
      </w:r>
      <w:r>
        <w:t xml:space="preserve">“Objective Study Validity Diagnostics: A Framework Requiring Pre-Specified, Empirical Verification of Study Validity Before Unblinding Effect Estimates.”</w:t>
      </w:r>
      <w:r>
        <w:t xml:space="preserve"> </w:t>
      </w:r>
      <w:r>
        <w:rPr>
          <w:i/>
          <w:iCs/>
        </w:rPr>
        <w:t xml:space="preserve">Journal of the American Medical Informatics Association</w:t>
      </w:r>
      <w:r>
        <w:t xml:space="preserve"> </w:t>
      </w:r>
      <w:r>
        <w:t xml:space="preserve">32 (3): 518–28.</w:t>
      </w:r>
    </w:p>
    <w:bookmarkEnd w:id="190"/>
    <w:bookmarkStart w:id="191" w:name="ref-crump2009trimming"/>
    <w:p>
      <w:pPr>
        <w:pStyle w:val="Bibliography"/>
      </w:pPr>
      <w:r>
        <w:t xml:space="preserve">Crump, Richard K., V. Joseph Hotz, Guido W. Imbens, and Oscar A. Mitnik. 2009.</w:t>
      </w:r>
      <w:r>
        <w:t xml:space="preserve"> </w:t>
      </w:r>
      <w:r>
        <w:t xml:space="preserve">“Dealing with Limited Overlap in Estimation of Average Treatment Effects.”</w:t>
      </w:r>
      <w:r>
        <w:t xml:space="preserve"> </w:t>
      </w:r>
      <w:r>
        <w:rPr>
          <w:i/>
          <w:iCs/>
        </w:rPr>
        <w:t xml:space="preserve">Biometrika</w:t>
      </w:r>
      <w:r>
        <w:t xml:space="preserve"> </w:t>
      </w:r>
      <w:r>
        <w:t xml:space="preserve">96 (1): 187–99.</w:t>
      </w:r>
    </w:p>
    <w:bookmarkEnd w:id="191"/>
    <w:bookmarkStart w:id="193" w:name="ref-dang2023roadmap"/>
    <w:p>
      <w:pPr>
        <w:pStyle w:val="Bibliography"/>
      </w:pPr>
      <w:r>
        <w:t xml:space="preserve">Dang, Lauren E., Susan Gruber, Hana Lee, Issa J. Dahabreh, Elizabeth A. Stuart, Brian D. Williamson, Richard Wyss, et al. 2023.</w:t>
      </w:r>
      <w:r>
        <w:t xml:space="preserve"> </w:t>
      </w:r>
      <w:r>
        <w:t xml:space="preserve">“A Causal Roadmap for Generating High-Quality Real-World Evidence.”</w:t>
      </w:r>
      <w:r>
        <w:t xml:space="preserve"> </w:t>
      </w:r>
      <w:r>
        <w:rPr>
          <w:i/>
          <w:iCs/>
        </w:rPr>
        <w:t xml:space="preserve">Journal of Clinical and Translational Science</w:t>
      </w:r>
      <w:r>
        <w:t xml:space="preserve"> </w:t>
      </w:r>
      <w:r>
        <w:t xml:space="preserve">7 (1): e212.</w:t>
      </w:r>
      <w:r>
        <w:t xml:space="preserve"> </w:t>
      </w:r>
      <w:hyperlink r:id="rId192">
        <w:r>
          <w:rPr>
            <w:rStyle w:val="Hyperlink"/>
          </w:rPr>
          <w:t xml:space="preserve">https://doi.org/10.1017/cts.2023.635</w:t>
        </w:r>
      </w:hyperlink>
      <w:r>
        <w:t xml:space="preserve">.</w:t>
      </w:r>
    </w:p>
    <w:bookmarkEnd w:id="193"/>
    <w:bookmarkStart w:id="195" w:name="ref-diaz2013sensitivity"/>
    <w:p>
      <w:pPr>
        <w:pStyle w:val="Bibliography"/>
      </w:pPr>
      <w:r>
        <w:t xml:space="preserve">Dı́az, Iván, and Mark J. van der Laan. 2013.</w:t>
      </w:r>
      <w:r>
        <w:t xml:space="preserve"> </w:t>
      </w:r>
      <w:r>
        <w:t xml:space="preserve">“Sensitivity Analysis for Causal Inference Under Unmeasured Confounding and Measurement Error Problems.”</w:t>
      </w:r>
      <w:r>
        <w:t xml:space="preserve"> </w:t>
      </w:r>
      <w:r>
        <w:rPr>
          <w:i/>
          <w:iCs/>
        </w:rPr>
        <w:t xml:space="preserve">The International Journal of Biostatistics</w:t>
      </w:r>
      <w:r>
        <w:t xml:space="preserve"> </w:t>
      </w:r>
      <w:r>
        <w:t xml:space="preserve">9 (2): 149–60.</w:t>
      </w:r>
      <w:r>
        <w:t xml:space="preserve"> </w:t>
      </w:r>
      <w:hyperlink r:id="rId194">
        <w:r>
          <w:rPr>
            <w:rStyle w:val="Hyperlink"/>
          </w:rPr>
          <w:t xml:space="preserve">https://doi.org/10.1515/ijb-2013-0004</w:t>
        </w:r>
      </w:hyperlink>
      <w:r>
        <w:t xml:space="preserve">.</w:t>
      </w:r>
    </w:p>
    <w:bookmarkEnd w:id="195"/>
    <w:bookmarkStart w:id="197" w:name="ref-ema2021registry"/>
    <w:p>
      <w:pPr>
        <w:pStyle w:val="Bibliography"/>
      </w:pPr>
      <w:r>
        <w:t xml:space="preserve">European Medicines Agency. 2021.</w:t>
      </w:r>
      <w:r>
        <w:t xml:space="preserve"> </w:t>
      </w:r>
      <w:r>
        <w:t xml:space="preserve">“Guideline on Registry-Based Studies.”</w:t>
      </w:r>
      <w:r>
        <w:t xml:space="preserve"> </w:t>
      </w:r>
      <w:hyperlink r:id="rId196">
        <w:r>
          <w:rPr>
            <w:rStyle w:val="Hyperlink"/>
          </w:rPr>
          <w:t xml:space="preserve">https://www.ema.europa.eu/en/guideline-registry-based-studies-scientific-guideline</w:t>
        </w:r>
      </w:hyperlink>
      <w:r>
        <w:t xml:space="preserve">.</w:t>
      </w:r>
    </w:p>
    <w:bookmarkEnd w:id="197"/>
    <w:bookmarkStart w:id="199" w:name="ref-ema2024guide"/>
    <w:p>
      <w:pPr>
        <w:pStyle w:val="Bibliography"/>
      </w:pPr>
      <w:r>
        <w:t xml:space="preserve">———. 2024.</w:t>
      </w:r>
      <w:r>
        <w:t xml:space="preserve"> </w:t>
      </w:r>
      <w:r>
        <w:t xml:space="preserve">“Guide on Real-World Evidence Provided by</w:t>
      </w:r>
      <w:r>
        <w:t xml:space="preserve"> </w:t>
      </w:r>
      <w:r>
        <w:t xml:space="preserve">EMA</w:t>
      </w:r>
      <w:r>
        <w:t xml:space="preserve"> </w:t>
      </w:r>
      <w:r>
        <w:t xml:space="preserve">to Support Regulatory Decision-Making.”</w:t>
      </w:r>
      <w:r>
        <w:t xml:space="preserve"> </w:t>
      </w:r>
      <w:hyperlink r:id="rId198">
        <w:r>
          <w:rPr>
            <w:rStyle w:val="Hyperlink"/>
          </w:rPr>
          <w:t xml:space="preserve">https://www.ema.europa.eu/en/about-us/how-we-work/big-data/real-world-evidence</w:t>
        </w:r>
      </w:hyperlink>
      <w:r>
        <w:t xml:space="preserve">.</w:t>
      </w:r>
    </w:p>
    <w:bookmarkEnd w:id="199"/>
    <w:bookmarkStart w:id="200" w:name="ref-ema2026rwd"/>
    <w:p>
      <w:pPr>
        <w:pStyle w:val="Bibliography"/>
      </w:pPr>
      <w:r>
        <w:t xml:space="preserve">———. 2026.</w:t>
      </w:r>
      <w:r>
        <w:t xml:space="preserve"> </w:t>
      </w:r>
      <w:r>
        <w:t xml:space="preserve">“Real-World Data Data-Quality Framework for</w:t>
      </w:r>
      <w:r>
        <w:t xml:space="preserve"> </w:t>
      </w:r>
      <w:r>
        <w:t xml:space="preserve">EU</w:t>
      </w:r>
      <w:r>
        <w:t xml:space="preserve"> </w:t>
      </w:r>
      <w:r>
        <w:t xml:space="preserve">Medicines Regulation.”</w:t>
      </w:r>
    </w:p>
    <w:bookmarkEnd w:id="200"/>
    <w:bookmarkStart w:id="202" w:name="ref-franklin2014plasmode"/>
    <w:p>
      <w:pPr>
        <w:pStyle w:val="Bibliography"/>
      </w:pPr>
      <w:r>
        <w:t xml:space="preserve">Franklin, Jessica M., Sebastian Schneeweiss, Jennifer M. Polinski, and Jeremy A. Rassen. 2014.</w:t>
      </w:r>
      <w:r>
        <w:t xml:space="preserve"> </w:t>
      </w:r>
      <w:r>
        <w:t xml:space="preserve">“Plasmode Simulation for the Evaluation of Pharmacoepidemiologic Methods in Complex Healthcare Databases.”</w:t>
      </w:r>
      <w:r>
        <w:t xml:space="preserve"> </w:t>
      </w:r>
      <w:r>
        <w:rPr>
          <w:i/>
          <w:iCs/>
        </w:rPr>
        <w:t xml:space="preserve">Computational Statistics &amp; Data Analysis</w:t>
      </w:r>
      <w:r>
        <w:t xml:space="preserve"> </w:t>
      </w:r>
      <w:r>
        <w:t xml:space="preserve">72: 219–26.</w:t>
      </w:r>
      <w:r>
        <w:t xml:space="preserve"> </w:t>
      </w:r>
      <w:hyperlink r:id="rId201">
        <w:r>
          <w:rPr>
            <w:rStyle w:val="Hyperlink"/>
          </w:rPr>
          <w:t xml:space="preserve">https://doi.org/10.1016/j.csda.2013.10.018</w:t>
        </w:r>
      </w:hyperlink>
      <w:r>
        <w:t xml:space="preserve">.</w:t>
      </w:r>
    </w:p>
    <w:bookmarkEnd w:id="202"/>
    <w:bookmarkStart w:id="204" w:name="ref-gatto2022spifd"/>
    <w:p>
      <w:pPr>
        <w:pStyle w:val="Bibliography"/>
      </w:pPr>
      <w:r>
        <w:t xml:space="preserve">Gatto, Nicolle M., Robert F. Reynolds, and Ulka B. Campbell. 2022.</w:t>
      </w:r>
      <w:r>
        <w:t xml:space="preserve"> </w:t>
      </w:r>
      <w:r>
        <w:t xml:space="preserve">“The Structured Process to Identify Fit-for-Purpose Data: A Data Feasibility Assessment Framework.”</w:t>
      </w:r>
      <w:r>
        <w:t xml:space="preserve"> </w:t>
      </w:r>
      <w:r>
        <w:rPr>
          <w:i/>
          <w:iCs/>
        </w:rPr>
        <w:t xml:space="preserve">Clinical Pharmacology &amp; Therapeutics</w:t>
      </w:r>
      <w:r>
        <w:t xml:space="preserve"> </w:t>
      </w:r>
      <w:r>
        <w:t xml:space="preserve">111 (1): 122–34.</w:t>
      </w:r>
      <w:r>
        <w:t xml:space="preserve"> </w:t>
      </w:r>
      <w:hyperlink r:id="rId203">
        <w:r>
          <w:rPr>
            <w:rStyle w:val="Hyperlink"/>
          </w:rPr>
          <w:t xml:space="preserve">https://doi.org/10.1002/cpt.2466</w:t>
        </w:r>
      </w:hyperlink>
      <w:r>
        <w:t xml:space="preserve">.</w:t>
      </w:r>
    </w:p>
    <w:bookmarkEnd w:id="204"/>
    <w:bookmarkStart w:id="206" w:name="ref-gatto2023spifd2"/>
    <w:p>
      <w:pPr>
        <w:pStyle w:val="Bibliography"/>
      </w:pPr>
      <w:r>
        <w:t xml:space="preserve">Gatto, Nicolle M., Sarah E. Vititoe, Emily Rubinstein, Robert F. Reynolds, and Ulka B. Campbell. 2023.</w:t>
      </w:r>
      <w:r>
        <w:t xml:space="preserve"> </w:t>
      </w:r>
      <w:r>
        <w:t xml:space="preserve">“A Structured Process to Identify Fit-for-Purpose Study Design and Data to Generate Valid and Transparent Real-World Evidence for Regulatory Uses.”</w:t>
      </w:r>
      <w:r>
        <w:t xml:space="preserve"> </w:t>
      </w:r>
      <w:r>
        <w:rPr>
          <w:i/>
          <w:iCs/>
        </w:rPr>
        <w:t xml:space="preserve">Clinical Pharmacology &amp; Therapeutics</w:t>
      </w:r>
      <w:r>
        <w:t xml:space="preserve"> </w:t>
      </w:r>
      <w:r>
        <w:t xml:space="preserve">113 (6): 1235–39.</w:t>
      </w:r>
      <w:r>
        <w:t xml:space="preserve"> </w:t>
      </w:r>
      <w:hyperlink r:id="rId205">
        <w:r>
          <w:rPr>
            <w:rStyle w:val="Hyperlink"/>
          </w:rPr>
          <w:t xml:space="preserve">https://doi.org/10.1002/cpt.2883</w:t>
        </w:r>
      </w:hyperlink>
      <w:r>
        <w:t xml:space="preserve">.</w:t>
      </w:r>
    </w:p>
    <w:bookmarkEnd w:id="206"/>
    <w:bookmarkStart w:id="208" w:name="ref-gruber2022sap"/>
    <w:p>
      <w:pPr>
        <w:pStyle w:val="Bibliography"/>
      </w:pPr>
      <w:r>
        <w:t xml:space="preserve">Gruber, Susan, Hana Lee, Rachael V. Phillips, Martin Ho, and Mark J. van der Laan. 2024.</w:t>
      </w:r>
      <w:r>
        <w:t xml:space="preserve"> </w:t>
      </w:r>
      <w:r>
        <w:t xml:space="preserve">“Developing a Targeted Learning-Based Statistical Analysis Plan.”</w:t>
      </w:r>
      <w:r>
        <w:t xml:space="preserve"> </w:t>
      </w:r>
      <w:r>
        <w:rPr>
          <w:i/>
          <w:iCs/>
        </w:rPr>
        <w:t xml:space="preserve">Statistics in Biopharmaceutical Research</w:t>
      </w:r>
      <w:r>
        <w:t xml:space="preserve"> </w:t>
      </w:r>
      <w:r>
        <w:t xml:space="preserve">16 (1): 1–15.</w:t>
      </w:r>
      <w:r>
        <w:t xml:space="preserve"> </w:t>
      </w:r>
      <w:hyperlink r:id="rId207">
        <w:r>
          <w:rPr>
            <w:rStyle w:val="Hyperlink"/>
          </w:rPr>
          <w:t xml:space="preserve">https://doi.org/10.1080/19466315.2022.2116104</w:t>
        </w:r>
      </w:hyperlink>
      <w:r>
        <w:t xml:space="preserve">.</w:t>
      </w:r>
    </w:p>
    <w:bookmarkEnd w:id="208"/>
    <w:bookmarkStart w:id="210" w:name="ref-gruber2024evaluating"/>
    <w:p>
      <w:pPr>
        <w:pStyle w:val="Bibliography"/>
      </w:pPr>
      <w:r>
        <w:t xml:space="preserve">Gruber, Susan, Rachael V. Phillips, Hana Lee, John Concato, and Mark J. van der Laan. 2024.</w:t>
      </w:r>
      <w:r>
        <w:t xml:space="preserve"> </w:t>
      </w:r>
      <w:r>
        <w:t xml:space="preserve">“Evaluating and Improving Real-World Evidence with Targeted Learning.”</w:t>
      </w:r>
      <w:r>
        <w:t xml:space="preserve"> </w:t>
      </w:r>
      <w:r>
        <w:rPr>
          <w:i/>
          <w:iCs/>
        </w:rPr>
        <w:t xml:space="preserve">BMC Medical Research Methodology</w:t>
      </w:r>
      <w:r>
        <w:t xml:space="preserve"> </w:t>
      </w:r>
      <w:r>
        <w:t xml:space="preserve">24 (1): 1–14.</w:t>
      </w:r>
      <w:r>
        <w:t xml:space="preserve"> </w:t>
      </w:r>
      <w:hyperlink r:id="rId209">
        <w:r>
          <w:rPr>
            <w:rStyle w:val="Hyperlink"/>
          </w:rPr>
          <w:t xml:space="preserve">https://doi.org/10.1186/s12874-024-02244-z</w:t>
        </w:r>
      </w:hyperlink>
      <w:r>
        <w:t xml:space="preserve">.</w:t>
      </w:r>
    </w:p>
    <w:bookmarkEnd w:id="210"/>
    <w:bookmarkStart w:id="212" w:name="ref-gruber2023future"/>
    <w:p>
      <w:pPr>
        <w:pStyle w:val="Bibliography"/>
      </w:pPr>
      <w:r>
        <w:t xml:space="preserve">Gruber, Susan, Rachael V. Phillips, Hana Lee, Martin Ho, John Concato, and Mark J. van der Laan. 2024.</w:t>
      </w:r>
      <w:r>
        <w:t xml:space="preserve"> </w:t>
      </w:r>
      <w:r>
        <w:t xml:space="preserve">“Targeted Learning: Toward a Future Informed by Real-World Evidence.”</w:t>
      </w:r>
      <w:r>
        <w:t xml:space="preserve"> </w:t>
      </w:r>
      <w:r>
        <w:rPr>
          <w:i/>
          <w:iCs/>
        </w:rPr>
        <w:t xml:space="preserve">Statistics in Biopharmaceutical Research</w:t>
      </w:r>
      <w:r>
        <w:t xml:space="preserve"> </w:t>
      </w:r>
      <w:r>
        <w:t xml:space="preserve">16 (1): 28–38.</w:t>
      </w:r>
      <w:r>
        <w:t xml:space="preserve"> </w:t>
      </w:r>
      <w:hyperlink r:id="rId211">
        <w:r>
          <w:rPr>
            <w:rStyle w:val="Hyperlink"/>
          </w:rPr>
          <w:t xml:space="preserve">https://doi.org/10.1080/19466315.2023.2182356</w:t>
        </w:r>
      </w:hyperlink>
      <w:r>
        <w:t xml:space="preserve">.</w:t>
      </w:r>
    </w:p>
    <w:bookmarkEnd w:id="212"/>
    <w:bookmarkStart w:id="214" w:name="ref-hernan2016targettrial"/>
    <w:p>
      <w:pPr>
        <w:pStyle w:val="Bibliography"/>
      </w:pPr>
      <w:r>
        <w:t xml:space="preserve">Hernán, M. A., and J. M. Robins. 2016.</w:t>
      </w:r>
      <w:r>
        <w:t xml:space="preserve"> </w:t>
      </w:r>
      <w:r>
        <w:t xml:space="preserve">“Using Big Data to Emulate a Target Trial When a Randomized Trial Is Not Available.”</w:t>
      </w:r>
      <w:r>
        <w:t xml:space="preserve"> </w:t>
      </w:r>
      <w:r>
        <w:rPr>
          <w:i/>
          <w:iCs/>
        </w:rPr>
        <w:t xml:space="preserve">American Journal of Epidemiology</w:t>
      </w:r>
      <w:r>
        <w:t xml:space="preserve"> </w:t>
      </w:r>
      <w:r>
        <w:t xml:space="preserve">183 (8): 758–64.</w:t>
      </w:r>
      <w:r>
        <w:t xml:space="preserve"> </w:t>
      </w:r>
      <w:hyperlink r:id="rId213">
        <w:r>
          <w:rPr>
            <w:rStyle w:val="Hyperlink"/>
          </w:rPr>
          <w:t xml:space="preserve">https://doi.org/10.1093/aje/kwv254</w:t>
        </w:r>
      </w:hyperlink>
      <w:r>
        <w:t xml:space="preserve">.</w:t>
      </w:r>
    </w:p>
    <w:bookmarkEnd w:id="214"/>
    <w:bookmarkStart w:id="215" w:name="ref-hernan2016target"/>
    <w:p>
      <w:pPr>
        <w:pStyle w:val="Bibliography"/>
      </w:pPr>
      <w:r>
        <w:t xml:space="preserve">Hernán, Miguel A., and James M. Robins. 2016.</w:t>
      </w:r>
      <w:r>
        <w:t xml:space="preserve"> </w:t>
      </w:r>
      <w:r>
        <w:t xml:space="preserve">“Using Big Data to Emulate a Target Trial When a Randomized Trial Is Not Available.”</w:t>
      </w:r>
      <w:r>
        <w:t xml:space="preserve"> </w:t>
      </w:r>
      <w:r>
        <w:rPr>
          <w:i/>
          <w:iCs/>
        </w:rPr>
        <w:t xml:space="preserve">American Journal of Epidemiology</w:t>
      </w:r>
      <w:r>
        <w:t xml:space="preserve"> </w:t>
      </w:r>
      <w:r>
        <w:t xml:space="preserve">183 (8): 758–64.</w:t>
      </w:r>
      <w:r>
        <w:t xml:space="preserve"> </w:t>
      </w:r>
      <w:hyperlink r:id="rId213">
        <w:r>
          <w:rPr>
            <w:rStyle w:val="Hyperlink"/>
          </w:rPr>
          <w:t xml:space="preserve">https://doi.org/10.1093/aje/kwv254</w:t>
        </w:r>
      </w:hyperlink>
      <w:r>
        <w:t xml:space="preserve">.</w:t>
      </w:r>
    </w:p>
    <w:bookmarkEnd w:id="215"/>
    <w:bookmarkStart w:id="216" w:name="ref-hernan2020causal"/>
    <w:p>
      <w:pPr>
        <w:pStyle w:val="Bibliography"/>
      </w:pPr>
      <w:r>
        <w:t xml:space="preserve">———. 2020.</w:t>
      </w:r>
      <w:r>
        <w:t xml:space="preserve"> </w:t>
      </w:r>
      <w:r>
        <w:rPr>
          <w:i/>
          <w:iCs/>
        </w:rPr>
        <w:t xml:space="preserve">Causal Inference: What If</w:t>
      </w:r>
      <w:r>
        <w:t xml:space="preserve">. Boca Raton: Chapman &amp; Hall/CRC.</w:t>
      </w:r>
    </w:p>
    <w:bookmarkEnd w:id="216"/>
    <w:bookmarkStart w:id="217" w:name="ref-ich2019e9r1"/>
    <w:p>
      <w:pPr>
        <w:pStyle w:val="Bibliography"/>
      </w:pPr>
      <w:r>
        <w:t xml:space="preserve">International Council for Harmonisation. 2019.</w:t>
      </w:r>
      <w:r>
        <w:t xml:space="preserve"> </w:t>
      </w:r>
      <w:r>
        <w:t xml:space="preserve">“</w:t>
      </w:r>
      <w:r>
        <w:t xml:space="preserve">ICH E9(R1)</w:t>
      </w:r>
      <w:r>
        <w:t xml:space="preserve"> </w:t>
      </w:r>
      <w:r>
        <w:t xml:space="preserve">Addendum on Estimands and Sensitivity Analysis in Clinical Trials.”</w:t>
      </w:r>
    </w:p>
    <w:bookmarkEnd w:id="217"/>
    <w:bookmarkStart w:id="218" w:name="ref-ich2024m14"/>
    <w:p>
      <w:pPr>
        <w:pStyle w:val="Bibliography"/>
      </w:pPr>
      <w:r>
        <w:t xml:space="preserve">———. 2026.</w:t>
      </w:r>
      <w:r>
        <w:t xml:space="preserve"> </w:t>
      </w:r>
      <w:r>
        <w:t xml:space="preserve">“</w:t>
      </w:r>
      <w:r>
        <w:t xml:space="preserve">ICH M14</w:t>
      </w:r>
      <w:r>
        <w:t xml:space="preserve"> </w:t>
      </w:r>
      <w:r>
        <w:t xml:space="preserve">Guidance for Industry: General Principles on Planning, Designing, and Analyzing Non-Interventional Studies Using Real-World Data for Safety Assessment of Medicines.”</w:t>
      </w:r>
    </w:p>
    <w:bookmarkEnd w:id="218"/>
    <w:bookmarkStart w:id="220" w:name="ref-kahn2016data"/>
    <w:p>
      <w:pPr>
        <w:pStyle w:val="Bibliography"/>
      </w:pPr>
      <w:r>
        <w:t xml:space="preserve">Kahn, Michael G., Tiffany J. Callahan, Juliana Barnard, Alan E. Bauck, Jeffrey Brown, Bruce N. Davidson, Hossein Estiri, et al. 2016.</w:t>
      </w:r>
      <w:r>
        <w:t xml:space="preserve"> </w:t>
      </w:r>
      <w:r>
        <w:t xml:space="preserve">“A Harmonized Data Quality Assessment Terminology and Framework for the Secondary Use of Electronic Health Record Data.”</w:t>
      </w:r>
      <w:r>
        <w:t xml:space="preserve"> </w:t>
      </w:r>
      <w:r>
        <w:rPr>
          <w:i/>
          <w:iCs/>
        </w:rPr>
        <w:t xml:space="preserve">EGEMS (Washington, DC)</w:t>
      </w:r>
      <w:r>
        <w:t xml:space="preserve"> </w:t>
      </w:r>
      <w:r>
        <w:t xml:space="preserve">4 (1): 1244.</w:t>
      </w:r>
      <w:r>
        <w:t xml:space="preserve"> </w:t>
      </w:r>
      <w:hyperlink r:id="rId219">
        <w:r>
          <w:rPr>
            <w:rStyle w:val="Hyperlink"/>
          </w:rPr>
          <w:t xml:space="preserve">https://doi.org/10.13063/2327-9214.1244</w:t>
        </w:r>
      </w:hyperlink>
      <w:r>
        <w:t xml:space="preserve">.</w:t>
      </w:r>
    </w:p>
    <w:bookmarkEnd w:id="220"/>
    <w:bookmarkStart w:id="221" w:name="ref-kent2026fiord"/>
    <w:p>
      <w:pPr>
        <w:pStyle w:val="Bibliography"/>
      </w:pPr>
      <w:r>
        <w:t xml:space="preserve">Kent, Shia T. 2026.</w:t>
      </w:r>
      <w:r>
        <w:t xml:space="preserve"> </w:t>
      </w:r>
      <w:r>
        <w:t xml:space="preserve">“A Staging Framework to Facilitate Transparency and Reduce Bias in Comparative Analyses of Real-World Data.”</w:t>
      </w:r>
      <w:r>
        <w:t xml:space="preserve"> </w:t>
      </w:r>
      <w:r>
        <w:t xml:space="preserve">Conference presentation, 4th Annual Forum on the Integration of Observational and Randomized Data (FIORD), Day 1 Lunch session.</w:t>
      </w:r>
    </w:p>
    <w:bookmarkEnd w:id="221"/>
    <w:bookmarkStart w:id="223" w:name="ref-vdL2007superlearner"/>
    <w:p>
      <w:pPr>
        <w:pStyle w:val="Bibliography"/>
      </w:pPr>
      <w:r>
        <w:t xml:space="preserve">Laan, Mark J. van der, Eric C. Polley, and Alan E. Hubbard. 2007.</w:t>
      </w:r>
      <w:r>
        <w:t xml:space="preserve"> </w:t>
      </w:r>
      <w:r>
        <w:t xml:space="preserve">“Super Learner.”</w:t>
      </w:r>
      <w:r>
        <w:t xml:space="preserve"> </w:t>
      </w:r>
      <w:r>
        <w:rPr>
          <w:i/>
          <w:iCs/>
        </w:rPr>
        <w:t xml:space="preserve">Statistical Applications in Genetics and Molecular Biology</w:t>
      </w:r>
      <w:r>
        <w:t xml:space="preserve"> </w:t>
      </w:r>
      <w:r>
        <w:t xml:space="preserve">6 (1).</w:t>
      </w:r>
      <w:r>
        <w:t xml:space="preserve"> </w:t>
      </w:r>
      <w:hyperlink r:id="rId222">
        <w:r>
          <w:rPr>
            <w:rStyle w:val="Hyperlink"/>
          </w:rPr>
          <w:t xml:space="preserve">https://doi.org/10.2202/1544-6115.1309</w:t>
        </w:r>
      </w:hyperlink>
      <w:r>
        <w:t xml:space="preserve">.</w:t>
      </w:r>
    </w:p>
    <w:bookmarkEnd w:id="223"/>
    <w:bookmarkStart w:id="225" w:name="ref-vdL2011tlbook"/>
    <w:p>
      <w:pPr>
        <w:pStyle w:val="Bibliography"/>
      </w:pPr>
      <w:r>
        <w:t xml:space="preserve">Laan, Mark J. van der, and Sherri Rose. 2011.</w:t>
      </w:r>
      <w:r>
        <w:t xml:space="preserve"> </w:t>
      </w:r>
      <w:r>
        <w:rPr>
          <w:i/>
          <w:iCs/>
        </w:rPr>
        <w:t xml:space="preserve">Targeted Learning: Causal Inference for Observational and Experimental Data</w:t>
      </w:r>
      <w:r>
        <w:t xml:space="preserve">. Springer.</w:t>
      </w:r>
      <w:r>
        <w:t xml:space="preserve"> </w:t>
      </w:r>
      <w:hyperlink r:id="rId224">
        <w:r>
          <w:rPr>
            <w:rStyle w:val="Hyperlink"/>
          </w:rPr>
          <w:t xml:space="preserve">https://doi.org/10.1007/978-1-4419-9782-1</w:t>
        </w:r>
      </w:hyperlink>
      <w:r>
        <w:t xml:space="preserve">.</w:t>
      </w:r>
    </w:p>
    <w:bookmarkEnd w:id="225"/>
    <w:bookmarkStart w:id="227" w:name="ref-vanderLaan2006tmle"/>
    <w:p>
      <w:pPr>
        <w:pStyle w:val="Bibliography"/>
      </w:pPr>
      <w:r>
        <w:t xml:space="preserve">Laan, Mark J. van der, and Daniel Rubin. 2006.</w:t>
      </w:r>
      <w:r>
        <w:t xml:space="preserve"> </w:t>
      </w:r>
      <w:r>
        <w:t xml:space="preserve">“Targeted Maximum Likelihood Learning.”</w:t>
      </w:r>
      <w:r>
        <w:t xml:space="preserve"> </w:t>
      </w:r>
      <w:r>
        <w:rPr>
          <w:i/>
          <w:iCs/>
        </w:rPr>
        <w:t xml:space="preserve">The International Journal of Biostatistics</w:t>
      </w:r>
      <w:r>
        <w:t xml:space="preserve"> </w:t>
      </w:r>
      <w:r>
        <w:t xml:space="preserve">2 (1).</w:t>
      </w:r>
      <w:r>
        <w:t xml:space="preserve"> </w:t>
      </w:r>
      <w:hyperlink r:id="rId226">
        <w:r>
          <w:rPr>
            <w:rStyle w:val="Hyperlink"/>
          </w:rPr>
          <w:t xml:space="preserve">https://doi.org/10.2202/1557-4679.1043</w:t>
        </w:r>
      </w:hyperlink>
      <w:r>
        <w:t xml:space="preserve">.</w:t>
      </w:r>
    </w:p>
    <w:bookmarkEnd w:id="227"/>
    <w:bookmarkStart w:id="229" w:name="ref-lash2014qba"/>
    <w:p>
      <w:pPr>
        <w:pStyle w:val="Bibliography"/>
      </w:pPr>
      <w:r>
        <w:t xml:space="preserve">Lash, Timothy L., Matthew P. Fox, Richard F. MacLehose, George Maldonado, Lawrence C. McCandless, and Sander Greenland. 2014.</w:t>
      </w:r>
      <w:r>
        <w:t xml:space="preserve"> </w:t>
      </w:r>
      <w:r>
        <w:t xml:space="preserve">“Good Practices for Quantitative Bias Analysis.”</w:t>
      </w:r>
      <w:r>
        <w:t xml:space="preserve"> </w:t>
      </w:r>
      <w:r>
        <w:rPr>
          <w:i/>
          <w:iCs/>
        </w:rPr>
        <w:t xml:space="preserve">International Journal of Epidemiology</w:t>
      </w:r>
      <w:r>
        <w:t xml:space="preserve"> </w:t>
      </w:r>
      <w:r>
        <w:t xml:space="preserve">43 (6): 1969–85.</w:t>
      </w:r>
      <w:r>
        <w:t xml:space="preserve"> </w:t>
      </w:r>
      <w:hyperlink r:id="rId228">
        <w:r>
          <w:rPr>
            <w:rStyle w:val="Hyperlink"/>
          </w:rPr>
          <w:t xml:space="preserve">https://doi.org/10.1093/ije/dyu149</w:t>
        </w:r>
      </w:hyperlink>
      <w:r>
        <w:t xml:space="preserve">.</w:t>
      </w:r>
    </w:p>
    <w:bookmarkEnd w:id="229"/>
    <w:bookmarkStart w:id="231" w:name="ref-levintow2023nco"/>
    <w:p>
      <w:pPr>
        <w:pStyle w:val="Bibliography"/>
      </w:pPr>
      <w:r>
        <w:t xml:space="preserve">Levintow, Sara N., Carrie M. Nielson, Rohini K. Hernandez, and M. Alan Brookhart. 2023.</w:t>
      </w:r>
      <w:r>
        <w:t xml:space="preserve"> </w:t>
      </w:r>
      <w:r>
        <w:t xml:space="preserve">“Pragmatic Considerations for Negative Control Outcome Studies to Guide Non-Randomized Comparative Analyses: A Narrative Review.”</w:t>
      </w:r>
      <w:r>
        <w:t xml:space="preserve"> </w:t>
      </w:r>
      <w:r>
        <w:rPr>
          <w:i/>
          <w:iCs/>
        </w:rPr>
        <w:t xml:space="preserve">Pharmacoepidemiology and Drug Safety</w:t>
      </w:r>
      <w:r>
        <w:t xml:space="preserve"> </w:t>
      </w:r>
      <w:r>
        <w:t xml:space="preserve">32 (6): 599–606.</w:t>
      </w:r>
      <w:r>
        <w:t xml:space="preserve"> </w:t>
      </w:r>
      <w:hyperlink r:id="rId230">
        <w:r>
          <w:rPr>
            <w:rStyle w:val="Hyperlink"/>
          </w:rPr>
          <w:t xml:space="preserve">https://doi.org/10.1002/pds.5623</w:t>
        </w:r>
      </w:hyperlink>
      <w:r>
        <w:t xml:space="preserve">.</w:t>
      </w:r>
    </w:p>
    <w:bookmarkEnd w:id="231"/>
    <w:bookmarkStart w:id="232" w:name="ref-li2018overlap"/>
    <w:p>
      <w:pPr>
        <w:pStyle w:val="Bibliography"/>
      </w:pPr>
      <w:r>
        <w:t xml:space="preserve">Li, Fan, Kari Lock Morgan, and Alan M. Zaslavsky. 2018.</w:t>
      </w:r>
      <w:r>
        <w:t xml:space="preserve"> </w:t>
      </w:r>
      <w:r>
        <w:t xml:space="preserve">“Balancing Covariates via Propensity Score Weighting.”</w:t>
      </w:r>
      <w:r>
        <w:t xml:space="preserve"> </w:t>
      </w:r>
      <w:r>
        <w:rPr>
          <w:i/>
          <w:iCs/>
        </w:rPr>
        <w:t xml:space="preserve">Journal of the American Statistical Association</w:t>
      </w:r>
      <w:r>
        <w:t xml:space="preserve"> </w:t>
      </w:r>
      <w:r>
        <w:t xml:space="preserve">113 (521): 390–400.</w:t>
      </w:r>
    </w:p>
    <w:bookmarkEnd w:id="232"/>
    <w:bookmarkStart w:id="234" w:name="ref-lipsitch2010negative"/>
    <w:p>
      <w:pPr>
        <w:pStyle w:val="Bibliography"/>
      </w:pPr>
      <w:r>
        <w:t xml:space="preserve">Lipsitch, Marc, Eric Tchetgen Tchetgen, and Ted Cohen. 2010.</w:t>
      </w:r>
      <w:r>
        <w:t xml:space="preserve"> </w:t>
      </w:r>
      <w:r>
        <w:t xml:space="preserve">“Negative Controls: A Tool for Detecting Confounding and Bias in Observational Studies.”</w:t>
      </w:r>
      <w:r>
        <w:t xml:space="preserve"> </w:t>
      </w:r>
      <w:r>
        <w:rPr>
          <w:i/>
          <w:iCs/>
        </w:rPr>
        <w:t xml:space="preserve">Epidemiology</w:t>
      </w:r>
      <w:r>
        <w:t xml:space="preserve"> </w:t>
      </w:r>
      <w:r>
        <w:t xml:space="preserve">21 (3): 383–88.</w:t>
      </w:r>
      <w:r>
        <w:t xml:space="preserve"> </w:t>
      </w:r>
      <w:hyperlink r:id="rId233">
        <w:r>
          <w:rPr>
            <w:rStyle w:val="Hyperlink"/>
          </w:rPr>
          <w:t xml:space="preserve">https://doi.org/10.1097/EDE.0b013e3181d61eeb</w:t>
        </w:r>
      </w:hyperlink>
      <w:r>
        <w:t xml:space="preserve">.</w:t>
      </w:r>
    </w:p>
    <w:bookmarkEnd w:id="234"/>
    <w:bookmarkStart w:id="235" w:name="ref-mao2019ato"/>
    <w:p>
      <w:pPr>
        <w:pStyle w:val="Bibliography"/>
      </w:pPr>
      <w:r>
        <w:t xml:space="preserve">Mao, Huzhang, Liang Li, and Tom Greene. 2019.</w:t>
      </w:r>
      <w:r>
        <w:t xml:space="preserve"> </w:t>
      </w:r>
      <w:r>
        <w:t xml:space="preserve">“Propensity Score Weighting Analysis and Treatment Effect Discovery.”</w:t>
      </w:r>
      <w:r>
        <w:t xml:space="preserve"> </w:t>
      </w:r>
      <w:r>
        <w:rPr>
          <w:i/>
          <w:iCs/>
        </w:rPr>
        <w:t xml:space="preserve">Statistical Methods in Medical Research</w:t>
      </w:r>
      <w:r>
        <w:t xml:space="preserve"> </w:t>
      </w:r>
      <w:r>
        <w:t xml:space="preserve">28 (8): 2439–54.</w:t>
      </w:r>
    </w:p>
    <w:bookmarkEnd w:id="235"/>
    <w:bookmarkStart w:id="237" w:name="ref-mcgrath2021romiplostim"/>
    <w:p>
      <w:pPr>
        <w:pStyle w:val="Bibliography"/>
      </w:pPr>
      <w:r>
        <w:t xml:space="preserve">McGrath, Leah J., Carrie M. Nielson, Bradley Saul, J. Bradley Layton, Kathleen E. Hurwitz, Mary Wernecke, Michele Jonsson Funk, Brian D. Bradbury, and M. Alan Brookhart. 2021.</w:t>
      </w:r>
      <w:r>
        <w:t xml:space="preserve"> </w:t>
      </w:r>
      <w:r>
        <w:t xml:space="preserve">“Lessons Learned Using Real-World Data to Emulate Randomized Trials: An Application in Romiplostim Treatment for Immune Thrombocytopenia.”</w:t>
      </w:r>
      <w:r>
        <w:t xml:space="preserve"> </w:t>
      </w:r>
      <w:r>
        <w:rPr>
          <w:i/>
          <w:iCs/>
        </w:rPr>
        <w:t xml:space="preserve">Clinical Pharmacology &amp; Therapeutics</w:t>
      </w:r>
      <w:r>
        <w:t xml:space="preserve"> </w:t>
      </w:r>
      <w:r>
        <w:t xml:space="preserve">110 (6): 1570–78.</w:t>
      </w:r>
      <w:r>
        <w:t xml:space="preserve"> </w:t>
      </w:r>
      <w:hyperlink r:id="rId236">
        <w:r>
          <w:rPr>
            <w:rStyle w:val="Hyperlink"/>
          </w:rPr>
          <w:t xml:space="preserve">https://doi.org/10.1002/cpt.2399</w:t>
        </w:r>
      </w:hyperlink>
      <w:r>
        <w:t xml:space="preserve">.</w:t>
      </w:r>
    </w:p>
    <w:bookmarkEnd w:id="237"/>
    <w:bookmarkStart w:id="238" w:name="ref-mertens2024danish"/>
    <w:p>
      <w:pPr>
        <w:pStyle w:val="Bibliography"/>
      </w:pPr>
      <w:r>
        <w:t xml:space="preserve">Mertens, Andrew, Zhiwei Zhang, et al. 2024.</w:t>
      </w:r>
      <w:r>
        <w:t xml:space="preserve"> </w:t>
      </w:r>
      <w:r>
        <w:t xml:space="preserve">“Bootstrap Variance Estimation for TMLE Under Positivity Strain in a Danish Registry Comparative-Effectiveness Study.”</w:t>
      </w:r>
      <w:r>
        <w:t xml:space="preserve"> </w:t>
      </w:r>
      <w:r>
        <w:rPr>
          <w:i/>
          <w:iCs/>
        </w:rPr>
        <w:t xml:space="preserve">Working Paper</w:t>
      </w:r>
      <w:r>
        <w:t xml:space="preserve">.</w:t>
      </w:r>
    </w:p>
    <w:bookmarkEnd w:id="238"/>
    <w:bookmarkStart w:id="240" w:name="ref-muntner2024staging"/>
    <w:p>
      <w:pPr>
        <w:pStyle w:val="Bibliography"/>
      </w:pPr>
      <w:r>
        <w:t xml:space="preserve">Muntner, Paul, Rohini K. Hernandez, Shia T. Kent, James E. Browning, David T. Gilbertson, Kathleen E. Hurwitz, Susan S. Jick, et al. 2024.</w:t>
      </w:r>
      <w:r>
        <w:t xml:space="preserve"> </w:t>
      </w:r>
      <w:r>
        <w:t xml:space="preserve">“Staging and Clean Room: Constructs Designed to Facilitate Transparency and Reduce Bias in Comparative Analyses of Real-World Data.”</w:t>
      </w:r>
      <w:r>
        <w:t xml:space="preserve"> </w:t>
      </w:r>
      <w:r>
        <w:rPr>
          <w:i/>
          <w:iCs/>
        </w:rPr>
        <w:t xml:space="preserve">Pharmacoepidemiology and Drug Safety</w:t>
      </w:r>
      <w:r>
        <w:t xml:space="preserve"> </w:t>
      </w:r>
      <w:r>
        <w:t xml:space="preserve">33 (3): e5770.</w:t>
      </w:r>
      <w:r>
        <w:t xml:space="preserve"> </w:t>
      </w:r>
      <w:hyperlink r:id="rId239">
        <w:r>
          <w:rPr>
            <w:rStyle w:val="Hyperlink"/>
          </w:rPr>
          <w:t xml:space="preserve">https://doi.org/10.1002/pds.5770</w:t>
        </w:r>
      </w:hyperlink>
      <w:r>
        <w:t xml:space="preserve">.</w:t>
      </w:r>
    </w:p>
    <w:bookmarkEnd w:id="240"/>
    <w:bookmarkStart w:id="241" w:name="ref-nance2026fiord"/>
    <w:p>
      <w:pPr>
        <w:pStyle w:val="Bibliography"/>
      </w:pPr>
      <w:r>
        <w:t xml:space="preserve">Nance, Nerissa, Susan Gruber, Hashim Khan, Lina Han, Maya Petersen, Andrew Mertens, Mark J. van der Laan, and FIORD collaborators. 2026.</w:t>
      </w:r>
      <w:r>
        <w:t xml:space="preserve"> </w:t>
      </w:r>
      <w:r>
        <w:t xml:space="preserve">“Simulations to Specify Estimation Choices in Causal Analyses: A Longitudinal Case Study.”</w:t>
      </w:r>
      <w:r>
        <w:t xml:space="preserve"> </w:t>
      </w:r>
      <w:r>
        <w:rPr>
          <w:i/>
          <w:iCs/>
        </w:rPr>
        <w:t xml:space="preserve">Journal of Clinical and Translational Science</w:t>
      </w:r>
      <w:r>
        <w:t xml:space="preserve">.</w:t>
      </w:r>
    </w:p>
    <w:bookmarkEnd w:id="241"/>
    <w:bookmarkStart w:id="243" w:name="ref-nice2022rwe"/>
    <w:p>
      <w:pPr>
        <w:pStyle w:val="Bibliography"/>
      </w:pPr>
      <w:r>
        <w:t xml:space="preserve">National Institute for Health and Care Excellence. 2022.</w:t>
      </w:r>
      <w:r>
        <w:t xml:space="preserve"> </w:t>
      </w:r>
      <w:r>
        <w:t xml:space="preserve">“</w:t>
      </w:r>
      <w:r>
        <w:t xml:space="preserve">NICE</w:t>
      </w:r>
      <w:r>
        <w:t xml:space="preserve"> </w:t>
      </w:r>
      <w:r>
        <w:t xml:space="preserve">Real-World Evidence Framework (ECD9).”</w:t>
      </w:r>
      <w:r>
        <w:t xml:space="preserve"> </w:t>
      </w:r>
      <w:r>
        <w:t xml:space="preserve">NICE corporate document, London.</w:t>
      </w:r>
      <w:r>
        <w:t xml:space="preserve"> </w:t>
      </w:r>
      <w:hyperlink r:id="rId242">
        <w:r>
          <w:rPr>
            <w:rStyle w:val="Hyperlink"/>
          </w:rPr>
          <w:t xml:space="preserve">https://www.nice.org.uk/corporate/ecd9</w:t>
        </w:r>
      </w:hyperlink>
      <w:r>
        <w:t xml:space="preserve">.</w:t>
      </w:r>
    </w:p>
    <w:bookmarkEnd w:id="243"/>
    <w:bookmarkStart w:id="245" w:name="ref-petersen2014roadmap"/>
    <w:p>
      <w:pPr>
        <w:pStyle w:val="Bibliography"/>
      </w:pPr>
      <w:r>
        <w:t xml:space="preserve">Petersen, Maya L., and Mark J. van der Laan. 2014.</w:t>
      </w:r>
      <w:r>
        <w:t xml:space="preserve"> </w:t>
      </w:r>
      <w:r>
        <w:t xml:space="preserve">“Causal Models and Learning from Data: Integrating Causal Modeling and Statistical Estimation.”</w:t>
      </w:r>
      <w:r>
        <w:t xml:space="preserve"> </w:t>
      </w:r>
      <w:r>
        <w:rPr>
          <w:i/>
          <w:iCs/>
        </w:rPr>
        <w:t xml:space="preserve">Epidemiology</w:t>
      </w:r>
      <w:r>
        <w:t xml:space="preserve"> </w:t>
      </w:r>
      <w:r>
        <w:t xml:space="preserve">25 (3): 418–26.</w:t>
      </w:r>
      <w:r>
        <w:t xml:space="preserve"> </w:t>
      </w:r>
      <w:hyperlink r:id="rId244">
        <w:r>
          <w:rPr>
            <w:rStyle w:val="Hyperlink"/>
          </w:rPr>
          <w:t xml:space="preserve">https://doi.org/10.1097/EDE.0000000000000078</w:t>
        </w:r>
      </w:hyperlink>
      <w:r>
        <w:t xml:space="preserve">.</w:t>
      </w:r>
    </w:p>
    <w:bookmarkEnd w:id="245"/>
    <w:bookmarkStart w:id="246" w:name="ref-petersen2012positivity"/>
    <w:p>
      <w:pPr>
        <w:pStyle w:val="Bibliography"/>
      </w:pPr>
      <w:r>
        <w:t xml:space="preserve">Petersen, Maya L., Kristin E. Porter, Susan Gruber, Yue Wang, and Mark J. van der Laan. 2012.</w:t>
      </w:r>
      <w:r>
        <w:t xml:space="preserve"> </w:t>
      </w:r>
      <w:r>
        <w:t xml:space="preserve">“Diagnosing and Responding to Violations in the Positivity Assumption.”</w:t>
      </w:r>
      <w:r>
        <w:t xml:space="preserve"> </w:t>
      </w:r>
      <w:r>
        <w:rPr>
          <w:i/>
          <w:iCs/>
        </w:rPr>
        <w:t xml:space="preserve">Statistical Methods in Medical Research</w:t>
      </w:r>
      <w:r>
        <w:t xml:space="preserve"> </w:t>
      </w:r>
      <w:r>
        <w:t xml:space="preserve">21 (1): 31–54.</w:t>
      </w:r>
    </w:p>
    <w:bookmarkEnd w:id="246"/>
    <w:bookmarkStart w:id="248" w:name="ref-phillips2023sl"/>
    <w:p>
      <w:pPr>
        <w:pStyle w:val="Bibliography"/>
      </w:pPr>
      <w:r>
        <w:t xml:space="preserve">Phillips, Rachael V., Mark J. van der Laan, Hana Lee, and Susan Gruber. 2023.</w:t>
      </w:r>
      <w:r>
        <w:t xml:space="preserve"> </w:t>
      </w:r>
      <w:r>
        <w:t xml:space="preserve">“Practical Considerations for Specifying a Super Learner.”</w:t>
      </w:r>
      <w:r>
        <w:t xml:space="preserve"> </w:t>
      </w:r>
      <w:r>
        <w:rPr>
          <w:i/>
          <w:iCs/>
        </w:rPr>
        <w:t xml:space="preserve">International Journal of Epidemiology</w:t>
      </w:r>
      <w:r>
        <w:t xml:space="preserve"> </w:t>
      </w:r>
      <w:r>
        <w:t xml:space="preserve">52 (4): 1276–85.</w:t>
      </w:r>
      <w:r>
        <w:t xml:space="preserve"> </w:t>
      </w:r>
      <w:hyperlink r:id="rId247">
        <w:r>
          <w:rPr>
            <w:rStyle w:val="Hyperlink"/>
          </w:rPr>
          <w:t xml:space="preserve">https://doi.org/10.1093/ije/dyad023</w:t>
        </w:r>
      </w:hyperlink>
      <w:r>
        <w:t xml:space="preserve">.</w:t>
      </w:r>
    </w:p>
    <w:bookmarkEnd w:id="248"/>
    <w:bookmarkStart w:id="250" w:name="ref-rcoreteam2024"/>
    <w:p>
      <w:pPr>
        <w:pStyle w:val="Bibliography"/>
      </w:pPr>
      <w:r>
        <w:t xml:space="preserve">R Core Team. 2024.</w:t>
      </w:r>
      <w:r>
        <w:t xml:space="preserve"> </w:t>
      </w:r>
      <w:r>
        <w:t xml:space="preserve">“</w:t>
      </w:r>
      <w:r>
        <w:t xml:space="preserve">R</w:t>
      </w:r>
      <w:r>
        <w:t xml:space="preserve">: A Language and Environment for Statistical Computing.”</w:t>
      </w:r>
      <w:r>
        <w:t xml:space="preserve"> </w:t>
      </w:r>
      <w:r>
        <w:t xml:space="preserve">Vienna, Austria: R Foundation for Statistical Computing.</w:t>
      </w:r>
      <w:r>
        <w:t xml:space="preserve"> </w:t>
      </w:r>
      <w:hyperlink r:id="rId249">
        <w:r>
          <w:rPr>
            <w:rStyle w:val="Hyperlink"/>
          </w:rPr>
          <w:t xml:space="preserve">https://www.R-project.org/</w:t>
        </w:r>
      </w:hyperlink>
      <w:r>
        <w:t xml:space="preserve">.</w:t>
      </w:r>
    </w:p>
    <w:bookmarkEnd w:id="250"/>
    <w:bookmarkStart w:id="251" w:name="ref-robins1986newapproach"/>
    <w:p>
      <w:pPr>
        <w:pStyle w:val="Bibliography"/>
      </w:pPr>
      <w:r>
        <w:t xml:space="preserve">Robins, James. 1986.</w:t>
      </w:r>
      <w:r>
        <w:t xml:space="preserve"> </w:t>
      </w:r>
      <w:r>
        <w:t xml:space="preserve">“A New Approach to Causal Inference in Mortality Studies with a Sustained Exposure Period.”</w:t>
      </w:r>
      <w:r>
        <w:t xml:space="preserve"> </w:t>
      </w:r>
      <w:r>
        <w:rPr>
          <w:i/>
          <w:iCs/>
        </w:rPr>
        <w:t xml:space="preserve">Mathematical Modelling</w:t>
      </w:r>
      <w:r>
        <w:t xml:space="preserve"> </w:t>
      </w:r>
      <w:r>
        <w:t xml:space="preserve">7 (9-12): 1393–1512.</w:t>
      </w:r>
    </w:p>
    <w:bookmarkEnd w:id="251"/>
    <w:bookmarkStart w:id="252" w:name="ref-robins1992rotnitzky"/>
    <w:p>
      <w:pPr>
        <w:pStyle w:val="Bibliography"/>
      </w:pPr>
      <w:r>
        <w:t xml:space="preserve">Robins, James M., and Andrea Rotnitzky. 1992.</w:t>
      </w:r>
      <w:r>
        <w:t xml:space="preserve"> </w:t>
      </w:r>
      <w:r>
        <w:t xml:space="preserve">“Recovery of Information and Adjustment for Dependent Censoring Using Surrogate Markers,”</w:t>
      </w:r>
      <w:r>
        <w:t xml:space="preserve"> </w:t>
      </w:r>
      <w:r>
        <w:t xml:space="preserve">297–331.</w:t>
      </w:r>
    </w:p>
    <w:bookmarkEnd w:id="252"/>
    <w:bookmarkStart w:id="253" w:name="ref-schreck2024plasmode"/>
    <w:p>
      <w:pPr>
        <w:pStyle w:val="Bibliography"/>
      </w:pPr>
      <w:r>
        <w:t xml:space="preserve">Schreck, N. et al. 2024.</w:t>
      </w:r>
      <w:r>
        <w:t xml:space="preserve"> </w:t>
      </w:r>
      <w:r>
        <w:t xml:space="preserve">“Plasmode Simulation in Pharmacoepidemiology: A Review of Strengths and Pitfalls.”</w:t>
      </w:r>
      <w:r>
        <w:t xml:space="preserve"> </w:t>
      </w:r>
      <w:r>
        <w:rPr>
          <w:i/>
          <w:iCs/>
        </w:rPr>
        <w:t xml:space="preserve">Pharmacoepidemiology and Drug Safety</w:t>
      </w:r>
      <w:r>
        <w:t xml:space="preserve">.</w:t>
      </w:r>
    </w:p>
    <w:bookmarkEnd w:id="253"/>
    <w:bookmarkStart w:id="255" w:name="ref-schuler2017tmle"/>
    <w:p>
      <w:pPr>
        <w:pStyle w:val="Bibliography"/>
      </w:pPr>
      <w:r>
        <w:t xml:space="preserve">Schuler, Megan S., and Sherri Rose. 2017.</w:t>
      </w:r>
      <w:r>
        <w:t xml:space="preserve"> </w:t>
      </w:r>
      <w:r>
        <w:t xml:space="preserve">“Targeted Maximum Likelihood Estimation for Causal Inference in Observational Studies.”</w:t>
      </w:r>
      <w:r>
        <w:t xml:space="preserve"> </w:t>
      </w:r>
      <w:r>
        <w:rPr>
          <w:i/>
          <w:iCs/>
        </w:rPr>
        <w:t xml:space="preserve">American Journal of Epidemiology</w:t>
      </w:r>
      <w:r>
        <w:t xml:space="preserve"> </w:t>
      </w:r>
      <w:r>
        <w:t xml:space="preserve">185 (1): 65–73.</w:t>
      </w:r>
      <w:r>
        <w:t xml:space="preserve"> </w:t>
      </w:r>
      <w:hyperlink r:id="rId254">
        <w:r>
          <w:rPr>
            <w:rStyle w:val="Hyperlink"/>
          </w:rPr>
          <w:t xml:space="preserve">https://doi.org/10.1093/aje/kww165</w:t>
        </w:r>
      </w:hyperlink>
      <w:r>
        <w:t xml:space="preserve">.</w:t>
      </w:r>
    </w:p>
    <w:bookmarkEnd w:id="255"/>
    <w:bookmarkStart w:id="256" w:name="ref-shaw2025plasmode"/>
    <w:p>
      <w:pPr>
        <w:pStyle w:val="Bibliography"/>
      </w:pPr>
      <w:r>
        <w:t xml:space="preserve">Shaw, Pamela A., Susan Gruber, Brian D. Williamson, Rishi Desai, Susan M. Shortreed, Chloe Krakauer, Jennifer C. Nelson, and Mark J. van der Laan. 2025.</w:t>
      </w:r>
      <w:r>
        <w:t xml:space="preserve"> </w:t>
      </w:r>
      <w:r>
        <w:t xml:space="preserve">“A Cautionary Note for Plasmode Simulation Studies in the Setting of Causal Inference.”</w:t>
      </w:r>
      <w:r>
        <w:t xml:space="preserve"> </w:t>
      </w:r>
      <w:r>
        <w:rPr>
          <w:i/>
          <w:iCs/>
        </w:rPr>
        <w:t xml:space="preserve">arXiv Preprint</w:t>
      </w:r>
      <w:r>
        <w:t xml:space="preserve">.</w:t>
      </w:r>
    </w:p>
    <w:bookmarkEnd w:id="256"/>
    <w:bookmarkStart w:id="257" w:name="ref-shi2020selecting"/>
    <w:p>
      <w:pPr>
        <w:pStyle w:val="Bibliography"/>
      </w:pPr>
      <w:r>
        <w:t xml:space="preserve">Shi, Xu, Wang Miao, and Eric Tchetgen Tchetgen. 2020.</w:t>
      </w:r>
      <w:r>
        <w:t xml:space="preserve"> </w:t>
      </w:r>
      <w:r>
        <w:t xml:space="preserve">“Selecting and Ranking Individualized Treatment Rules with Unmeasured Confounding.”</w:t>
      </w:r>
      <w:r>
        <w:t xml:space="preserve"> </w:t>
      </w:r>
      <w:r>
        <w:rPr>
          <w:i/>
          <w:iCs/>
        </w:rPr>
        <w:t xml:space="preserve">Journal of the American Statistical Association</w:t>
      </w:r>
      <w:r>
        <w:t xml:space="preserve"> </w:t>
      </w:r>
      <w:r>
        <w:t xml:space="preserve">115 (529): 77–90.</w:t>
      </w:r>
    </w:p>
    <w:bookmarkEnd w:id="257"/>
    <w:bookmarkStart w:id="259" w:name="ref-stefanski2002sandwich"/>
    <w:p>
      <w:pPr>
        <w:pStyle w:val="Bibliography"/>
      </w:pPr>
      <w:r>
        <w:t xml:space="preserve">Stefanski, Leonard A., and Dennis D. Boos. 2002.</w:t>
      </w:r>
      <w:r>
        <w:t xml:space="preserve"> </w:t>
      </w:r>
      <w:r>
        <w:t xml:space="preserve">“The Calculus of</w:t>
      </w:r>
      <w:r>
        <w:t xml:space="preserve"> </w:t>
      </w:r>
      <w:r>
        <w:t xml:space="preserve">M</w:t>
      </w:r>
      <w:r>
        <w:t xml:space="preserve">-Estimation.”</w:t>
      </w:r>
      <w:r>
        <w:t xml:space="preserve"> </w:t>
      </w:r>
      <w:r>
        <w:rPr>
          <w:i/>
          <w:iCs/>
        </w:rPr>
        <w:t xml:space="preserve">The American Statistician</w:t>
      </w:r>
      <w:r>
        <w:t xml:space="preserve"> </w:t>
      </w:r>
      <w:r>
        <w:t xml:space="preserve">56 (1): 29–38.</w:t>
      </w:r>
      <w:r>
        <w:t xml:space="preserve"> </w:t>
      </w:r>
      <w:hyperlink r:id="rId258">
        <w:r>
          <w:rPr>
            <w:rStyle w:val="Hyperlink"/>
          </w:rPr>
          <w:t xml:space="preserve">https://doi.org/10.1198/000313002753631330</w:t>
        </w:r>
      </w:hyperlink>
      <w:r>
        <w:t xml:space="preserve">.</w:t>
      </w:r>
    </w:p>
    <w:bookmarkEnd w:id="259"/>
    <w:bookmarkStart w:id="261" w:name="ref-fda2018rwe"/>
    <w:p>
      <w:pPr>
        <w:pStyle w:val="Bibliography"/>
      </w:pPr>
      <w:r>
        <w:t xml:space="preserve">U.S. Food and Drug Administration. 2018.</w:t>
      </w:r>
      <w:r>
        <w:t xml:space="preserve"> </w:t>
      </w:r>
      <w:r>
        <w:t xml:space="preserve">“Framework for</w:t>
      </w:r>
      <w:r>
        <w:t xml:space="preserve"> </w:t>
      </w:r>
      <w:r>
        <w:t xml:space="preserve">FDA’s</w:t>
      </w:r>
      <w:r>
        <w:t xml:space="preserve"> </w:t>
      </w:r>
      <w:r>
        <w:t xml:space="preserve">Real-World Evidence Program.”</w:t>
      </w:r>
      <w:r>
        <w:t xml:space="preserve"> </w:t>
      </w:r>
      <w:hyperlink r:id="rId260">
        <w:r>
          <w:rPr>
            <w:rStyle w:val="Hyperlink"/>
          </w:rPr>
          <w:t xml:space="preserve">https://www.fda.gov/media/120060/download</w:t>
        </w:r>
      </w:hyperlink>
      <w:r>
        <w:t xml:space="preserve">.</w:t>
      </w:r>
    </w:p>
    <w:bookmarkEnd w:id="261"/>
    <w:bookmarkStart w:id="263" w:name="ref-fda2021registries"/>
    <w:p>
      <w:pPr>
        <w:pStyle w:val="Bibliography"/>
      </w:pPr>
      <w:r>
        <w:t xml:space="preserve">———. 2021.</w:t>
      </w:r>
      <w:r>
        <w:t xml:space="preserve"> </w:t>
      </w:r>
      <w:r>
        <w:t xml:space="preserve">“Real-World Data: Assessing Registries to Support Regulatory Decision-Making for Drug and Biological Products.”</w:t>
      </w:r>
      <w:r>
        <w:t xml:space="preserve"> </w:t>
      </w:r>
      <w:hyperlink r:id="rId262">
        <w:r>
          <w:rPr>
            <w:rStyle w:val="Hyperlink"/>
          </w:rPr>
          <w:t xml:space="preserve">https://www.fda.gov/regulatory-information/search-fda-guidance-documents/real-world-data-assessing-registries-support-regulatory-decision-making-drug-and-biological-products</w:t>
        </w:r>
      </w:hyperlink>
      <w:r>
        <w:t xml:space="preserve">.</w:t>
      </w:r>
    </w:p>
    <w:bookmarkEnd w:id="263"/>
    <w:bookmarkStart w:id="265" w:name="ref-fda2024considerations"/>
    <w:p>
      <w:pPr>
        <w:pStyle w:val="Bibliography"/>
      </w:pPr>
      <w:r>
        <w:t xml:space="preserve">———. 2024a.</w:t>
      </w:r>
      <w:r>
        <w:t xml:space="preserve"> </w:t>
      </w:r>
      <w:r>
        <w:t xml:space="preserve">“Considerations for the Use of Real-World Data and Real-World Evidence to Support Regulatory Decision-Making for Drug and Biological Products.”</w:t>
      </w:r>
      <w:r>
        <w:t xml:space="preserve"> </w:t>
      </w:r>
      <w:hyperlink r:id="rId264">
        <w:r>
          <w:rPr>
            <w:rStyle w:val="Hyperlink"/>
          </w:rPr>
          <w:t xml:space="preserve">https://www.fda.gov/regulatory-information/search-fda-guidance-documents/considerations-use-real-world-data-and-real-world-evidence-support-regulatory-decision-making-drug</w:t>
        </w:r>
      </w:hyperlink>
      <w:r>
        <w:t xml:space="preserve">.</w:t>
      </w:r>
    </w:p>
    <w:bookmarkEnd w:id="265"/>
    <w:bookmarkStart w:id="267" w:name="ref-fda2024ehrclaims"/>
    <w:p>
      <w:pPr>
        <w:pStyle w:val="Bibliography"/>
      </w:pPr>
      <w:r>
        <w:t xml:space="preserve">———. 2024b.</w:t>
      </w:r>
      <w:r>
        <w:t xml:space="preserve"> </w:t>
      </w:r>
      <w:r>
        <w:t xml:space="preserve">“Real-World Data: Assessing Electronic Health Records and Medical Claims Data to Support Regulatory Decision-Making for Drug and Biological Products.”</w:t>
      </w:r>
      <w:r>
        <w:t xml:space="preserve"> </w:t>
      </w:r>
      <w:hyperlink r:id="rId266">
        <w:r>
          <w:rPr>
            <w:rStyle w:val="Hyperlink"/>
          </w:rPr>
          <w:t xml:space="preserve">https://www.fda.gov/regulatory-information/search-fda-guidance-documents/real-world-data-assessing-electronic-health-records-and-medical-claims-data-support-regulatory</w:t>
        </w:r>
      </w:hyperlink>
      <w:r>
        <w:t xml:space="preserve">.</w:t>
      </w:r>
    </w:p>
    <w:bookmarkEnd w:id="267"/>
    <w:bookmarkStart w:id="269" w:name="ref-fda2024noninterventional"/>
    <w:p>
      <w:pPr>
        <w:pStyle w:val="Bibliography"/>
      </w:pPr>
      <w:r>
        <w:t xml:space="preserve">———. 2024c.</w:t>
      </w:r>
      <w:r>
        <w:t xml:space="preserve"> </w:t>
      </w:r>
      <w:r>
        <w:t xml:space="preserve">“Real-World Evidence: Considerations Regarding Non-Interventional Studies for Drug and Biological Products.”</w:t>
      </w:r>
      <w:r>
        <w:t xml:space="preserve"> </w:t>
      </w:r>
      <w:hyperlink r:id="rId268">
        <w:r>
          <w:rPr>
            <w:rStyle w:val="Hyperlink"/>
          </w:rPr>
          <w:t xml:space="preserve">https://www.fda.gov/regulatory-information/search-fda-guidance-documents/real-world-evidence-considerations-regarding-non-interventional-studies-drug-and-biological-products</w:t>
        </w:r>
      </w:hyperlink>
      <w:r>
        <w:t xml:space="preserve">.</w:t>
      </w:r>
    </w:p>
    <w:bookmarkEnd w:id="269"/>
    <w:bookmarkStart w:id="271" w:name="ref-vanderWeele2017evalue"/>
    <w:p>
      <w:pPr>
        <w:pStyle w:val="Bibliography"/>
      </w:pPr>
      <w:r>
        <w:t xml:space="preserve">VanderWeele, Tyler J., and Peng Ding. 2017.</w:t>
      </w:r>
      <w:r>
        <w:t xml:space="preserve"> </w:t>
      </w:r>
      <w:r>
        <w:t xml:space="preserve">“Sensitivity Analysis in Observational Research: Introducing the</w:t>
      </w:r>
      <w:r>
        <w:t xml:space="preserve"> </w:t>
      </w:r>
      <w:r>
        <w:t xml:space="preserve">E</w:t>
      </w:r>
      <w:r>
        <w:t xml:space="preserve">-Value.”</w:t>
      </w:r>
      <w:r>
        <w:t xml:space="preserve"> </w:t>
      </w:r>
      <w:r>
        <w:rPr>
          <w:i/>
          <w:iCs/>
        </w:rPr>
        <w:t xml:space="preserve">Annals of Internal Medicine</w:t>
      </w:r>
      <w:r>
        <w:t xml:space="preserve"> </w:t>
      </w:r>
      <w:r>
        <w:t xml:space="preserve">167 (4): 268–74.</w:t>
      </w:r>
      <w:r>
        <w:t xml:space="preserve"> </w:t>
      </w:r>
      <w:hyperlink r:id="rId270">
        <w:r>
          <w:rPr>
            <w:rStyle w:val="Hyperlink"/>
          </w:rPr>
          <w:t xml:space="preserve">https://doi.org/10.7326/M16-2607</w:t>
        </w:r>
      </w:hyperlink>
      <w:r>
        <w:t xml:space="preserve">.</w:t>
      </w:r>
    </w:p>
    <w:bookmarkEnd w:id="271"/>
    <w:bookmarkStart w:id="273" w:name="ref-wang2021startrwe"/>
    <w:p>
      <w:pPr>
        <w:pStyle w:val="Bibliography"/>
      </w:pPr>
      <w:r>
        <w:t xml:space="preserve">Wang, Shirley V., Sebastian Pinheiro, Wei Hua, Peter Arlett, Yoshiaki Uyama, Jesse A. Berlin, Dorothee B. Bartels, Kristijan H. Kahler, Lily G. Bessette, and Sebastian Schneeweiss. 2021.</w:t>
      </w:r>
      <w:r>
        <w:t xml:space="preserve"> </w:t>
      </w:r>
      <w:r>
        <w:t xml:space="preserve">“</w:t>
      </w:r>
      <w:r>
        <w:t xml:space="preserve">STaRT-RWE</w:t>
      </w:r>
      <w:r>
        <w:t xml:space="preserve">: Structured Template for Planning and Reporting on the Implementation of Real World Evidence Studies.”</w:t>
      </w:r>
      <w:r>
        <w:t xml:space="preserve"> </w:t>
      </w:r>
      <w:r>
        <w:rPr>
          <w:i/>
          <w:iCs/>
        </w:rPr>
        <w:t xml:space="preserve">BMJ</w:t>
      </w:r>
      <w:r>
        <w:t xml:space="preserve"> </w:t>
      </w:r>
      <w:r>
        <w:t xml:space="preserve">372: m4856.</w:t>
      </w:r>
      <w:r>
        <w:t xml:space="preserve"> </w:t>
      </w:r>
      <w:hyperlink r:id="rId272">
        <w:r>
          <w:rPr>
            <w:rStyle w:val="Hyperlink"/>
          </w:rPr>
          <w:t xml:space="preserve">https://doi.org/10.1136/bmj.m4856</w:t>
        </w:r>
      </w:hyperlink>
      <w:r>
        <w:t xml:space="preserve">.</w:t>
      </w:r>
    </w:p>
    <w:bookmarkEnd w:id="273"/>
    <w:bookmarkStart w:id="275" w:name="ref-wang2023harper"/>
    <w:p>
      <w:pPr>
        <w:pStyle w:val="Bibliography"/>
      </w:pPr>
      <w:r>
        <w:t xml:space="preserve">Wang, Shirley V., Sushama Sreedhara, and Sebastian Schneeweiss. 2023.</w:t>
      </w:r>
      <w:r>
        <w:t xml:space="preserve"> </w:t>
      </w:r>
      <w:r>
        <w:t xml:space="preserve">“</w:t>
      </w:r>
      <w:r>
        <w:t xml:space="preserve">HARPER</w:t>
      </w:r>
      <w:r>
        <w:t xml:space="preserve">: Recommendations for the Development and Reporting of Pharmacoepidemiologic Studies Using Real-World Data.”</w:t>
      </w:r>
      <w:r>
        <w:t xml:space="preserve"> </w:t>
      </w:r>
      <w:r>
        <w:rPr>
          <w:i/>
          <w:iCs/>
        </w:rPr>
        <w:t xml:space="preserve">Pharmacoepidemiology and Drug Safety</w:t>
      </w:r>
      <w:r>
        <w:t xml:space="preserve">.</w:t>
      </w:r>
      <w:r>
        <w:t xml:space="preserve"> </w:t>
      </w:r>
      <w:hyperlink r:id="rId274">
        <w:r>
          <w:rPr>
            <w:rStyle w:val="Hyperlink"/>
          </w:rPr>
          <w:t xml:space="preserve">https://doi.org/10.1002/pds.5642</w:t>
        </w:r>
      </w:hyperlink>
      <w:r>
        <w:t xml:space="preserve">.</w:t>
      </w:r>
    </w:p>
    <w:bookmarkEnd w:id="275"/>
    <w:bookmarkStart w:id="276" w:name="ref-lmtppackage2021"/>
    <w:p>
      <w:pPr>
        <w:pStyle w:val="Bibliography"/>
      </w:pPr>
      <w:r>
        <w:t xml:space="preserve">Williams, Nicholas T., and Iván Dı́az. 2021.</w:t>
      </w:r>
      <w:r>
        <w:t xml:space="preserve"> </w:t>
      </w:r>
      <w:r>
        <w:t xml:space="preserve">“Lmtp: Non-Parametric Causal Effects of Feasible Interventions Based on Modified Treatment Policies.”</w:t>
      </w:r>
    </w:p>
    <w:bookmarkEnd w:id="276"/>
    <w:bookmarkStart w:id="278" w:name="ref-wilson1998gose"/>
    <w:p>
      <w:pPr>
        <w:pStyle w:val="Bibliography"/>
      </w:pPr>
      <w:r>
        <w:t xml:space="preserve">Wilson, J. T. Lindsay, Laura E. L. Pettigrew, and Graham M. Teasdale. 1998.</w:t>
      </w:r>
      <w:r>
        <w:t xml:space="preserve"> </w:t>
      </w:r>
      <w:r>
        <w:t xml:space="preserve">“Structured Interviews for the</w:t>
      </w:r>
      <w:r>
        <w:t xml:space="preserve"> </w:t>
      </w:r>
      <w:r>
        <w:t xml:space="preserve">G</w:t>
      </w:r>
      <w:r>
        <w:t xml:space="preserve">lasgow</w:t>
      </w:r>
      <w:r>
        <w:t xml:space="preserve"> </w:t>
      </w:r>
      <w:r>
        <w:t xml:space="preserve">O</w:t>
      </w:r>
      <w:r>
        <w:t xml:space="preserve">utcome</w:t>
      </w:r>
      <w:r>
        <w:t xml:space="preserve"> </w:t>
      </w:r>
      <w:r>
        <w:t xml:space="preserve">S</w:t>
      </w:r>
      <w:r>
        <w:t xml:space="preserve">cale and the Extended</w:t>
      </w:r>
      <w:r>
        <w:t xml:space="preserve"> </w:t>
      </w:r>
      <w:r>
        <w:t xml:space="preserve">G</w:t>
      </w:r>
      <w:r>
        <w:t xml:space="preserve">lasgow</w:t>
      </w:r>
      <w:r>
        <w:t xml:space="preserve"> </w:t>
      </w:r>
      <w:r>
        <w:t xml:space="preserve">O</w:t>
      </w:r>
      <w:r>
        <w:t xml:space="preserve">utcome</w:t>
      </w:r>
      <w:r>
        <w:t xml:space="preserve"> </w:t>
      </w:r>
      <w:r>
        <w:t xml:space="preserve">S</w:t>
      </w:r>
      <w:r>
        <w:t xml:space="preserve">cale: Guidelines for Their Use.”</w:t>
      </w:r>
      <w:r>
        <w:t xml:space="preserve"> </w:t>
      </w:r>
      <w:r>
        <w:rPr>
          <w:i/>
          <w:iCs/>
        </w:rPr>
        <w:t xml:space="preserve">Journal of Neurotrauma</w:t>
      </w:r>
      <w:r>
        <w:t xml:space="preserve"> </w:t>
      </w:r>
      <w:r>
        <w:t xml:space="preserve">15 (8): 573–85.</w:t>
      </w:r>
      <w:r>
        <w:t xml:space="preserve"> </w:t>
      </w:r>
      <w:hyperlink r:id="rId277">
        <w:r>
          <w:rPr>
            <w:rStyle w:val="Hyperlink"/>
          </w:rPr>
          <w:t xml:space="preserve">https://doi.org/10.1089/neu.1998.15.573</w:t>
        </w:r>
      </w:hyperlink>
      <w:r>
        <w:t xml:space="preserve">.</w:t>
      </w:r>
    </w:p>
    <w:bookmarkEnd w:id="278"/>
    <w:bookmarkStart w:id="280" w:name="ref-zhang2019balance"/>
    <w:p>
      <w:pPr>
        <w:pStyle w:val="Bibliography"/>
      </w:pPr>
      <w:r>
        <w:t xml:space="preserve">Zhang, Zhongheng, Hwa Jung Kim, Guillaume Lonjon, Yibing Zhu, and written on behalf of AME Big-Data Clinical Trial Collaborative Group. 2019.</w:t>
      </w:r>
      <w:r>
        <w:t xml:space="preserve"> </w:t>
      </w:r>
      <w:r>
        <w:t xml:space="preserve">“Balance Diagnostics After Propensity Score Matching.”</w:t>
      </w:r>
      <w:r>
        <w:t xml:space="preserve"> </w:t>
      </w:r>
      <w:r>
        <w:rPr>
          <w:i/>
          <w:iCs/>
        </w:rPr>
        <w:t xml:space="preserve">Annals of Translational Medicine</w:t>
      </w:r>
      <w:r>
        <w:t xml:space="preserve"> </w:t>
      </w:r>
      <w:r>
        <w:t xml:space="preserve">7 (1): 16.</w:t>
      </w:r>
      <w:r>
        <w:t xml:space="preserve"> </w:t>
      </w:r>
      <w:hyperlink r:id="rId279">
        <w:r>
          <w:rPr>
            <w:rStyle w:val="Hyperlink"/>
          </w:rPr>
          <w:t xml:space="preserve">https://doi.org/10.21037/atm.2018.12.10</w:t>
        </w:r>
      </w:hyperlink>
      <w:r>
        <w:t xml:space="preserve">.</w:t>
      </w:r>
    </w:p>
    <w:bookmarkEnd w:id="280"/>
    <w:bookmarkStart w:id="281" w:name="ref-zheng2011crossvalidated"/>
    <w:p>
      <w:pPr>
        <w:pStyle w:val="Bibliography"/>
      </w:pPr>
      <w:r>
        <w:t xml:space="preserve">Zheng, Wenjing, and Mark J. van der Laan. 2011.</w:t>
      </w:r>
      <w:r>
        <w:t xml:space="preserve"> </w:t>
      </w:r>
      <w:r>
        <w:t xml:space="preserve">“Cross-Validated Targeted Minimum-Loss-Based Estimation.”</w:t>
      </w:r>
      <w:r>
        <w:t xml:space="preserve"> </w:t>
      </w:r>
      <w:r>
        <w:t xml:space="preserve">In</w:t>
      </w:r>
      <w:r>
        <w:t xml:space="preserve"> </w:t>
      </w:r>
      <w:r>
        <w:rPr>
          <w:i/>
          <w:iCs/>
        </w:rPr>
        <w:t xml:space="preserve">Targeted Learning: Causal Inference for Observational and Experimental Data</w:t>
      </w:r>
      <w:r>
        <w:t xml:space="preserve">, 459–74. Springer.</w:t>
      </w:r>
    </w:p>
    <w:bookmarkEnd w:id="281"/>
    <w:bookmarkEnd w:id="282"/>
    <w:p>
      <w:pPr>
        <w:pStyle w:val="SourceCode"/>
      </w:pPr>
      <w:r>
        <w:rPr>
          <w:rStyle w:val="VerbatimChar"/>
        </w:rPr>
        <w:t xml:space="preserve">R&gt;  R version 4.4.2 (2024-10-31 ucrt)</w:t>
      </w:r>
      <w:r>
        <w:br/>
      </w:r>
      <w:r>
        <w:rPr>
          <w:rStyle w:val="VerbatimChar"/>
        </w:rPr>
        <w:t xml:space="preserve">R&gt;  Platform: x86_64-w64-mingw32/x64</w:t>
      </w:r>
      <w:r>
        <w:br/>
      </w:r>
      <w:r>
        <w:rPr>
          <w:rStyle w:val="VerbatimChar"/>
        </w:rPr>
        <w:t xml:space="preserve">R&gt;  Running under: Windows 11 x64 (build 26200)</w:t>
      </w:r>
      <w:r>
        <w:br/>
      </w:r>
      <w:r>
        <w:rPr>
          <w:rStyle w:val="VerbatimChar"/>
        </w:rPr>
        <w:t xml:space="preserve">R&gt;  </w:t>
      </w:r>
      <w:r>
        <w:br/>
      </w:r>
      <w:r>
        <w:rPr>
          <w:rStyle w:val="VerbatimChar"/>
        </w:rPr>
        <w:t xml:space="preserve">R&gt;  Matrix products: default</w:t>
      </w:r>
      <w:r>
        <w:br/>
      </w:r>
      <w:r>
        <w:rPr>
          <w:rStyle w:val="VerbatimChar"/>
        </w:rPr>
        <w:t xml:space="preserve">R&gt;  </w:t>
      </w:r>
      <w:r>
        <w:br/>
      </w:r>
      <w:r>
        <w:rPr>
          <w:rStyle w:val="VerbatimChar"/>
        </w:rPr>
        <w:t xml:space="preserve">R&gt;  </w:t>
      </w:r>
      <w:r>
        <w:br/>
      </w:r>
      <w:r>
        <w:rPr>
          <w:rStyle w:val="VerbatimChar"/>
        </w:rPr>
        <w:t xml:space="preserve">R&gt;  locale:</w:t>
      </w:r>
      <w:r>
        <w:br/>
      </w:r>
      <w:r>
        <w:rPr>
          <w:rStyle w:val="VerbatimChar"/>
        </w:rPr>
        <w:t xml:space="preserve">R&gt;  [1] LC_COLLATE=English_United States.utf8 </w:t>
      </w:r>
      <w:r>
        <w:br/>
      </w:r>
      <w:r>
        <w:rPr>
          <w:rStyle w:val="VerbatimChar"/>
        </w:rPr>
        <w:t xml:space="preserve">R&gt;  [2] LC_CTYPE=English_United States.utf8   </w:t>
      </w:r>
      <w:r>
        <w:br/>
      </w:r>
      <w:r>
        <w:rPr>
          <w:rStyle w:val="VerbatimChar"/>
        </w:rPr>
        <w:t xml:space="preserve">R&gt;  [3] LC_MONETARY=English_United States.utf8</w:t>
      </w:r>
      <w:r>
        <w:br/>
      </w:r>
      <w:r>
        <w:rPr>
          <w:rStyle w:val="VerbatimChar"/>
        </w:rPr>
        <w:t xml:space="preserve">R&gt;  [4] LC_NUMERIC=C                          </w:t>
      </w:r>
      <w:r>
        <w:br/>
      </w:r>
      <w:r>
        <w:rPr>
          <w:rStyle w:val="VerbatimChar"/>
        </w:rPr>
        <w:t xml:space="preserve">R&gt;  [5] LC_TIME=English_United States.utf8    </w:t>
      </w:r>
      <w:r>
        <w:br/>
      </w:r>
      <w:r>
        <w:rPr>
          <w:rStyle w:val="VerbatimChar"/>
        </w:rPr>
        <w:t xml:space="preserve">R&gt;  </w:t>
      </w:r>
      <w:r>
        <w:br/>
      </w:r>
      <w:r>
        <w:rPr>
          <w:rStyle w:val="VerbatimChar"/>
        </w:rPr>
        <w:t xml:space="preserve">R&gt;  time zone: America/Los_Angeles</w:t>
      </w:r>
      <w:r>
        <w:br/>
      </w:r>
      <w:r>
        <w:rPr>
          <w:rStyle w:val="VerbatimChar"/>
        </w:rPr>
        <w:t xml:space="preserve">R&gt;  tzcode source: internal</w:t>
      </w:r>
      <w:r>
        <w:br/>
      </w:r>
      <w:r>
        <w:rPr>
          <w:rStyle w:val="VerbatimChar"/>
        </w:rPr>
        <w:t xml:space="preserve">R&gt;  </w:t>
      </w:r>
      <w:r>
        <w:br/>
      </w:r>
      <w:r>
        <w:rPr>
          <w:rStyle w:val="VerbatimChar"/>
        </w:rPr>
        <w:t xml:space="preserve">R&gt;  attached base packages:</w:t>
      </w:r>
      <w:r>
        <w:br/>
      </w:r>
      <w:r>
        <w:rPr>
          <w:rStyle w:val="VerbatimChar"/>
        </w:rPr>
        <w:t xml:space="preserve">R&gt;  [1] stats     graphics  grDevices utils     datasets  methods   base     </w:t>
      </w:r>
      <w:r>
        <w:br/>
      </w:r>
      <w:r>
        <w:rPr>
          <w:rStyle w:val="VerbatimChar"/>
        </w:rPr>
        <w:t xml:space="preserve">R&gt;  </w:t>
      </w:r>
      <w:r>
        <w:br/>
      </w:r>
      <w:r>
        <w:rPr>
          <w:rStyle w:val="VerbatimChar"/>
        </w:rPr>
        <w:t xml:space="preserve">R&gt;  other attached packages:</w:t>
      </w:r>
      <w:r>
        <w:br/>
      </w:r>
      <w:r>
        <w:rPr>
          <w:rStyle w:val="VerbatimChar"/>
        </w:rPr>
        <w:t xml:space="preserve">R&gt;  [1] cleanTMLE_0.2.0 ggplot2_4.0.3  </w:t>
      </w:r>
      <w:r>
        <w:br/>
      </w:r>
      <w:r>
        <w:rPr>
          <w:rStyle w:val="VerbatimChar"/>
        </w:rPr>
        <w:t xml:space="preserve">R&gt;  </w:t>
      </w:r>
      <w:r>
        <w:br/>
      </w:r>
      <w:r>
        <w:rPr>
          <w:rStyle w:val="VerbatimChar"/>
        </w:rPr>
        <w:t xml:space="preserve">R&gt;  loaded via a namespace (and not attached):</w:t>
      </w:r>
      <w:r>
        <w:br/>
      </w:r>
      <w:r>
        <w:rPr>
          <w:rStyle w:val="VerbatimChar"/>
        </w:rPr>
        <w:t xml:space="preserve">R&gt;   [1] Matrix_1.7-1       gtable_0.3.6       jsonlite_2.0.0     dplyr_1.2.1       </w:t>
      </w:r>
      <w:r>
        <w:br/>
      </w:r>
      <w:r>
        <w:rPr>
          <w:rStyle w:val="VerbatimChar"/>
        </w:rPr>
        <w:t xml:space="preserve">R&gt;   [5] compiler_4.4.2     tidyselect_1.2.1   gridExtra_2.3      png_0.1-8         </w:t>
      </w:r>
      <w:r>
        <w:br/>
      </w:r>
      <w:r>
        <w:rPr>
          <w:rStyle w:val="VerbatimChar"/>
        </w:rPr>
        <w:t xml:space="preserve">R&gt;   [9] splines_4.4.2      scales_1.4.0       yaml_2.3.12        fastmap_1.2.0     </w:t>
      </w:r>
      <w:r>
        <w:br/>
      </w:r>
      <w:r>
        <w:rPr>
          <w:rStyle w:val="VerbatimChar"/>
        </w:rPr>
        <w:t xml:space="preserve">R&gt;  [13] lattice_0.22-6     R6_2.6.1           labeling_0.4.3     generics_0.1.4    </w:t>
      </w:r>
      <w:r>
        <w:br/>
      </w:r>
      <w:r>
        <w:rPr>
          <w:rStyle w:val="VerbatimChar"/>
        </w:rPr>
        <w:t xml:space="preserve">R&gt;  [17] knitr_1.51         tibble_3.3.1       pillar_1.11.1      RColorBrewer_1.1-3</w:t>
      </w:r>
      <w:r>
        <w:br/>
      </w:r>
      <w:r>
        <w:rPr>
          <w:rStyle w:val="VerbatimChar"/>
        </w:rPr>
        <w:t xml:space="preserve">R&gt;  [21] rlang_1.3.0        xfun_0.60          S7_0.2.1           otel_0.2.0        </w:t>
      </w:r>
      <w:r>
        <w:br/>
      </w:r>
      <w:r>
        <w:rPr>
          <w:rStyle w:val="VerbatimChar"/>
        </w:rPr>
        <w:t xml:space="preserve">R&gt;  [25] cli_3.6.6          withr_3.0.3        magrittr_2.0.3     digest_0.6.39     </w:t>
      </w:r>
      <w:r>
        <w:br/>
      </w:r>
      <w:r>
        <w:rPr>
          <w:rStyle w:val="VerbatimChar"/>
        </w:rPr>
        <w:t xml:space="preserve">R&gt;  [29] grid_4.4.2         sandwich_3.1-1     lifecycle_1.0.5    vctrs_0.7.1       </w:t>
      </w:r>
      <w:r>
        <w:br/>
      </w:r>
      <w:r>
        <w:rPr>
          <w:rStyle w:val="VerbatimChar"/>
        </w:rPr>
        <w:t xml:space="preserve">R&gt;  [33] evaluate_1.0.5     glue_1.8.0         farver_2.1.2       zoo_1.8-15        </w:t>
      </w:r>
      <w:r>
        <w:br/>
      </w:r>
      <w:r>
        <w:rPr>
          <w:rStyle w:val="VerbatimChar"/>
        </w:rPr>
        <w:t xml:space="preserve">R&gt;  [37] survival_3.7-0     rmarkdown_2.31     tools_4.4.2        pkgconfig_2.0.3   </w:t>
      </w:r>
      <w:r>
        <w:br/>
      </w:r>
      <w:r>
        <w:rPr>
          <w:rStyle w:val="VerbatimChar"/>
        </w:rPr>
        <w:t xml:space="preserve">R&gt;  [41] htmltools_0.5.9</w:t>
      </w:r>
    </w:p>
    <w:bookmarkEnd w:id="2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09" Target="media/rId109.png" /><Relationship Type="http://schemas.openxmlformats.org/officeDocument/2006/relationships/image" Id="rId170" Target="media/rId170.png" /><Relationship Type="http://schemas.openxmlformats.org/officeDocument/2006/relationships/image" Id="rId166" Target="media/rId166.png" /><Relationship Type="http://schemas.openxmlformats.org/officeDocument/2006/relationships/image" Id="rId82" Target="media/rId82.png" /><Relationship Type="http://schemas.openxmlformats.org/officeDocument/2006/relationships/image" Id="rId102" Target="media/rId102.png" /><Relationship Type="http://schemas.openxmlformats.org/officeDocument/2006/relationships/image" Id="rId78" Target="media/rId78.png" /><Relationship Type="http://schemas.openxmlformats.org/officeDocument/2006/relationships/image" Id="rId90" Target="media/rId90.png" /><Relationship Type="http://schemas.openxmlformats.org/officeDocument/2006/relationships/image" Id="rId86" Target="media/rId86.png" /><Relationship Type="http://schemas.openxmlformats.org/officeDocument/2006/relationships/hyperlink" Id="rId236" Target="https://doi.org/10.1002/cpt.2399" TargetMode="External" /><Relationship Type="http://schemas.openxmlformats.org/officeDocument/2006/relationships/hyperlink" Id="rId203" Target="https://doi.org/10.1002/cpt.2466" TargetMode="External" /><Relationship Type="http://schemas.openxmlformats.org/officeDocument/2006/relationships/hyperlink" Id="rId205" Target="https://doi.org/10.1002/cpt.2883" TargetMode="External" /><Relationship Type="http://schemas.openxmlformats.org/officeDocument/2006/relationships/hyperlink" Id="rId230" Target="https://doi.org/10.1002/pds.5623" TargetMode="External" /><Relationship Type="http://schemas.openxmlformats.org/officeDocument/2006/relationships/hyperlink" Id="rId274" Target="https://doi.org/10.1002/pds.5642" TargetMode="External" /><Relationship Type="http://schemas.openxmlformats.org/officeDocument/2006/relationships/hyperlink" Id="rId239" Target="https://doi.org/10.1002/pds.5770" TargetMode="External" /><Relationship Type="http://schemas.openxmlformats.org/officeDocument/2006/relationships/hyperlink" Id="rId183" Target="https://doi.org/10.1002/sim.3697" TargetMode="External" /><Relationship Type="http://schemas.openxmlformats.org/officeDocument/2006/relationships/hyperlink" Id="rId224" Target="https://doi.org/10.1007/978-1-4419-9782-1" TargetMode="External" /><Relationship Type="http://schemas.openxmlformats.org/officeDocument/2006/relationships/hyperlink" Id="rId201" Target="https://doi.org/10.1016/j.csda.2013.10.018" TargetMode="External" /><Relationship Type="http://schemas.openxmlformats.org/officeDocument/2006/relationships/hyperlink" Id="rId192" Target="https://doi.org/10.1017/cts.2023.635" TargetMode="External" /><Relationship Type="http://schemas.openxmlformats.org/officeDocument/2006/relationships/hyperlink" Id="rId207" Target="https://doi.org/10.1080/19466315.2022.2116104" TargetMode="External" /><Relationship Type="http://schemas.openxmlformats.org/officeDocument/2006/relationships/hyperlink" Id="rId211" Target="https://doi.org/10.1080/19466315.2023.2182356" TargetMode="External" /><Relationship Type="http://schemas.openxmlformats.org/officeDocument/2006/relationships/hyperlink" Id="rId277" Target="https://doi.org/10.1089/neu.1998.15.573" TargetMode="External" /><Relationship Type="http://schemas.openxmlformats.org/officeDocument/2006/relationships/hyperlink" Id="rId213" Target="https://doi.org/10.1093/aje/kwv254" TargetMode="External" /><Relationship Type="http://schemas.openxmlformats.org/officeDocument/2006/relationships/hyperlink" Id="rId254" Target="https://doi.org/10.1093/aje/kww165" TargetMode="External" /><Relationship Type="http://schemas.openxmlformats.org/officeDocument/2006/relationships/hyperlink" Id="rId247" Target="https://doi.org/10.1093/ije/dyad023" TargetMode="External" /><Relationship Type="http://schemas.openxmlformats.org/officeDocument/2006/relationships/hyperlink" Id="rId228" Target="https://doi.org/10.1093/ije/dyu149" TargetMode="External" /><Relationship Type="http://schemas.openxmlformats.org/officeDocument/2006/relationships/hyperlink" Id="rId244" Target="https://doi.org/10.1097/EDE.0000000000000078" TargetMode="External" /><Relationship Type="http://schemas.openxmlformats.org/officeDocument/2006/relationships/hyperlink" Id="rId233" Target="https://doi.org/10.1097/EDE.0b013e3181d61eeb" TargetMode="External" /><Relationship Type="http://schemas.openxmlformats.org/officeDocument/2006/relationships/hyperlink" Id="rId188" Target="https://doi.org/10.1111/ectj.12097" TargetMode="External" /><Relationship Type="http://schemas.openxmlformats.org/officeDocument/2006/relationships/hyperlink" Id="rId186" Target="https://doi.org/10.1136/bmj-2024-080483" TargetMode="External" /><Relationship Type="http://schemas.openxmlformats.org/officeDocument/2006/relationships/hyperlink" Id="rId272" Target="https://doi.org/10.1136/bmj.m4856" TargetMode="External" /><Relationship Type="http://schemas.openxmlformats.org/officeDocument/2006/relationships/hyperlink" Id="rId209" Target="https://doi.org/10.1186/s12874-024-02244-z" TargetMode="External" /><Relationship Type="http://schemas.openxmlformats.org/officeDocument/2006/relationships/hyperlink" Id="rId258" Target="https://doi.org/10.1198/000313002753631330" TargetMode="External" /><Relationship Type="http://schemas.openxmlformats.org/officeDocument/2006/relationships/hyperlink" Id="rId219" Target="https://doi.org/10.13063/2327-9214.1244" TargetMode="External" /><Relationship Type="http://schemas.openxmlformats.org/officeDocument/2006/relationships/hyperlink" Id="rId194" Target="https://doi.org/10.1515/ijb-2013-0004" TargetMode="External" /><Relationship Type="http://schemas.openxmlformats.org/officeDocument/2006/relationships/hyperlink" Id="rId279" Target="https://doi.org/10.21037/atm.2018.12.10" TargetMode="External" /><Relationship Type="http://schemas.openxmlformats.org/officeDocument/2006/relationships/hyperlink" Id="rId222" Target="https://doi.org/10.2202/1544-6115.1309" TargetMode="External" /><Relationship Type="http://schemas.openxmlformats.org/officeDocument/2006/relationships/hyperlink" Id="rId226" Target="https://doi.org/10.2202/1557-4679.1043" TargetMode="External" /><Relationship Type="http://schemas.openxmlformats.org/officeDocument/2006/relationships/hyperlink" Id="rId181" Target="https://doi.org/10.3982/ECTA5444" TargetMode="External" /><Relationship Type="http://schemas.openxmlformats.org/officeDocument/2006/relationships/hyperlink" Id="rId270" Target="https://doi.org/10.7326/M16-2607" TargetMode="External" /><Relationship Type="http://schemas.openxmlformats.org/officeDocument/2006/relationships/hyperlink" Id="rId159" Target="https://github.com/amertens/clean-room-sim" TargetMode="External" /><Relationship Type="http://schemas.openxmlformats.org/officeDocument/2006/relationships/hyperlink" Id="rId158" Target="https://github.com/amertens/cleanTMLE" TargetMode="External" /><Relationship Type="http://schemas.openxmlformats.org/officeDocument/2006/relationships/hyperlink" Id="rId249" Target="https://www.R-project.org/" TargetMode="External" /><Relationship Type="http://schemas.openxmlformats.org/officeDocument/2006/relationships/hyperlink" Id="rId198" Target="https://www.ema.europa.eu/en/about-us/how-we-work/big-data/real-world-evidence" TargetMode="External" /><Relationship Type="http://schemas.openxmlformats.org/officeDocument/2006/relationships/hyperlink" Id="rId196" Target="https://www.ema.europa.eu/en/guideline-registry-based-studies-scientific-guideline" TargetMode="External" /><Relationship Type="http://schemas.openxmlformats.org/officeDocument/2006/relationships/hyperlink" Id="rId260" Target="https://www.fda.gov/media/120060/download" TargetMode="External" /><Relationship Type="http://schemas.openxmlformats.org/officeDocument/2006/relationships/hyperlink" Id="rId264" Target="https://www.fda.gov/regulatory-information/search-fda-guidance-documents/considerations-use-real-world-data-and-real-world-evidence-support-regulatory-decision-making-drug" TargetMode="External" /><Relationship Type="http://schemas.openxmlformats.org/officeDocument/2006/relationships/hyperlink" Id="rId266" Target="https://www.fda.gov/regulatory-information/search-fda-guidance-documents/real-world-data-assessing-electronic-health-records-and-medical-claims-data-support-regulatory" TargetMode="External" /><Relationship Type="http://schemas.openxmlformats.org/officeDocument/2006/relationships/hyperlink" Id="rId262" Target="https://www.fda.gov/regulatory-information/search-fda-guidance-documents/real-world-data-assessing-registries-support-regulatory-decision-making-drug-and-biological-products" TargetMode="External" /><Relationship Type="http://schemas.openxmlformats.org/officeDocument/2006/relationships/hyperlink" Id="rId268" Target="https://www.fda.gov/regulatory-information/search-fda-guidance-documents/real-world-evidence-considerations-regarding-non-interventional-studies-drug-and-biological-products" TargetMode="External" /><Relationship Type="http://schemas.openxmlformats.org/officeDocument/2006/relationships/hyperlink" Id="rId242" Target="https://www.nice.org.uk/corporate/ecd9" TargetMode="External" /></Relationships>
</file>

<file path=word/_rels/footnotes.xml.rels><?xml version="1.0" encoding="UTF-8"?><Relationships xmlns="http://schemas.openxmlformats.org/package/2006/relationships"><Relationship Type="http://schemas.openxmlformats.org/officeDocument/2006/relationships/hyperlink" Id="rId236" Target="https://doi.org/10.1002/cpt.2399" TargetMode="External" /><Relationship Type="http://schemas.openxmlformats.org/officeDocument/2006/relationships/hyperlink" Id="rId203" Target="https://doi.org/10.1002/cpt.2466" TargetMode="External" /><Relationship Type="http://schemas.openxmlformats.org/officeDocument/2006/relationships/hyperlink" Id="rId205" Target="https://doi.org/10.1002/cpt.2883" TargetMode="External" /><Relationship Type="http://schemas.openxmlformats.org/officeDocument/2006/relationships/hyperlink" Id="rId230" Target="https://doi.org/10.1002/pds.5623" TargetMode="External" /><Relationship Type="http://schemas.openxmlformats.org/officeDocument/2006/relationships/hyperlink" Id="rId274" Target="https://doi.org/10.1002/pds.5642" TargetMode="External" /><Relationship Type="http://schemas.openxmlformats.org/officeDocument/2006/relationships/hyperlink" Id="rId239" Target="https://doi.org/10.1002/pds.5770" TargetMode="External" /><Relationship Type="http://schemas.openxmlformats.org/officeDocument/2006/relationships/hyperlink" Id="rId183" Target="https://doi.org/10.1002/sim.3697" TargetMode="External" /><Relationship Type="http://schemas.openxmlformats.org/officeDocument/2006/relationships/hyperlink" Id="rId224" Target="https://doi.org/10.1007/978-1-4419-9782-1" TargetMode="External" /><Relationship Type="http://schemas.openxmlformats.org/officeDocument/2006/relationships/hyperlink" Id="rId201" Target="https://doi.org/10.1016/j.csda.2013.10.018" TargetMode="External" /><Relationship Type="http://schemas.openxmlformats.org/officeDocument/2006/relationships/hyperlink" Id="rId192" Target="https://doi.org/10.1017/cts.2023.635" TargetMode="External" /><Relationship Type="http://schemas.openxmlformats.org/officeDocument/2006/relationships/hyperlink" Id="rId207" Target="https://doi.org/10.1080/19466315.2022.2116104" TargetMode="External" /><Relationship Type="http://schemas.openxmlformats.org/officeDocument/2006/relationships/hyperlink" Id="rId211" Target="https://doi.org/10.1080/19466315.2023.2182356" TargetMode="External" /><Relationship Type="http://schemas.openxmlformats.org/officeDocument/2006/relationships/hyperlink" Id="rId277" Target="https://doi.org/10.1089/neu.1998.15.573" TargetMode="External" /><Relationship Type="http://schemas.openxmlformats.org/officeDocument/2006/relationships/hyperlink" Id="rId213" Target="https://doi.org/10.1093/aje/kwv254" TargetMode="External" /><Relationship Type="http://schemas.openxmlformats.org/officeDocument/2006/relationships/hyperlink" Id="rId254" Target="https://doi.org/10.1093/aje/kww165" TargetMode="External" /><Relationship Type="http://schemas.openxmlformats.org/officeDocument/2006/relationships/hyperlink" Id="rId247" Target="https://doi.org/10.1093/ije/dyad023" TargetMode="External" /><Relationship Type="http://schemas.openxmlformats.org/officeDocument/2006/relationships/hyperlink" Id="rId228" Target="https://doi.org/10.1093/ije/dyu149" TargetMode="External" /><Relationship Type="http://schemas.openxmlformats.org/officeDocument/2006/relationships/hyperlink" Id="rId244" Target="https://doi.org/10.1097/EDE.0000000000000078" TargetMode="External" /><Relationship Type="http://schemas.openxmlformats.org/officeDocument/2006/relationships/hyperlink" Id="rId233" Target="https://doi.org/10.1097/EDE.0b013e3181d61eeb" TargetMode="External" /><Relationship Type="http://schemas.openxmlformats.org/officeDocument/2006/relationships/hyperlink" Id="rId188" Target="https://doi.org/10.1111/ectj.12097" TargetMode="External" /><Relationship Type="http://schemas.openxmlformats.org/officeDocument/2006/relationships/hyperlink" Id="rId186" Target="https://doi.org/10.1136/bmj-2024-080483" TargetMode="External" /><Relationship Type="http://schemas.openxmlformats.org/officeDocument/2006/relationships/hyperlink" Id="rId272" Target="https://doi.org/10.1136/bmj.m4856" TargetMode="External" /><Relationship Type="http://schemas.openxmlformats.org/officeDocument/2006/relationships/hyperlink" Id="rId209" Target="https://doi.org/10.1186/s12874-024-02244-z" TargetMode="External" /><Relationship Type="http://schemas.openxmlformats.org/officeDocument/2006/relationships/hyperlink" Id="rId258" Target="https://doi.org/10.1198/000313002753631330" TargetMode="External" /><Relationship Type="http://schemas.openxmlformats.org/officeDocument/2006/relationships/hyperlink" Id="rId219" Target="https://doi.org/10.13063/2327-9214.1244" TargetMode="External" /><Relationship Type="http://schemas.openxmlformats.org/officeDocument/2006/relationships/hyperlink" Id="rId194" Target="https://doi.org/10.1515/ijb-2013-0004" TargetMode="External" /><Relationship Type="http://schemas.openxmlformats.org/officeDocument/2006/relationships/hyperlink" Id="rId279" Target="https://doi.org/10.21037/atm.2018.12.10" TargetMode="External" /><Relationship Type="http://schemas.openxmlformats.org/officeDocument/2006/relationships/hyperlink" Id="rId222" Target="https://doi.org/10.2202/1544-6115.1309" TargetMode="External" /><Relationship Type="http://schemas.openxmlformats.org/officeDocument/2006/relationships/hyperlink" Id="rId226" Target="https://doi.org/10.2202/1557-4679.1043" TargetMode="External" /><Relationship Type="http://schemas.openxmlformats.org/officeDocument/2006/relationships/hyperlink" Id="rId181" Target="https://doi.org/10.3982/ECTA5444" TargetMode="External" /><Relationship Type="http://schemas.openxmlformats.org/officeDocument/2006/relationships/hyperlink" Id="rId270" Target="https://doi.org/10.7326/M16-2607" TargetMode="External" /><Relationship Type="http://schemas.openxmlformats.org/officeDocument/2006/relationships/hyperlink" Id="rId159" Target="https://github.com/amertens/clean-room-sim" TargetMode="External" /><Relationship Type="http://schemas.openxmlformats.org/officeDocument/2006/relationships/hyperlink" Id="rId158" Target="https://github.com/amertens/cleanTMLE" TargetMode="External" /><Relationship Type="http://schemas.openxmlformats.org/officeDocument/2006/relationships/hyperlink" Id="rId249" Target="https://www.R-project.org/" TargetMode="External" /><Relationship Type="http://schemas.openxmlformats.org/officeDocument/2006/relationships/hyperlink" Id="rId198" Target="https://www.ema.europa.eu/en/about-us/how-we-work/big-data/real-world-evidence" TargetMode="External" /><Relationship Type="http://schemas.openxmlformats.org/officeDocument/2006/relationships/hyperlink" Id="rId196" Target="https://www.ema.europa.eu/en/guideline-registry-based-studies-scientific-guideline" TargetMode="External" /><Relationship Type="http://schemas.openxmlformats.org/officeDocument/2006/relationships/hyperlink" Id="rId260" Target="https://www.fda.gov/media/120060/download" TargetMode="External" /><Relationship Type="http://schemas.openxmlformats.org/officeDocument/2006/relationships/hyperlink" Id="rId264" Target="https://www.fda.gov/regulatory-information/search-fda-guidance-documents/considerations-use-real-world-data-and-real-world-evidence-support-regulatory-decision-making-drug" TargetMode="External" /><Relationship Type="http://schemas.openxmlformats.org/officeDocument/2006/relationships/hyperlink" Id="rId266" Target="https://www.fda.gov/regulatory-information/search-fda-guidance-documents/real-world-data-assessing-electronic-health-records-and-medical-claims-data-support-regulatory" TargetMode="External" /><Relationship Type="http://schemas.openxmlformats.org/officeDocument/2006/relationships/hyperlink" Id="rId262" Target="https://www.fda.gov/regulatory-information/search-fda-guidance-documents/real-world-data-assessing-registries-support-regulatory-decision-making-drug-and-biological-products" TargetMode="External" /><Relationship Type="http://schemas.openxmlformats.org/officeDocument/2006/relationships/hyperlink" Id="rId268" Target="https://www.fda.gov/regulatory-information/search-fda-guidance-documents/real-world-evidence-considerations-regarding-non-interventional-studies-drug-and-biological-products" TargetMode="External" /><Relationship Type="http://schemas.openxmlformats.org/officeDocument/2006/relationships/hyperlink" Id="rId242" Target="https://www.nice.org.uk/corporate/ecd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cleanTMLE: An R Package for Staged, Outcome-Blind Targeted Learning with Plasmode Data-Quality Stress Testing</dc:title>
  <dc:creator>Andrew Mertens</dc:creator>
  <cp:keywords/>
  <dcterms:created xsi:type="dcterms:W3CDTF">2026-09-14T10:54:22Z</dcterms:created>
  <dcterms:modified xsi:type="dcterms:W3CDTF">2026-09-14T10:54:22Z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hanging-indent">
    <vt:lpwstr>True</vt:lpwstr>
  </property>
  <property fmtid="{D5CDD505-2E9C-101B-9397-08002B2CF9AE}" pid="9" name="date">
    <vt:lpwstr>2026-09-14</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