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3.png" ContentType="image/png"/>
  <Override PartName="/word/media/rId84.png" ContentType="image/png"/>
  <Override PartName="/word/media/rId70.png" ContentType="image/png"/>
  <Override PartName="/word/media/rId7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cleanTMLE: An R Package for Staged, Outcome-Blind Targeted Learning with Plasmode Data-Quality Stress Testing</w:t>
      </w:r>
    </w:p>
    <w:p>
      <w:pPr>
        <w:pStyle w:val="Author"/>
      </w:pPr>
      <w:r>
        <w:t xml:space="preserve">Andrew Mertens</w:t>
      </w:r>
    </w:p>
    <w:p>
      <w:pPr>
        <w:pStyle w:val="Date"/>
      </w:pPr>
      <w:r>
        <w:t xml:space="preserve">2026-05-07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Real-world evidence studies often require many analytic decisions</w:t>
      </w:r>
      <w:r>
        <w:t xml:space="preserve"> </w:t>
      </w:r>
      <w:r>
        <w:t xml:space="preserve">before an effect estimate is produced: how to define the study</w:t>
      </w:r>
      <w:r>
        <w:t xml:space="preserve"> </w:t>
      </w:r>
      <w:r>
        <w:t xml:space="preserve">population, how to handle limited overlap, which estimator to use,</w:t>
      </w:r>
      <w:r>
        <w:t xml:space="preserve"> </w:t>
      </w:r>
      <w:r>
        <w:t xml:space="preserve">and how to assess whether the data are reliable enough for the</w:t>
      </w:r>
      <w:r>
        <w:t xml:space="preserve"> </w:t>
      </w:r>
      <w:r>
        <w:t xml:space="preserve">question. In practice, these decisions are commonly documented in</w:t>
      </w:r>
      <w:r>
        <w:t xml:space="preserve"> </w:t>
      </w:r>
      <w:r>
        <w:t xml:space="preserve">separate places. The causal question and target-trial design may</w:t>
      </w:r>
      <w:r>
        <w:t xml:space="preserve"> </w:t>
      </w:r>
      <w:r>
        <w:t xml:space="preserve">be described in a protocol, data fitness may be assessed in a</w:t>
      </w:r>
      <w:r>
        <w:t xml:space="preserve"> </w:t>
      </w:r>
      <w:r>
        <w:t xml:space="preserve">checklist, and estimator choice may be justified in a statistical</w:t>
      </w:r>
      <w:r>
        <w:t xml:space="preserve"> </w:t>
      </w:r>
      <w:r>
        <w:t xml:space="preserve">analysis plan. This separation makes it difficult for reviewers to</w:t>
      </w:r>
      <w:r>
        <w:t xml:space="preserve"> </w:t>
      </w:r>
      <w:r>
        <w:t xml:space="preserve">see how design assumptions, data limitations, and estimation</w:t>
      </w:r>
      <w:r>
        <w:t xml:space="preserve"> </w:t>
      </w:r>
      <w:r>
        <w:t xml:space="preserve">choices are connected.</w:t>
      </w:r>
    </w:p>
    <w:p>
      <w:pPr>
        <w:pStyle w:val="BodyText"/>
      </w:pPr>
      <w:r>
        <w:t xml:space="preserve">We present cleanTMLE, an R package that operationalises a staged,</w:t>
      </w:r>
      <w:r>
        <w:t xml:space="preserve"> </w:t>
      </w:r>
      <w:r>
        <w:t xml:space="preserve">outcome-blind targeted-learning workflow for binary point-treatment</w:t>
      </w:r>
      <w:r>
        <w:t xml:space="preserve"> </w:t>
      </w:r>
      <w:r>
        <w:t xml:space="preserve">studies. The package is situated inside the causal roadmap:</w:t>
      </w:r>
      <w:r>
        <w:t xml:space="preserve"> </w:t>
      </w:r>
      <w:r>
        <w:t xml:space="preserve">investigators first define the causal question, observed data,</w:t>
      </w:r>
      <w:r>
        <w:t xml:space="preserve"> </w:t>
      </w:r>
      <w:r>
        <w:t xml:space="preserve">identification assumptions, statistical estimand, and candidate</w:t>
      </w:r>
      <w:r>
        <w:t xml:space="preserve"> </w:t>
      </w:r>
      <w:r>
        <w:t xml:space="preserve">estimators, then use outcome-blind simulations to compare candidate</w:t>
      </w:r>
      <w:r>
        <w:t xml:space="preserve"> </w:t>
      </w:r>
      <w:r>
        <w:t xml:space="preserve">estimators before examining the observed treatment-outcome</w:t>
      </w:r>
      <w:r>
        <w:t xml:space="preserve"> </w:t>
      </w:r>
      <w:r>
        <w:t xml:space="preserve">association. cleanTMLE extends this workflow with a plasmode</w:t>
      </w:r>
      <w:r>
        <w:t xml:space="preserve"> </w:t>
      </w:r>
      <w:r>
        <w:t xml:space="preserve">data-quality stress test. Using the empirical covariate and</w:t>
      </w:r>
      <w:r>
        <w:t xml:space="preserve"> </w:t>
      </w:r>
      <w:r>
        <w:t xml:space="preserve">treatment structure, the package generates synthetic outcomes and</w:t>
      </w:r>
      <w:r>
        <w:t xml:space="preserve"> </w:t>
      </w:r>
      <w:r>
        <w:t xml:space="preserve">evaluates candidate estimators under prespecified threats,</w:t>
      </w:r>
      <w:r>
        <w:t xml:space="preserve"> </w:t>
      </w:r>
      <w:r>
        <w:t xml:space="preserve">including covariate missingness, exposure misclassification,</w:t>
      </w:r>
      <w:r>
        <w:t xml:space="preserve"> </w:t>
      </w:r>
      <w:r>
        <w:t xml:space="preserve">outcome misclassification, and unmeasured confounding.</w:t>
      </w:r>
    </w:p>
    <w:p>
      <w:pPr>
        <w:pStyle w:val="BodyText"/>
      </w:pPr>
      <w:r>
        <w:t xml:space="preserve">In Monte Carlo experiments, adjusted estimators recovered the true</w:t>
      </w:r>
      <w:r>
        <w:t xml:space="preserve"> </w:t>
      </w:r>
      <w:r>
        <w:t xml:space="preserve">risk difference under good overlap, and TMLE and cross-validated</w:t>
      </w:r>
      <w:r>
        <w:t xml:space="preserve"> </w:t>
      </w:r>
      <w:r>
        <w:t xml:space="preserve">TMLE remained approximately unbiased under marginal overlap. When</w:t>
      </w:r>
      <w:r>
        <w:t xml:space="preserve"> </w:t>
      </w:r>
      <w:r>
        <w:t xml:space="preserve">unmeasured confounding was introduced, all estimators were biased</w:t>
      </w:r>
      <w:r>
        <w:t xml:space="preserve"> </w:t>
      </w:r>
      <w:r>
        <w:t xml:space="preserve">in the same direction, and the prespecified pre-outcome decision</w:t>
      </w:r>
      <w:r>
        <w:t xml:space="preserve"> </w:t>
      </w:r>
      <w:r>
        <w:t xml:space="preserve">correctly returned STOP, illustrating that the workflow can</w:t>
      </w:r>
      <w:r>
        <w:t xml:space="preserve"> </w:t>
      </w:r>
      <w:r>
        <w:t xml:space="preserve">identify settings where the available data do not support the</w:t>
      </w:r>
      <w:r>
        <w:t xml:space="preserve"> </w:t>
      </w:r>
      <w:r>
        <w:t xml:space="preserve">causal estimand. The data-quality stress test further showed that</w:t>
      </w:r>
      <w:r>
        <w:t xml:space="preserve"> </w:t>
      </w:r>
      <w:r>
        <w:t xml:space="preserve">outcome misclassification and unmeasured confounding produced the</w:t>
      </w:r>
      <w:r>
        <w:t xml:space="preserve"> </w:t>
      </w:r>
      <w:r>
        <w:t xml:space="preserve">largest degradation in estimator performance.</w:t>
      </w:r>
    </w:p>
    <w:p>
      <w:pPr>
        <w:pStyle w:val="BodyText"/>
      </w:pPr>
      <w:r>
        <w:t xml:space="preserve">We also demonstrate the workflow in the Rescue.Co Kenya Trauma</w:t>
      </w:r>
      <w:r>
        <w:t xml:space="preserve"> </w:t>
      </w:r>
      <w:r>
        <w:t xml:space="preserve">Registry (n = 1,693; 24.6 % outcome missingness). Six estimators</w:t>
      </w:r>
      <w:r>
        <w:t xml:space="preserve"> </w:t>
      </w:r>
      <w:r>
        <w:t xml:space="preserve">agreed on direction, with risk differences from 0.026 to 0.037 in</w:t>
      </w:r>
      <w:r>
        <w:t xml:space="preserve"> </w:t>
      </w:r>
      <w:r>
        <w:t xml:space="preserve">favour of Rescue.Co transport, while the prespecified primary TMLE</w:t>
      </w:r>
      <w:r>
        <w:t xml:space="preserve"> </w:t>
      </w:r>
      <w:r>
        <w:t xml:space="preserve">interval crossed zero. This case study is a workflow demonstration,</w:t>
      </w:r>
      <w:r>
        <w:t xml:space="preserve"> </w:t>
      </w:r>
      <w:r>
        <w:t xml:space="preserve">not a causal claim. cleanTMLE does not replace target-trial design,</w:t>
      </w:r>
      <w:r>
        <w:t xml:space="preserve"> </w:t>
      </w:r>
      <w:r>
        <w:t xml:space="preserve">fit-for-purpose data review, validation studies, independent</w:t>
      </w:r>
      <w:r>
        <w:t xml:space="preserve"> </w:t>
      </w:r>
      <w:r>
        <w:t xml:space="preserve">governance, or post-outcome sensitivity analyses. Its contribution</w:t>
      </w:r>
      <w:r>
        <w:t xml:space="preserve"> </w:t>
      </w:r>
      <w:r>
        <w:t xml:space="preserve">is narrower: it turns prespecified targeted-learning decisions,</w:t>
      </w:r>
      <w:r>
        <w:t xml:space="preserve"> </w:t>
      </w:r>
      <w:r>
        <w:t xml:space="preserve">outcome-blind estimator selection, and data-quality stress testing</w:t>
      </w:r>
      <w:r>
        <w:t xml:space="preserve"> </w:t>
      </w:r>
      <w:r>
        <w:t xml:space="preserve">into reproducible, auditable software artifacts.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targeted maximum likelihood estimation, plasmode</w:t>
      </w:r>
      <w:r>
        <w:t xml:space="preserve"> </w:t>
      </w:r>
      <w:r>
        <w:t xml:space="preserve">simulation, real-world evidence, fit-for-purpose data, outcome-</w:t>
      </w:r>
      <w:r>
        <w:t xml:space="preserve"> </w:t>
      </w:r>
      <w:r>
        <w:t xml:space="preserve">blind analysis, R, statistical analysis plan, regulatory science.</w:t>
      </w:r>
    </w:p>
    <w:bookmarkEnd w:id="20"/>
    <w:bookmarkStart w:id="27" w:name="introduction"/>
    <w:p>
      <w:pPr>
        <w:pStyle w:val="Heading1"/>
      </w:pPr>
      <w:r>
        <w:t xml:space="preserve">1. Introduction</w:t>
      </w:r>
    </w:p>
    <w:bookmarkStart w:id="21" w:name="X2d9055429bcade42d1fa9cad455e8a37eb29cb6"/>
    <w:p>
      <w:pPr>
        <w:pStyle w:val="Heading2"/>
      </w:pPr>
      <w:r>
        <w:t xml:space="preserve">1.1 Prespecification and fit-for-purpose data in RWE</w:t>
      </w:r>
    </w:p>
    <w:p>
      <w:pPr>
        <w:pStyle w:val="FirstParagraph"/>
      </w:pPr>
      <w:r>
        <w:t xml:space="preserve">Outcome blinding and prespecification are governance tools, not</w:t>
      </w:r>
      <w:r>
        <w:t xml:space="preserve"> </w:t>
      </w:r>
      <w:r>
        <w:t xml:space="preserve">substitutes for causal design. In a real-world evidence (RWE) study</w:t>
      </w:r>
      <w:r>
        <w:t xml:space="preserve"> </w:t>
      </w:r>
      <w:r>
        <w:t xml:space="preserve">the analyst still has to define the target trial</w:t>
      </w:r>
      <w:r>
        <w:t xml:space="preserve"> </w:t>
      </w:r>
      <w:r>
        <w:t xml:space="preserve">(M. A. Hernán and Robins 2016; Miguel A. Hernán and Robins 2016)</w:t>
      </w:r>
      <w:r>
        <w:t xml:space="preserve">, specify a statistical</w:t>
      </w:r>
      <w:r>
        <w:t xml:space="preserve"> </w:t>
      </w:r>
      <w:r>
        <w:t xml:space="preserve">estimand consistent with the ICH E9(R1) framework</w:t>
      </w:r>
      <w:r>
        <w:t xml:space="preserve"> </w:t>
      </w:r>
      <w:r>
        <w:t xml:space="preserve">(International Council for Harmonisation 2019)</w:t>
      </w:r>
      <w:r>
        <w:t xml:space="preserve">,</w:t>
      </w:r>
      <w:r>
        <w:t xml:space="preserve"> </w:t>
      </w:r>
      <w:r>
        <w:t xml:space="preserve">justify identification from the available data, and defend the</w:t>
      </w:r>
      <w:r>
        <w:t xml:space="preserve"> </w:t>
      </w:r>
      <w:r>
        <w:t xml:space="preserve">relevance and reliability of the data source for the regulatory or</w:t>
      </w:r>
      <w:r>
        <w:t xml:space="preserve"> </w:t>
      </w:r>
      <w:r>
        <w:t xml:space="preserve">scientific question.</w:t>
      </w:r>
    </w:p>
    <w:p>
      <w:pPr>
        <w:pStyle w:val="BodyText"/>
      </w:pPr>
      <w:r>
        <w:t xml:space="preserve">Regulatory bodies have converged on this list. The FDA RWE</w:t>
      </w:r>
      <w:r>
        <w:t xml:space="preserve"> </w:t>
      </w:r>
      <w:r>
        <w:t xml:space="preserve">framework and its source-specific guidances cover</w:t>
      </w:r>
      <w:r>
        <w:t xml:space="preserve"> </w:t>
      </w:r>
      <w:r>
        <w:t xml:space="preserve">real-world data and evidence</w:t>
      </w:r>
      <w:r>
        <w:t xml:space="preserve"> </w:t>
      </w:r>
      <w:r>
        <w:t xml:space="preserve">(U.S. Food and Drug Administration 2018, 2024a)</w:t>
      </w:r>
      <w:r>
        <w:t xml:space="preserve">,</w:t>
      </w:r>
      <w:r>
        <w:t xml:space="preserve"> </w:t>
      </w:r>
      <w:r>
        <w:t xml:space="preserve">EHR and claims data</w:t>
      </w:r>
      <w:r>
        <w:t xml:space="preserve"> </w:t>
      </w:r>
      <w:r>
        <w:t xml:space="preserve">(U.S. Food and Drug Administration 2024b)</w:t>
      </w:r>
      <w:r>
        <w:t xml:space="preserve">, registries</w:t>
      </w:r>
      <w:r>
        <w:t xml:space="preserve"> </w:t>
      </w:r>
      <w:r>
        <w:t xml:space="preserve">(U.S. Food and Drug Administration 2021)</w:t>
      </w:r>
      <w:r>
        <w:t xml:space="preserve">, and non-interventional studies</w:t>
      </w:r>
      <w:r>
        <w:t xml:space="preserve"> </w:t>
      </w:r>
      <w:r>
        <w:t xml:space="preserve">(U.S. Food and Drug Administration 2024c)</w:t>
      </w:r>
      <w:r>
        <w:t xml:space="preserve">. The EMA materials add registry-based</w:t>
      </w:r>
      <w:r>
        <w:t xml:space="preserve"> </w:t>
      </w:r>
      <w:r>
        <w:t xml:space="preserve">studies</w:t>
      </w:r>
      <w:r>
        <w:t xml:space="preserve"> </w:t>
      </w:r>
      <w:r>
        <w:t xml:space="preserve">(European Medicines Agency 2021)</w:t>
      </w:r>
      <w:r>
        <w:t xml:space="preserve">, a regulator-led RWE guide</w:t>
      </w:r>
      <w:r>
        <w:t xml:space="preserve"> </w:t>
      </w:r>
      <w:r>
        <w:t xml:space="preserve">(European Medicines Agency 2024)</w:t>
      </w:r>
      <w:r>
        <w:t xml:space="preserve">, and an RWD data-quality framework</w:t>
      </w:r>
      <w:r>
        <w:t xml:space="preserve"> </w:t>
      </w:r>
      <w:r>
        <w:t xml:space="preserve">(European Medicines Agency 2026)</w:t>
      </w:r>
      <w:r>
        <w:t xml:space="preserve">. ICH M14 (March 2026) sets harmonised principles</w:t>
      </w:r>
      <w:r>
        <w:t xml:space="preserve"> </w:t>
      </w:r>
      <w:r>
        <w:t xml:space="preserve">for non-interventional studies that use real-world data for safety</w:t>
      </w:r>
      <w:r>
        <w:t xml:space="preserve"> </w:t>
      </w:r>
      <w:r>
        <w:t xml:space="preserve">assessment of medicines</w:t>
      </w:r>
      <w:r>
        <w:t xml:space="preserve"> </w:t>
      </w:r>
      <w:r>
        <w:t xml:space="preserve">(International Council for Harmonisation 2026)</w:t>
      </w:r>
      <w:r>
        <w:t xml:space="preserve">.</w:t>
      </w:r>
    </w:p>
    <w:p>
      <w:pPr>
        <w:pStyle w:val="BodyText"/>
      </w:pPr>
      <w:r>
        <w:t xml:space="preserve">Within this broader workflow, two arguments are typically</w:t>
      </w:r>
      <w:r>
        <w:t xml:space="preserve"> </w:t>
      </w:r>
      <w:r>
        <w:t xml:space="preserve">developed in parallel but reported separately. The</w:t>
      </w:r>
      <w:r>
        <w:t xml:space="preserve"> </w:t>
      </w:r>
      <w:r>
        <w:rPr>
          <w:i/>
          <w:iCs/>
        </w:rPr>
        <w:t xml:space="preserve">estimator-selection</w:t>
      </w:r>
      <w:r>
        <w:t xml:space="preserve"> </w:t>
      </w:r>
      <w:r>
        <w:t xml:space="preserve">argument is checked with outcome-blind</w:t>
      </w:r>
      <w:r>
        <w:t xml:space="preserve"> </w:t>
      </w:r>
      <w:r>
        <w:t xml:space="preserve">plasmode simulation</w:t>
      </w:r>
      <w:r>
        <w:t xml:space="preserve"> </w:t>
      </w:r>
      <w:r>
        <w:t xml:space="preserve">(Franklin et al. 2014; Schuler and Rose 2017; Dang et al. 2023; Gruber, Lee, et al. 2024; Schreck et al. 2024)</w:t>
      </w:r>
      <w:r>
        <w:t xml:space="preserve">. The</w:t>
      </w:r>
      <w:r>
        <w:t xml:space="preserve"> </w:t>
      </w:r>
      <w:r>
        <w:rPr>
          <w:i/>
          <w:iCs/>
        </w:rPr>
        <w:t xml:space="preserve">fit-for-purpose</w:t>
      </w:r>
      <w:r>
        <w:t xml:space="preserve"> </w:t>
      </w:r>
      <w:r>
        <w:t xml:space="preserve">argument is documented qualitatively through</w:t>
      </w:r>
      <w:r>
        <w:t xml:space="preserve"> </w:t>
      </w:r>
      <w:r>
        <w:t xml:space="preserve">templates such as SPIFD2</w:t>
      </w:r>
      <w:r>
        <w:t xml:space="preserve"> </w:t>
      </w:r>
      <w:r>
        <w:t xml:space="preserve">(Gatto, Reynolds, and Campbell 2022; Gatto et al. 2023)</w:t>
      </w:r>
      <w:r>
        <w:t xml:space="preserve"> </w:t>
      </w:r>
      <w:r>
        <w:t xml:space="preserve">or</w:t>
      </w:r>
      <w:r>
        <w:t xml:space="preserve"> </w:t>
      </w:r>
      <w:r>
        <w:t xml:space="preserve">HARPER</w:t>
      </w:r>
      <w:r>
        <w:t xml:space="preserve"> </w:t>
      </w:r>
      <w:r>
        <w:t xml:space="preserve">(Wang, Sreedhara, and Schneeweiss 2023)</w:t>
      </w:r>
      <w:r>
        <w:t xml:space="preserve"> </w:t>
      </w:r>
      <w:r>
        <w:t xml:space="preserve">and through reporting tools such as</w:t>
      </w:r>
      <w:r>
        <w:t xml:space="preserve"> </w:t>
      </w:r>
      <w:r>
        <w:t xml:space="preserve">TARGET</w:t>
      </w:r>
      <w:r>
        <w:t xml:space="preserve"> </w:t>
      </w:r>
      <w:r>
        <w:t xml:space="preserve">(Cashin et al. 2024)</w:t>
      </w:r>
      <w:r>
        <w:t xml:space="preserve"> </w:t>
      </w:r>
      <w:r>
        <w:t xml:space="preserve">and START-RWE</w:t>
      </w:r>
      <w:r>
        <w:t xml:space="preserve"> </w:t>
      </w:r>
      <w:r>
        <w:t xml:space="preserve">(Wang et al. 2021)</w:t>
      </w:r>
      <w:r>
        <w:t xml:space="preserve">. The</w:t>
      </w:r>
      <w:r>
        <w:t xml:space="preserve"> </w:t>
      </w:r>
      <w:r>
        <w:t xml:space="preserve">simulation is numeric; the fit-for-purpose argument is qualitative.</w:t>
      </w:r>
    </w:p>
    <w:p>
      <w:pPr>
        <w:pStyle w:val="BodyText"/>
      </w:pPr>
      <w:r>
        <w:t xml:space="preserve">These two arguments are connected: a candidate estimator that</w:t>
      </w:r>
      <w:r>
        <w:t xml:space="preserve"> </w:t>
      </w:r>
      <w:r>
        <w:t xml:space="preserve">performs well on a simulation derived from real covariate and</w:t>
      </w:r>
      <w:r>
        <w:t xml:space="preserve"> </w:t>
      </w:r>
      <w:r>
        <w:t xml:space="preserve">treatment distributions may still fail under realistic measurement</w:t>
      </w:r>
      <w:r>
        <w:t xml:space="preserve"> </w:t>
      </w:r>
      <w:r>
        <w:t xml:space="preserve">error, missingness, or unmeasured confounding. The plasmode loop is</w:t>
      </w:r>
      <w:r>
        <w:t xml:space="preserve"> </w:t>
      </w:r>
      <w:r>
        <w:t xml:space="preserve">under the analyst’s control, so it can be extended to ask not only</w:t>
      </w:r>
      <w:r>
        <w:t xml:space="preserve"> </w:t>
      </w:r>
      <w:r>
        <w:t xml:space="preserve">“which candidate has the lowest RMSE under the locked</w:t>
      </w:r>
      <w:r>
        <w:t xml:space="preserve"> </w:t>
      </w:r>
      <w:r>
        <w:t xml:space="preserve">data-generating process?”</w:t>
      </w:r>
      <w:r>
        <w:t xml:space="preserve"> </w:t>
      </w:r>
      <w:r>
        <w:t xml:space="preserve">but also</w:t>
      </w:r>
      <w:r>
        <w:t xml:space="preserve"> </w:t>
      </w:r>
      <w:r>
        <w:t xml:space="preserve">“which candidate maintains</w:t>
      </w:r>
      <w:r>
        <w:t xml:space="preserve"> </w:t>
      </w:r>
      <w:r>
        <w:t xml:space="preserve">acceptable bias, RMSE, and coverage across the plausible range of</w:t>
      </w:r>
      <w:r>
        <w:t xml:space="preserve"> </w:t>
      </w:r>
      <w:r>
        <w:t xml:space="preserve">each threat documented in the fit-for-purpose review?”</w:t>
      </w:r>
      <w:r>
        <w:t xml:space="preserve"> </w:t>
      </w:r>
      <w:r>
        <w:t xml:space="preserve">We refer to</w:t>
      </w:r>
      <w:r>
        <w:t xml:space="preserve"> </w:t>
      </w:r>
      <w:r>
        <w:t xml:space="preserve">this extension as a</w:t>
      </w:r>
      <w:r>
        <w:t xml:space="preserve"> </w:t>
      </w:r>
      <w:r>
        <w:rPr>
          <w:i/>
          <w:iCs/>
        </w:rPr>
        <w:t xml:space="preserve">data-quality (DQ) stress test</w:t>
      </w:r>
      <w:r>
        <w:t xml:space="preserve">. It is a</w:t>
      </w:r>
      <w:r>
        <w:t xml:space="preserve"> </w:t>
      </w:r>
      <w:r>
        <w:t xml:space="preserve">pre-outcome robustness screen rather than a substitute for</w:t>
      </w:r>
      <w:r>
        <w:t xml:space="preserve"> </w:t>
      </w:r>
      <w:r>
        <w:t xml:space="preserve">variable validation or for post-unblinding sensitivity analysis.</w:t>
      </w:r>
    </w:p>
    <w:p>
      <w:pPr>
        <w:pStyle w:val="BodyText"/>
      </w:pPr>
      <w:r>
        <w:t xml:space="preserve">We use</w:t>
      </w:r>
      <w:r>
        <w:t xml:space="preserve"> </w:t>
      </w:r>
      <w:r>
        <w:t xml:space="preserve">“data-quality stress testing”</w:t>
      </w:r>
      <w:r>
        <w:t xml:space="preserve"> </w:t>
      </w:r>
      <w:r>
        <w:t xml:space="preserve">in a restricted sense: the</w:t>
      </w:r>
      <w:r>
        <w:t xml:space="preserve"> </w:t>
      </w:r>
      <w:r>
        <w:t xml:space="preserve">procedure does not assess data provenance, phenotype validity,</w:t>
      </w:r>
      <w:r>
        <w:t xml:space="preserve"> </w:t>
      </w:r>
      <w:r>
        <w:t xml:space="preserve">linkage accuracy, representativeness, or regulatory acceptability,</w:t>
      </w:r>
      <w:r>
        <w:t xml:space="preserve"> </w:t>
      </w:r>
      <w:r>
        <w:t xml:space="preserve">which remain study-level evaluations. Once investigators have</w:t>
      </w:r>
      <w:r>
        <w:t xml:space="preserve"> </w:t>
      </w:r>
      <w:r>
        <w:t xml:space="preserve">specified plausible threats and severity ranges from external</w:t>
      </w:r>
      <w:r>
        <w:t xml:space="preserve"> </w:t>
      </w:r>
      <w:r>
        <w:t xml:space="preserve">validation studies, data profiling, or expert elicitation, the</w:t>
      </w:r>
      <w:r>
        <w:t xml:space="preserve"> </w:t>
      </w:r>
      <w:r>
        <w:t xml:space="preserve">package evaluates how candidate estimators behave under those</w:t>
      </w:r>
      <w:r>
        <w:t xml:space="preserve"> </w:t>
      </w:r>
      <w:r>
        <w:t xml:space="preserve">prespecified perturbations before the observed treatment-outcome</w:t>
      </w:r>
      <w:r>
        <w:t xml:space="preserve"> </w:t>
      </w:r>
      <w:r>
        <w:t xml:space="preserve">association is examined. This is the strongest claim we make for</w:t>
      </w:r>
      <w:r>
        <w:t xml:space="preserve"> </w:t>
      </w:r>
      <w:r>
        <w:t xml:space="preserve">cleanTMLE: it links candidate-estimator selection and</w:t>
      </w:r>
      <w:r>
        <w:t xml:space="preserve"> </w:t>
      </w:r>
      <w:r>
        <w:t xml:space="preserve">fit-for-purpose concerns on a single quantitative scale before</w:t>
      </w:r>
      <w:r>
        <w:t xml:space="preserve"> </w:t>
      </w:r>
      <w:r>
        <w:t xml:space="preserve">outcome access.</w:t>
      </w:r>
    </w:p>
    <w:p>
      <w:pPr>
        <w:pStyle w:val="BodyText"/>
      </w:pPr>
      <w:r>
        <w:t xml:space="preserve">In this manuscript,</w:t>
      </w:r>
      <w:r>
        <w:t xml:space="preserve"> </w:t>
      </w:r>
      <w:r>
        <w:rPr>
          <w:i/>
          <w:iCs/>
        </w:rPr>
        <w:t xml:space="preserve">outcome-blind</w:t>
      </w:r>
      <w:r>
        <w:t xml:space="preserve"> </w:t>
      </w:r>
      <w:r>
        <w:t xml:space="preserve">means that decisions about</w:t>
      </w:r>
      <w:r>
        <w:t xml:space="preserve"> </w:t>
      </w:r>
      <w:r>
        <w:t xml:space="preserve">cohort construction, candidate estimators, simulation scenarios,</w:t>
      </w:r>
      <w:r>
        <w:t xml:space="preserve"> </w:t>
      </w:r>
      <w:r>
        <w:t xml:space="preserve">decision thresholds, and primary-estimator selection are made</w:t>
      </w:r>
      <w:r>
        <w:t xml:space="preserve"> </w:t>
      </w:r>
      <w:r>
        <w:t xml:space="preserve">without inspecting the observed treatment-outcome association.</w:t>
      </w:r>
      <w:r>
        <w:t xml:space="preserve"> </w:t>
      </w:r>
      <w:r>
        <w:t xml:space="preserve">Analysts may use baseline covariates, treatment assignment,</w:t>
      </w:r>
      <w:r>
        <w:t xml:space="preserve"> </w:t>
      </w:r>
      <w:r>
        <w:t xml:space="preserve">missingness indicators, and synthetic outcomes generated for</w:t>
      </w:r>
      <w:r>
        <w:t xml:space="preserve"> </w:t>
      </w:r>
      <w:r>
        <w:t xml:space="preserve">plasmode simulations; the marginal mean of the observed outcome on</w:t>
      </w:r>
      <w:r>
        <w:t xml:space="preserve"> </w:t>
      </w:r>
      <w:r>
        <w:t xml:space="preserve">covariates is also used internally to fit the plasmode generator.</w:t>
      </w:r>
      <w:r>
        <w:t xml:space="preserve"> </w:t>
      </w:r>
      <w:r>
        <w:t xml:space="preserve">The observed treatment-outcome relationship is not used for</w:t>
      </w:r>
      <w:r>
        <w:t xml:space="preserve"> </w:t>
      </w:r>
      <w:r>
        <w:t xml:space="preserve">estimator selection or design revision before the pre-outcome</w:t>
      </w:r>
      <w:r>
        <w:t xml:space="preserve"> </w:t>
      </w:r>
      <w:r>
        <w:t xml:space="preserve">decision point.</w:t>
      </w:r>
    </w:p>
    <w:bookmarkEnd w:id="21"/>
    <w:bookmarkStart w:id="25" w:name="X5c4e3544c882e58403c1eebacd36445ecf9c780"/>
    <w:p>
      <w:pPr>
        <w:pStyle w:val="Heading2"/>
      </w:pPr>
      <w:r>
        <w:t xml:space="preserve">1.2 What the package adds, and what it does not</w:t>
      </w:r>
    </w:p>
    <w:p>
      <w:pPr>
        <w:pStyle w:val="FirstParagraph"/>
      </w:pPr>
      <w:r>
        <w:t xml:space="preserve">cleanTMLE is an R</w:t>
      </w:r>
      <w:r>
        <w:t xml:space="preserve"> </w:t>
      </w:r>
      <w:r>
        <w:t xml:space="preserve">(R Core Team 2024)</w:t>
      </w:r>
      <w:r>
        <w:t xml:space="preserve"> </w:t>
      </w:r>
      <w:r>
        <w:t xml:space="preserve">package that operationalises an</w:t>
      </w:r>
      <w:r>
        <w:t xml:space="preserve"> </w:t>
      </w:r>
      <w:r>
        <w:t xml:space="preserve">outcome-blind staged workflow for the estimator-selection and</w:t>
      </w:r>
      <w:r>
        <w:t xml:space="preserve"> </w:t>
      </w:r>
      <w:r>
        <w:t xml:space="preserve">stress-testing steps of the causal roadmap</w:t>
      </w:r>
      <w:r>
        <w:t xml:space="preserve"> </w:t>
      </w:r>
      <w:r>
        <w:t xml:space="preserve">(Dang et al. 2023; Petersen and Laan 2014; Gruber, Lee, et al. 2024)</w:t>
      </w:r>
      <w:r>
        <w:t xml:space="preserve">. Targeted maximum likelihood</w:t>
      </w:r>
      <w:r>
        <w:t xml:space="preserve"> </w:t>
      </w:r>
      <w:r>
        <w:t xml:space="preserve">estimation (TMLE)</w:t>
      </w:r>
      <w:r>
        <w:t xml:space="preserve"> </w:t>
      </w:r>
      <w:r>
        <w:t xml:space="preserve">(Laan and Rubin 2006; Laan and Rose 2011; Schuler and Rose 2017; Zheng and Laan 2011; Chernozhukov et al. 2018)</w:t>
      </w:r>
      <w:r>
        <w:t xml:space="preserve"> </w:t>
      </w:r>
      <w:r>
        <w:t xml:space="preserve">is the natural setting because every analytic decision (the</w:t>
      </w:r>
      <w:r>
        <w:t xml:space="preserve"> </w:t>
      </w:r>
      <w:r>
        <w:t xml:space="preserve">SuperLearner library</w:t>
      </w:r>
      <w:r>
        <w:t xml:space="preserve"> </w:t>
      </w:r>
      <w:r>
        <w:t xml:space="preserve">(Laan, Polley, and Hubbard 2007; Phillips et al. 2023)</w:t>
      </w:r>
      <w:r>
        <w:t xml:space="preserve">, the</w:t>
      </w:r>
      <w:r>
        <w:t xml:space="preserve"> </w:t>
      </w:r>
      <w:r>
        <w:t xml:space="preserve">truncation rule, the prespecified set of candidate estimators) can</w:t>
      </w:r>
      <w:r>
        <w:t xml:space="preserve"> </w:t>
      </w:r>
      <w:r>
        <w:t xml:space="preserve">be listed in advance, and the algorithm remains data-adaptive while</w:t>
      </w:r>
      <w:r>
        <w:t xml:space="preserve"> </w:t>
      </w:r>
      <w:r>
        <w:t xml:space="preserve">still admitting valid Wald-type confidence intervals. The package</w:t>
      </w:r>
      <w:r>
        <w:t xml:space="preserve"> </w:t>
      </w:r>
      <w:r>
        <w:t xml:space="preserve">adds an analysis-lock object, a serialisable audit trail and</w:t>
      </w:r>
      <w:r>
        <w:t xml:space="preserve"> </w:t>
      </w:r>
      <w:r>
        <w:t xml:space="preserve">decision log</w:t>
      </w:r>
      <w:r>
        <w:t xml:space="preserve"> </w:t>
      </w:r>
      <w:r>
        <w:t xml:space="preserve">(Muntner et al. 2024)</w:t>
      </w:r>
      <w:r>
        <w:t xml:space="preserve">, a pre-outcome decision rule</w:t>
      </w:r>
      <w:r>
        <w:t xml:space="preserve"> </w:t>
      </w:r>
      <w:r>
        <w:t xml:space="preserve">that classifies the analysis as proceed, review, or stop, an</w:t>
      </w:r>
      <w:r>
        <w:t xml:space="preserve"> </w:t>
      </w:r>
      <w:r>
        <w:t xml:space="preserve">outcome-blind plasmode candidate selector, and the DQ stress test</w:t>
      </w:r>
      <w:r>
        <w:t xml:space="preserve"> </w:t>
      </w:r>
      <w:r>
        <w:t xml:space="preserve">described above.</w:t>
      </w:r>
    </w:p>
    <w:p>
      <w:pPr>
        <w:pStyle w:val="BodyText"/>
      </w:pPr>
      <w:r>
        <w:t xml:space="preserve">The contribution is operational rather than methodological</w:t>
      </w:r>
      <w:r>
        <w:t xml:space="preserve"> </w:t>
      </w:r>
      <w:r>
        <w:t xml:space="preserve">(Muntner et al. 2024)</w:t>
      </w:r>
      <w:r>
        <w:t xml:space="preserve">. The analysis lock, audit trail, and</w:t>
      </w:r>
      <w:r>
        <w:t xml:space="preserve"> </w:t>
      </w:r>
      <w:r>
        <w:t xml:space="preserve">decision log turn paper-only prespecification checklists into a</w:t>
      </w:r>
      <w:r>
        <w:t xml:space="preserve"> </w:t>
      </w:r>
      <w:r>
        <w:t xml:space="preserve">structured record of analytic decisions that an external reviewer</w:t>
      </w:r>
      <w:r>
        <w:t xml:space="preserve"> </w:t>
      </w:r>
      <w:r>
        <w:t xml:space="preserve">can reconstruct. We use</w:t>
      </w:r>
      <w:r>
        <w:t xml:space="preserve"> </w:t>
      </w:r>
      <w:r>
        <w:rPr>
          <w:i/>
          <w:iCs/>
        </w:rPr>
        <w:t xml:space="preserve">outcome-blind staged workflow</w:t>
      </w:r>
      <w:r>
        <w:t xml:space="preserve"> </w:t>
      </w:r>
      <w:r>
        <w:t xml:space="preserve">throughout</w:t>
      </w:r>
      <w:r>
        <w:t xml:space="preserve"> </w:t>
      </w:r>
      <w:r>
        <w:t xml:space="preserve">to describe this arrangement. The</w:t>
      </w:r>
      <w:r>
        <w:t xml:space="preserve"> </w:t>
      </w:r>
      <w:r>
        <w:t xml:space="preserve">“clean room”</w:t>
      </w:r>
      <w:r>
        <w:t xml:space="preserve"> </w:t>
      </w:r>
      <w:r>
        <w:t xml:space="preserve">label is sometimes</w:t>
      </w:r>
      <w:r>
        <w:t xml:space="preserve"> </w:t>
      </w:r>
      <w:r>
        <w:t xml:space="preserve">used as a governance analogy, by analogy with a manufacturing</w:t>
      </w:r>
      <w:r>
        <w:t xml:space="preserve"> </w:t>
      </w:r>
      <w:r>
        <w:t xml:space="preserve">clean room that blocks access to a sterile area until protocols</w:t>
      </w:r>
      <w:r>
        <w:t xml:space="preserve"> </w:t>
      </w:r>
      <w:r>
        <w:t xml:space="preserve">have been followed, but the substantive content is the staged</w:t>
      </w:r>
      <w:r>
        <w:t xml:space="preserve"> </w:t>
      </w:r>
      <w:r>
        <w:t xml:space="preserve">restriction of outcome access. The software arrangement</w:t>
      </w:r>
      <w:r>
        <w:t xml:space="preserve"> </w:t>
      </w:r>
      <w:r>
        <w:t xml:space="preserve">complements, and does not replace, personnel-based access</w:t>
      </w:r>
      <w:r>
        <w:t xml:space="preserve"> </w:t>
      </w:r>
      <w:r>
        <w:t xml:space="preserve">controls, protocol review, role separation, source-data audit, and</w:t>
      </w:r>
      <w:r>
        <w:t xml:space="preserve"> </w:t>
      </w:r>
      <w:r>
        <w:t xml:space="preserve">independent checkpoint review. Section §</w:t>
      </w:r>
      <w:r>
        <w:t xml:space="preserve"> </w:t>
      </w:r>
      <w:r>
        <w:t xml:space="preserve">situates</w:t>
      </w:r>
      <w:r>
        <w:t xml:space="preserve"> </w:t>
      </w:r>
      <w:r>
        <w:t xml:space="preserve">the package inside the causal roadmap and Table</w:t>
      </w:r>
      <w:r>
        <w:t xml:space="preserve"> </w:t>
      </w:r>
      <w:r>
        <w:t xml:space="preserve"> </w:t>
      </w:r>
      <w:r>
        <w:t xml:space="preserve">maps each component to the corresponding FDA,</w:t>
      </w:r>
      <w:r>
        <w:t xml:space="preserve"> </w:t>
      </w:r>
      <w:r>
        <w:t xml:space="preserve">EMA, and ICH expectation.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Current scope of cleanTMLE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simulation, vignette, and case study in this paper run on a</w:t>
            </w:r>
            <w:r>
              <w:t xml:space="preserve"> </w:t>
            </w:r>
            <w:r>
              <w:rPr>
                <w:b/>
                <w:bCs/>
              </w:rPr>
              <w:t xml:space="preserve">binary point exposure</w:t>
            </w:r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binary outcome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marginal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risk-difference</w:t>
            </w:r>
            <w:r>
              <w:t xml:space="preserve"> </w:t>
            </w:r>
            <w:r>
              <w:t xml:space="preserve">estimand, and</w:t>
            </w:r>
            <w:r>
              <w:t xml:space="preserve"> </w:t>
            </w:r>
            <w:r>
              <w:rPr>
                <w:b/>
                <w:bCs/>
              </w:rPr>
              <w:t xml:space="preserve">MCAR</w:t>
            </w:r>
            <w:r>
              <w:t xml:space="preserve"> </w:t>
            </w:r>
            <w:r>
              <w:t xml:space="preserve">outcome missingness handled</w:t>
            </w:r>
            <w:r>
              <w:t xml:space="preserve"> </w:t>
            </w:r>
            <w:r>
              <w:t xml:space="preserve">by IPCW. Hazard ratios, time-varying treatments, competing risks,</w:t>
            </w:r>
            <w:r>
              <w:t xml:space="preserve"> </w:t>
            </w:r>
            <w:r>
              <w:t xml:space="preserve">multinomial exposures, and MAR / MNAR missingness models are out</w:t>
            </w:r>
            <w:r>
              <w:t xml:space="preserve"> </w:t>
            </w:r>
            <w:r>
              <w:t xml:space="preserve">of scope for the v0.1 release; analysts who need those estimands</w:t>
            </w:r>
            <w:r>
              <w:t xml:space="preserve"> </w:t>
            </w:r>
            <w:r>
              <w:t xml:space="preserve">should compose cleanTMLE’s prespecification and audit functions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survtmle</w:t>
            </w:r>
            <w:r>
              <w:t xml:space="preserve"> </w:t>
            </w:r>
            <w:r>
              <w:t xml:space="preserve">(Benkeser and Hejazi 2018)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lmtp</w:t>
            </w:r>
            <w:r>
              <w:t xml:space="preserve"> </w:t>
            </w:r>
            <w:r>
              <w:t xml:space="preserve">(Williams and Dı́az 2021)</w:t>
            </w:r>
            <w:r>
              <w:t xml:space="preserve"> </w:t>
            </w:r>
            <w:r>
              <w:t xml:space="preserve">until those features are added. The proprietary</w:t>
            </w:r>
            <w:r>
              <w:t xml:space="preserve"> </w:t>
            </w:r>
            <w:r>
              <w:rPr>
                <w:rStyle w:val="VerbatimChar"/>
              </w:rPr>
              <w:t xml:space="preserve">causalRisk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(Brookhart, Breskin, and Eledath 2024)</w:t>
            </w:r>
            <w:r>
              <w:t xml:space="preserve"> </w:t>
            </w:r>
            <w:r>
              <w:t xml:space="preserve">is an alternative</w:t>
            </w:r>
            <w:r>
              <w:t xml:space="preserve"> </w:t>
            </w:r>
            <w:r>
              <w:t xml:space="preserve">implementation of related cumulative-risk estimators.</w:t>
            </w:r>
          </w:p>
        </w:tc>
      </w:tr>
    </w:tbl>
    <w:bookmarkEnd w:id="25"/>
    <w:bookmarkStart w:id="26" w:name="what-the-paper-contributes"/>
    <w:p>
      <w:pPr>
        <w:pStyle w:val="Heading2"/>
      </w:pPr>
      <w:r>
        <w:t xml:space="preserve">1.3 What the paper contributes</w:t>
      </w:r>
    </w:p>
    <w:p>
      <w:pPr>
        <w:pStyle w:val="FirstParagraph"/>
      </w:pPr>
      <w:r>
        <w:t xml:space="preserve">The principal contribution is to extend the outcome-blind plasmode</w:t>
      </w:r>
      <w:r>
        <w:t xml:space="preserve"> </w:t>
      </w:r>
      <w:r>
        <w:t xml:space="preserve">loop from candidate-estimator selection</w:t>
      </w:r>
      <w:r>
        <w:t xml:space="preserve"> </w:t>
      </w:r>
      <w:r>
        <w:t xml:space="preserve">(Dang et al. 2023; Gruber, Lee, et al. 2024; Schreck et al. 2024)</w:t>
      </w:r>
      <w:r>
        <w:t xml:space="preserve"> </w:t>
      </w:r>
      <w:r>
        <w:t xml:space="preserve">to estimator robustness</w:t>
      </w:r>
      <w:r>
        <w:t xml:space="preserve"> </w:t>
      </w:r>
      <w:r>
        <w:rPr>
          <w:i/>
          <w:iCs/>
        </w:rPr>
        <w:t xml:space="preserve">screening</w:t>
      </w:r>
      <w:r>
        <w:t xml:space="preserve"> </w:t>
      </w:r>
      <w:r>
        <w:t xml:space="preserve">under prespecified threat ranges. Each candidate</w:t>
      </w:r>
      <w:r>
        <w:t xml:space="preserve"> </w:t>
      </w:r>
      <w:r>
        <w:t xml:space="preserve">produces a degradation gradient on the same bias, RMSE, and</w:t>
      </w:r>
      <w:r>
        <w:t xml:space="preserve"> </w:t>
      </w:r>
      <w:r>
        <w:t xml:space="preserve">coverage scale as the baseline plasmode, so the prespecified</w:t>
      </w:r>
      <w:r>
        <w:t xml:space="preserve"> </w:t>
      </w:r>
      <w:r>
        <w:t xml:space="preserve">decision rule can be applied uniformly across baseline and</w:t>
      </w:r>
      <w:r>
        <w:t xml:space="preserve"> </w:t>
      </w:r>
      <w:r>
        <w:t xml:space="preserve">stressed scenarios. We position this screen as a quantitative</w:t>
      </w:r>
      <w:r>
        <w:t xml:space="preserve"> </w:t>
      </w:r>
      <w:r>
        <w:t xml:space="preserve">supplement to fit-for-purpose review (§</w:t>
      </w:r>
      <w:r>
        <w:t xml:space="preserve">) rather</w:t>
      </w:r>
      <w:r>
        <w:t xml:space="preserve"> </w:t>
      </w:r>
      <w:r>
        <w:t xml:space="preserve">than as a substitute for variable-validation studies, source-data</w:t>
      </w:r>
      <w:r>
        <w:t xml:space="preserve"> </w:t>
      </w:r>
      <w:r>
        <w:t xml:space="preserve">assessment, or post-outcome quantitative bias analysis. The R</w:t>
      </w:r>
      <w:r>
        <w:t xml:space="preserve"> </w:t>
      </w:r>
      <w:r>
        <w:t xml:space="preserve">implementation packages the supporting prespecification artefacts</w:t>
      </w:r>
      <w:r>
        <w:t xml:space="preserve"> </w:t>
      </w:r>
      <w:r>
        <w:t xml:space="preserve">(fingerprinted lock, audit log, decision log, pre-outcome decision</w:t>
      </w:r>
      <w:r>
        <w:t xml:space="preserve"> </w:t>
      </w:r>
      <w:r>
        <w:t xml:space="preserve">point) so that the screen and the locked primary analysis share a</w:t>
      </w:r>
      <w:r>
        <w:t xml:space="preserve"> </w:t>
      </w:r>
      <w:r>
        <w:t xml:space="preserve">single reproducible record. We acknowledge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(Brookhart, Breskin, and Eledath 2024)</w:t>
      </w:r>
      <w:r>
        <w:t xml:space="preserve"> </w:t>
      </w:r>
      <w:r>
        <w:t xml:space="preserve">as a proprietary alternative</w:t>
      </w:r>
      <w:r>
        <w:t xml:space="preserve"> </w:t>
      </w:r>
      <w:r>
        <w:t xml:space="preserve">implementation of related cumulative-risk estimators with which</w:t>
      </w:r>
      <w:r>
        <w:t xml:space="preserve"> </w:t>
      </w:r>
      <w:r>
        <w:t xml:space="preserve">cleanTMLE shares conceptual structure but not code. The next</w:t>
      </w:r>
      <w:r>
        <w:t xml:space="preserve"> </w:t>
      </w:r>
      <w:r>
        <w:t xml:space="preserve">section (§</w:t>
      </w:r>
      <w:r>
        <w:t xml:space="preserve">) places these contributions inside the</w:t>
      </w:r>
      <w:r>
        <w:t xml:space="preserve"> </w:t>
      </w:r>
      <w:r>
        <w:t xml:space="preserve">causal roadmap; subsequent sections follow that roadmap order.</w:t>
      </w:r>
    </w:p>
    <w:bookmarkEnd w:id="26"/>
    <w:bookmarkEnd w:id="27"/>
    <w:bookmarkStart w:id="38" w:name="sec-roadmap"/>
    <w:p>
      <w:pPr>
        <w:pStyle w:val="Heading1"/>
      </w:pPr>
      <w:r>
        <w:t xml:space="preserve">2. The causal roadmap and the role of cleanTMLE</w:t>
      </w:r>
    </w:p>
    <w:p>
      <w:pPr>
        <w:pStyle w:val="FirstParagraph"/>
      </w:pPr>
      <w:r>
        <w:t xml:space="preserve">We position cleanTMLE inside the causal roadmap of</w:t>
      </w:r>
      <w:r>
        <w:t xml:space="preserve"> </w:t>
      </w:r>
      <w:r>
        <w:t xml:space="preserve">Petersen and Laan (2014)</w:t>
      </w:r>
      <w:r>
        <w:t xml:space="preserve"> </w:t>
      </w:r>
      <w:r>
        <w:t xml:space="preserve">and</w:t>
      </w:r>
      <w:r>
        <w:t xml:space="preserve"> </w:t>
      </w:r>
      <w:r>
        <w:t xml:space="preserve">Dang et al. (2023)</w:t>
      </w:r>
      <w:r>
        <w:t xml:space="preserve">, which separates a real-world evidence study</w:t>
      </w:r>
      <w:r>
        <w:t xml:space="preserve"> </w:t>
      </w:r>
      <w:r>
        <w:t xml:space="preserve">into six logically ordered activities: (1) defining the causal</w:t>
      </w:r>
      <w:r>
        <w:t xml:space="preserve"> </w:t>
      </w:r>
      <w:r>
        <w:t xml:space="preserve">question and target trial; (2) characterising the observed data and</w:t>
      </w:r>
      <w:r>
        <w:t xml:space="preserve"> </w:t>
      </w:r>
      <w:r>
        <w:t xml:space="preserve">their fitness for that target trial; (3) stating identification</w:t>
      </w:r>
      <w:r>
        <w:t xml:space="preserve"> </w:t>
      </w:r>
      <w:r>
        <w:t xml:space="preserve">assumptions; (4) defining a statistical estimand; (5) selecting and</w:t>
      </w:r>
      <w:r>
        <w:t xml:space="preserve"> </w:t>
      </w:r>
      <w:r>
        <w:t xml:space="preserve">locking estimators; and (6) interpreting results under at-outcome</w:t>
      </w:r>
      <w:r>
        <w:t xml:space="preserve"> </w:t>
      </w:r>
      <w:r>
        <w:t xml:space="preserve">and post-outcome sensitivity analyses. The package operates inside</w:t>
      </w:r>
      <w:r>
        <w:t xml:space="preserve"> </w:t>
      </w:r>
      <w:r>
        <w:t xml:space="preserve">steps (5) and the pre-outcome portion of (6); steps (1)–(4)</w:t>
      </w:r>
      <w:r>
        <w:t xml:space="preserve"> </w:t>
      </w:r>
      <w:r>
        <w:t xml:space="preserve">remain external study-level work, supported by target-trial</w:t>
      </w:r>
      <w:r>
        <w:t xml:space="preserve"> </w:t>
      </w:r>
      <w:r>
        <w:t xml:space="preserve">templates</w:t>
      </w:r>
      <w:r>
        <w:t xml:space="preserve"> </w:t>
      </w:r>
      <w:r>
        <w:t xml:space="preserve">(M. A. Hernán and Robins 2016; Cashin et al. 2024)</w:t>
      </w:r>
      <w:r>
        <w:t xml:space="preserve">, fit-for-</w:t>
      </w:r>
      <w:r>
        <w:t xml:space="preserve"> </w:t>
      </w:r>
      <w:r>
        <w:t xml:space="preserve">purpose checklists</w:t>
      </w:r>
      <w:r>
        <w:t xml:space="preserve"> </w:t>
      </w:r>
      <w:r>
        <w:t xml:space="preserve">(Gatto et al. 2023; Wang, Sreedhara, and Schneeweiss 2023)</w:t>
      </w:r>
      <w:r>
        <w:t xml:space="preserve">, and</w:t>
      </w:r>
      <w:r>
        <w:t xml:space="preserve"> </w:t>
      </w:r>
      <w:r>
        <w:t xml:space="preserve">source-specific data-relevance and reliability assessments</w:t>
      </w:r>
      <w:r>
        <w:t xml:space="preserve"> </w:t>
      </w:r>
      <w:r>
        <w:t xml:space="preserve">(U.S. Food and Drug Administration 2024a, 2024b, 2021; European Medicines Agency 2024, 2026)</w:t>
      </w:r>
      <w:r>
        <w:t xml:space="preserve">.</w:t>
      </w:r>
    </w:p>
    <w:p>
      <w:pPr>
        <w:pStyle w:val="BodyText"/>
      </w:pPr>
      <w:r>
        <w:t xml:space="preserve">To support readers who are new to the causal-roadmap vocabulary,</w:t>
      </w:r>
      <w:r>
        <w:t xml:space="preserve"> </w:t>
      </w:r>
      <w:r>
        <w:t xml:space="preserve">Table</w:t>
      </w:r>
      <w:r>
        <w:t xml:space="preserve"> </w:t>
      </w:r>
      <w:r>
        <w:t xml:space="preserve"> </w:t>
      </w:r>
      <w:r>
        <w:t xml:space="preserve">distinguishes the conceptual layers that</w:t>
      </w:r>
      <w:r>
        <w:t xml:space="preserve"> </w:t>
      </w:r>
      <w:r>
        <w:t xml:space="preserve">the workflow keeps separate. The same table also serves as a</w:t>
      </w:r>
      <w:r>
        <w:t xml:space="preserve"> </w:t>
      </w:r>
      <w:r>
        <w:t xml:space="preserve">reference for which decisions are addressed at the design stage</w:t>
      </w:r>
      <w:r>
        <w:t xml:space="preserve"> </w:t>
      </w:r>
      <w:r>
        <w:t xml:space="preserve">versus at the estimation stage.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laye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Conceptual layers in the staged workflow. The same vocabulary is used throughout the manuscript to keep estimand, estimator, simulation, and decision rule distinct.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6"/>
              <w:gridCol w:w="679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Causal question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Clinical or policy question framed as a target trial or causal contrast.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Causal estimand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Counterfactual treatment effect of interest (e.g. marginal risk difference).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Identification assumptions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 under which the causal estimand can be expressed as an observed-data parameter (exchangeability, positivity, consistency, measurement validity, missingness assumptions).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 estimand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Observed-data parameter identified under the assumptions above.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Algorithm used to estimate the statistical estimand, for example TMLE, IPTW, or matching.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Pre-outcome diagnostic metric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Pre-outcome quantity used for design checks: simulated bias, RMSE, coverage, effective sample size, balance, negative-control performance.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Governance decision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Whether prespecified criteria support proceeding, require additional review, or require stopping the analysis before the outcome is examined.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</w:p>
    <w:p>
      <w:pPr>
        <w:pStyle w:val="BodyText"/>
      </w:pPr>
      <w:r>
        <w:drawing>
          <wp:inline>
            <wp:extent cx="2651760" cy="1445666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anuscript_outcome_blind_dq_files\figure-docx\mermaid-figure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445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cleanTMLE inside the causal roadmap. Boxes shaded grey indicate work that the package can operationalise; the remaining boxes are external study-level activities.</w:t>
      </w:r>
      <w:r>
        <w:t xml:space="preserve"> </w:t>
      </w:r>
    </w:p>
    <w:p>
      <w:pPr>
        <w:pStyle w:val="BodyText"/>
      </w:pPr>
      <w:r>
        <w:t xml:space="preserve">A complementary view emphasises that the software-level</w:t>
      </w:r>
      <w:r>
        <w:t xml:space="preserve"> </w:t>
      </w:r>
      <w:r>
        <w:t xml:space="preserve">arrangement is one layer in a broader governance stack. External</w:t>
      </w:r>
      <w:r>
        <w:t xml:space="preserve"> </w:t>
      </w:r>
      <w:r>
        <w:t xml:space="preserve">validation studies, independent oversight, role-based data access,</w:t>
      </w:r>
      <w:r>
        <w:t xml:space="preserve"> </w:t>
      </w:r>
      <w:r>
        <w:t xml:space="preserve">and data standards remain necessary inputs to the pre-outcome</w:t>
      </w:r>
      <w:r>
        <w:t xml:space="preserve"> </w:t>
      </w:r>
      <w:r>
        <w:t xml:space="preserve">decision, regardless of how the prespecified records and audit</w:t>
      </w:r>
      <w:r>
        <w:t xml:space="preserve"> </w:t>
      </w:r>
      <w:r>
        <w:t xml:space="preserve">trail are implemented: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151530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anuscript_outcome_blind_dq_files\figure-docx\mermaid-figure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5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Governance layers. The software-level arrangement is necessary but not sufficient for regulatory-grade RWE.</w:t>
      </w:r>
      <w:r>
        <w:t xml:space="preserve"> </w:t>
      </w:r>
    </w:p>
    <w:bookmarkStart w:id="37" w:name="regulatory-alignment"/>
    <w:p>
      <w:pPr>
        <w:pStyle w:val="Heading2"/>
      </w:pPr>
      <w:r>
        <w:t xml:space="preserve">2.1 Regulatory alignment</w:t>
      </w:r>
    </w:p>
    <w:p>
      <w:pPr>
        <w:pStyle w:val="FirstParagraph"/>
      </w:pPr>
      <w:r>
        <w:t xml:space="preserve">Table</w:t>
      </w:r>
      <w:r>
        <w:t xml:space="preserve"> </w:t>
      </w:r>
      <w:r>
        <w:t xml:space="preserve"> </w:t>
      </w:r>
      <w:r>
        <w:t xml:space="preserve">maps each roadmap component to the</w:t>
      </w:r>
      <w:r>
        <w:t xml:space="preserve"> </w:t>
      </w:r>
      <w:r>
        <w:t xml:space="preserve">corresponding manuscript section, the relevant FDA / EMA / ICH</w:t>
      </w:r>
      <w:r>
        <w:t xml:space="preserve"> </w:t>
      </w:r>
      <w:r>
        <w:t xml:space="preserve">expectation, what cleanTMLE can operationalise in software, and</w:t>
      </w:r>
      <w:r>
        <w:t xml:space="preserve"> </w:t>
      </w:r>
      <w:r>
        <w:t xml:space="preserve">what still requires external study-level justification. The table</w:t>
      </w:r>
      <w:r>
        <w:t xml:space="preserve"> </w:t>
      </w:r>
      <w:r>
        <w:t xml:space="preserve">is intentionally explicit about the</w:t>
      </w:r>
      <w:r>
        <w:t xml:space="preserve"> </w:t>
      </w:r>
      <w:r>
        <w:rPr>
          <w:i/>
          <w:iCs/>
        </w:rPr>
        <w:t xml:space="preserve">what cleanTMLE does not</w:t>
      </w:r>
      <w:r>
        <w:rPr>
          <w:i/>
          <w:iCs/>
        </w:rPr>
        <w:t xml:space="preserve"> </w:t>
      </w:r>
      <w:r>
        <w:rPr>
          <w:i/>
          <w:iCs/>
        </w:rPr>
        <w:t xml:space="preserve">replace</w:t>
      </w:r>
      <w:r>
        <w:t xml:space="preserve"> </w:t>
      </w:r>
      <w:r>
        <w:t xml:space="preserve">column; that is the row that distinguishes a software</w:t>
      </w:r>
      <w:r>
        <w:t xml:space="preserve"> </w:t>
      </w:r>
      <w:r>
        <w:t xml:space="preserve">clean room from a regulatory clean room.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reg-align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Mapping of causal-roadmap components to manuscript sections, regulatory anchors, what cleanTMLE operationalises, and what still requires external study-level justification.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0"/>
              <w:gridCol w:w="1280"/>
              <w:gridCol w:w="2080"/>
              <w:gridCol w:w="1760"/>
              <w:gridCol w:w="16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Roadmap component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Manuscript section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FDA / EMA / ICH anchor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What cleanTMLE operationalises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External study-level work still required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Causal question / target trial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§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Hernán target-trial framework; FDA RWE Framework; ICH M14 (March 2026)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(none)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target-trial protocol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data and source characterisation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§</w:t>
                  </w:r>
                  <w:r>
                    <w:t xml:space="preserve">, §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FDA EHR/claims, registries; EMA registry guideline; EMA RWD quality framework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Lock fingerprint of column names + data shape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Phenotype validation, data lineage, source audit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Identification assumptions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§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ICH E9(R1)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Records assumptions in attach_estimand and audit log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Subject-matter justification of exchangeability and positivity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 estimand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§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ICH E9(R1); FDA Considerations for RWD/RWE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attach_estimand, lock fingerprint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Source-specific operationalisation of intercurrent events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Estimator selection and locking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§</w:t>
                  </w:r>
                  <w:r>
                    <w:t xml:space="preserve">, §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FDA non-interventional studies; ICH M14 (March 2026)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tmle_candidate, lock_primary_tmle_spec, save_lock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Justification of SuperLearner library and severity grids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Pre-outcome data-quality stress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§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Source-specific reliability (FDA/EMA); validation evidence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run_plasmode_dq_stress, default_dq_scenarios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External validation evidence anchoring DQ severity ranges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 gate (GO / FLAG / STOP)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§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Internal protocol governance; FDA traceability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gate_check, gate_all, authorize_outcome_analysis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Independent review of gate decision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 analysis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§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FDA Considerations for RWD/RWE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fit_tmle_treatment/outcome_mechanism, run_ipcw_tmle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Role separation, oversight, deviation memos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At-outcome diagnostics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§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EMA RWE Guide; FDA non-interventional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run_negative_control(_tmle), checkpoint_residual_bias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Choice of negative-control outcomes and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Post-outcome sensitivity analyses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§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FDA non-interventional studies; ICH E9(R1) sensitivity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compute_evalue, tipping_point_sensitivity, sensitivity_truncation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Quantitative bias analysis tailored to study threats</w:t>
                  </w:r>
                </w:p>
              </w:tc>
            </w:tr>
          </w:tbl>
          <w:bookmarkEnd w:id="35"/>
          <w:p/>
        </w:tc>
      </w:tr>
    </w:tbl>
    <w:p>
      <w:pPr>
        <w:pStyle w:val="BodyText"/>
      </w:pPr>
      <w:r>
        <w:t xml:space="preserve">A complementary supplementary mapping (Table</w:t>
      </w:r>
      <w:r>
        <w:t xml:space="preserve"> </w:t>
      </w:r>
      <w:r>
        <w:t xml:space="preserve">)</w:t>
      </w:r>
      <w:r>
        <w:t xml:space="preserve"> </w:t>
      </w:r>
      <w:r>
        <w:t xml:space="preserve">lists the additional event-process and diagnostic structures the</w:t>
      </w:r>
      <w:r>
        <w:t xml:space="preserve"> </w:t>
      </w:r>
      <w:r>
        <w:t xml:space="preserve">package makes explicit. These rows are intentionally separated</w:t>
      </w:r>
      <w:r>
        <w:t xml:space="preserve"> </w:t>
      </w:r>
      <w:r>
        <w:t xml:space="preserve">from the main regulatory-alignment table to keep the latter</w:t>
      </w:r>
      <w:r>
        <w:t xml:space="preserve"> </w:t>
      </w:r>
      <w:r>
        <w:t xml:space="preserve">readable.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event-diag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Supplementary mapping. Event-process and diagnostic structures that the package makes explicit, paired with the helper that produces each one.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84"/>
              <w:gridCol w:w="1211"/>
              <w:gridCol w:w="502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cleanTMLE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Purpose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Event-process classification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clean_event_process_table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Map each post-baseline event to its role in the estimand and ICH E9(R1) intercurrent-event strategy.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Target population and reference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clean_target_population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Force explicit declaration of the population and reference group for every contrast.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Treatment, censoring, and missingness weight diagnostics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clean_weight_diagnostics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 percentiles, ESS, extreme-weight counts, and weighted SMDs for each weight vector used.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Competing-risk and composite-risk coherence check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clean_check_event_processes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Verify that event-of-interest plus competing-event cumulative incidences are coherent with the composite risk.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Cumulative-risk reporting 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clean_risk_report_table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Single structured table of cumulative risks, contrasts, event counts, and estimator name.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Hazard-ratio de-emphasis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(documented preference; HR as secondary)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risks, risk differences, and risk ratios are the primary summaries; hazard ratios are reported only as secondary when the estimand is explicitly hazard-based.</w:t>
                  </w:r>
                </w:p>
              </w:tc>
            </w:tr>
          </w:tbl>
          <w:bookmarkEnd w:id="36"/>
          <w:p/>
        </w:tc>
      </w:tr>
    </w:tbl>
    <w:p>
      <w:pPr>
        <w:pStyle w:val="BodyText"/>
      </w:pPr>
      <w:r>
        <w:t xml:space="preserve">The remaining methods sections follow the roadmap order. §</w:t>
      </w:r>
      <w:r>
        <w:t xml:space="preserve"> </w:t>
      </w:r>
      <w:r>
        <w:t xml:space="preserve">states the target-trial estimand and identification assumptions</w:t>
      </w:r>
      <w:r>
        <w:t xml:space="preserve"> </w:t>
      </w:r>
      <w:r>
        <w:t xml:space="preserve">used in the simulation. §</w:t>
      </w:r>
      <w:r>
        <w:t xml:space="preserve"> </w:t>
      </w:r>
      <w:r>
        <w:t xml:space="preserve">describes the lock,</w:t>
      </w:r>
      <w:r>
        <w:t xml:space="preserve"> </w:t>
      </w:r>
      <w:r>
        <w:t xml:space="preserve">audit, and gate functions. §</w:t>
      </w:r>
      <w:r>
        <w:t xml:space="preserve"> </w:t>
      </w:r>
      <w:r>
        <w:t xml:space="preserve">introduces the DQ stress</w:t>
      </w:r>
      <w:r>
        <w:t xml:space="preserve"> </w:t>
      </w:r>
      <w:r>
        <w:t xml:space="preserve">test, including a threat-to-assumption matrix that is explicit</w:t>
      </w:r>
      <w:r>
        <w:t xml:space="preserve"> </w:t>
      </w:r>
      <w:r>
        <w:t xml:space="preserve">about what each scenario probes and what it does not probe, and</w:t>
      </w:r>
      <w:r>
        <w:t xml:space="preserve"> </w:t>
      </w:r>
      <w:r>
        <w:t xml:space="preserve">discusses calibration of severity ranges from external evidence.</w:t>
      </w:r>
      <w:r>
        <w:t xml:space="preserve"> </w:t>
      </w:r>
      <w:r>
        <w:t xml:space="preserve">§</w:t>
      </w:r>
      <w:r>
        <w:t xml:space="preserve"> </w:t>
      </w:r>
      <w:r>
        <w:t xml:space="preserve">reframes the DQ stress test as a quantitative</w:t>
      </w:r>
      <w:r>
        <w:t xml:space="preserve"> </w:t>
      </w:r>
      <w:r>
        <w:rPr>
          <w:i/>
          <w:iCs/>
        </w:rPr>
        <w:t xml:space="preserve">supplement</w:t>
      </w:r>
      <w:r>
        <w:t xml:space="preserve"> </w:t>
      </w:r>
      <w:r>
        <w:t xml:space="preserve">to fit-for-purpose review rather than a replacement</w:t>
      </w:r>
      <w:r>
        <w:t xml:space="preserve"> </w:t>
      </w:r>
      <w:r>
        <w:t xml:space="preserve">for it. §</w:t>
      </w:r>
      <w:r>
        <w:t xml:space="preserve">–§</w:t>
      </w:r>
      <w:r>
        <w:t xml:space="preserve"> </w:t>
      </w:r>
      <w:r>
        <w:t xml:space="preserve">report</w:t>
      </w:r>
      <w:r>
        <w:t xml:space="preserve"> </w:t>
      </w:r>
      <w:r>
        <w:t xml:space="preserve">the implementation, the simulation, and the case study;</w:t>
      </w:r>
      <w:r>
        <w:t xml:space="preserve"> </w:t>
      </w:r>
      <w:r>
        <w:t xml:space="preserve">§</w:t>
      </w:r>
      <w:r>
        <w:t xml:space="preserve"> </w:t>
      </w:r>
      <w:r>
        <w:t xml:space="preserve">discusses limitations and the role of</w:t>
      </w:r>
      <w:r>
        <w:t xml:space="preserve"> </w:t>
      </w:r>
      <w:r>
        <w:t xml:space="preserve">post-outcome sensitivity analyses.</w:t>
      </w:r>
    </w:p>
    <w:bookmarkEnd w:id="37"/>
    <w:bookmarkEnd w:id="38"/>
    <w:bookmarkStart w:id="43" w:name="sec-estimand"/>
    <w:p>
      <w:pPr>
        <w:pStyle w:val="Heading1"/>
      </w:pPr>
      <w:r>
        <w:t xml:space="preserve">3. Estimand, Causal Model, and Identifiability</w:t>
      </w:r>
    </w:p>
    <w:bookmarkStart w:id="39" w:name="estimand-specification"/>
    <w:p>
      <w:pPr>
        <w:pStyle w:val="Heading2"/>
      </w:pPr>
      <w:r>
        <w:t xml:space="preserve">3.1 Estimand specification</w:t>
      </w:r>
    </w:p>
    <w:p>
      <w:pPr>
        <w:pStyle w:val="FirstParagraph"/>
      </w:pPr>
      <w:r>
        <w:t xml:space="preserve">We follow</w:t>
      </w:r>
      <w:r>
        <w:t xml:space="preserve"> </w:t>
      </w:r>
      <w:r>
        <w:t xml:space="preserve">International Council for Harmonisation (2019)</w:t>
      </w:r>
      <w:r>
        <w:t xml:space="preserve"> </w:t>
      </w:r>
      <w:r>
        <w:t xml:space="preserve">and</w:t>
      </w:r>
      <w:r>
        <w:t xml:space="preserve"> </w:t>
      </w:r>
      <w:r>
        <w:t xml:space="preserve">Dang et al. (2023)</w:t>
      </w:r>
      <w:r>
        <w:t xml:space="preserve"> </w:t>
      </w:r>
      <w:r>
        <w:t xml:space="preserve">by writing the estimand</w:t>
      </w:r>
      <w:r>
        <w:t xml:space="preserve"> </w:t>
      </w:r>
      <w:r>
        <w:t xml:space="preserve">along five attributes. For the running example the population is</w:t>
      </w:r>
      <w:r>
        <w:t xml:space="preserve"> </w:t>
      </w:r>
      <w:r>
        <w:t xml:space="preserve">adults eligible at the index visit. The treatment is a binary point</w:t>
      </w:r>
      <w:r>
        <w:t xml:space="preserve"> </w:t>
      </w:r>
      <w:r>
        <w:t xml:space="preserve">exposure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at index. The endpoint is a binary</w:t>
      </w:r>
      <w:r>
        <w:t xml:space="preserve"> </w:t>
      </w:r>
      <w:r>
        <w:t xml:space="preserve">indicator of the primary event by 24 months, denoted</w:t>
      </w:r>
      <w:r>
        <w:t xml:space="preserve"> </w:t>
      </w:r>
      <m:oMath>
        <m:r>
          <m:t>Y</m:t>
        </m:r>
      </m:oMath>
      <w:r>
        <w:t xml:space="preserve">. The</w:t>
      </w:r>
      <w:r>
        <w:t xml:space="preserve"> </w:t>
      </w:r>
      <w:r>
        <w:t xml:space="preserve">summary measure is the marginal counterfactual risk difference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{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}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{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}</m:t>
        </m:r>
      </m:oMath>
      <w:r>
        <w:t xml:space="preserve">. Intercurrent events are handled</w:t>
      </w:r>
      <w:r>
        <w:t xml:space="preserve"> </w:t>
      </w:r>
      <w:r>
        <w:t xml:space="preserve">under a treatment-policy strategy; censoring and treatment</w:t>
      </w:r>
      <w:r>
        <w:t xml:space="preserve"> </w:t>
      </w:r>
      <w:r>
        <w:t xml:space="preserve">switching are not modelled in this illustration. The corresponding</w:t>
      </w:r>
      <w:r>
        <w:t xml:space="preserve"> </w:t>
      </w:r>
      <w:r>
        <w:t xml:space="preserve">statistical estimand under the identification assumptions in</w:t>
      </w:r>
      <w:r>
        <w:t xml:space="preserve"> </w:t>
      </w:r>
      <w:r>
        <w:t xml:space="preserve">§</w:t>
      </w:r>
      <w:r>
        <w:t xml:space="preserve"> </w:t>
      </w:r>
      <w:r>
        <w:t xml:space="preserve">is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W</m:t>
            </m:r>
          </m:sub>
        </m:sSub>
        <m:r>
          <m:rPr>
            <m:sty m:val="p"/>
          </m:rPr>
          <m:t>{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marginal g-formula contrast</w:t>
      </w:r>
      <w:r>
        <w:t xml:space="preserve"> </w:t>
      </w:r>
      <w:r>
        <w:t xml:space="preserve">(J. Robins 1986; Miguel A. Hernán and Robins 2020)</w:t>
      </w:r>
      <w:r>
        <w:t xml:space="preserve">.</w:t>
      </w:r>
    </w:p>
    <w:p>
      <w:pPr>
        <w:pStyle w:val="BodyText"/>
      </w:pPr>
      <w:r>
        <w:t xml:space="preserve">In the package this specification is attached to the lock with</w:t>
      </w:r>
      <w:r>
        <w:t xml:space="preserve"> </w:t>
      </w:r>
      <w:r>
        <w:rPr>
          <w:rStyle w:val="VerbatimChar"/>
        </w:rPr>
        <w:t xml:space="preserve">attach_estimand()</w:t>
      </w:r>
      <w:r>
        <w:t xml:space="preserve"> </w:t>
      </w:r>
      <w:r>
        <w:t xml:space="preserve">at Stage 1a and is preserved on the lock object</w:t>
      </w:r>
      <w:r>
        <w:t xml:space="preserve"> </w:t>
      </w:r>
      <w:r>
        <w:t xml:space="preserve">that downstream stages consume. The estimand fields are not part of</w:t>
      </w:r>
      <w:r>
        <w:t xml:space="preserve"> </w:t>
      </w:r>
      <w:r>
        <w:t xml:space="preserve">the integrity fingerprint computed by</w:t>
      </w:r>
      <w:r>
        <w:t xml:space="preserve"> </w:t>
      </w:r>
      <w:r>
        <w:rPr>
          <w:rStyle w:val="VerbatimChar"/>
        </w:rPr>
        <w:t xml:space="preserve">create_analysis_lock()</w:t>
      </w:r>
      <w:r>
        <w:t xml:space="preserve">;</w:t>
      </w:r>
      <w:r>
        <w:t xml:space="preserve"> </w:t>
      </w:r>
      <w:r>
        <w:t xml:space="preserve">analysts who want a tamper-evident estimand record should pair</w:t>
      </w:r>
      <w:r>
        <w:t xml:space="preserve"> </w:t>
      </w:r>
      <w:r>
        <w:rPr>
          <w:rStyle w:val="VerbatimChar"/>
        </w:rPr>
        <w:t xml:space="preserve">attach_estimand()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record_decision_log_entry()</w:t>
      </w:r>
      <w:r>
        <w:t xml:space="preserve"> </w:t>
      </w:r>
      <w:r>
        <w:t xml:space="preserve">call so</w:t>
      </w:r>
      <w:r>
        <w:t xml:space="preserve"> </w:t>
      </w:r>
      <w:r>
        <w:t xml:space="preserve">that any later modification is visible in the exported decision</w:t>
      </w:r>
      <w:r>
        <w:t xml:space="preserve"> </w:t>
      </w:r>
      <w:r>
        <w:t xml:space="preserve">log.</w:t>
      </w:r>
    </w:p>
    <w:bookmarkEnd w:id="39"/>
    <w:bookmarkStart w:id="40" w:name="causal-model"/>
    <w:p>
      <w:pPr>
        <w:pStyle w:val="Heading2"/>
      </w:pPr>
      <w:r>
        <w:t xml:space="preserve">3.2 Causal model</w:t>
      </w:r>
    </w:p>
    <w:p>
      <w:pPr>
        <w:pStyle w:val="FirstParagraph"/>
      </w:pPr>
      <w:r>
        <w:t xml:space="preserve">The data-generating process has five baseline covariates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age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sex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biomarker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comorbidity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CKD</m:t>
            </m:r>
          </m:e>
        </m:d>
      </m:oMath>
      <w:r>
        <w:t xml:space="preserve">,</w:t>
      </w:r>
      <w:r>
        <w:t xml:space="preserve"> </w:t>
      </w:r>
      <w:r>
        <w:t xml:space="preserve">a binary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W</m:t>
        </m:r>
      </m:oMath>
      <w:r>
        <w:t xml:space="preserve">, and 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 24 months. In the unmeasured-confounding scenario a binary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nor/>
            <m:sty m:val="p"/>
          </m:rPr>
          <m:t>Bern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U</m:t>
                </m:r>
              </m:sub>
            </m:sSub>
          </m:e>
        </m:d>
      </m:oMath>
      <w:r>
        <w:t xml:space="preserve"> </w:t>
      </w:r>
      <w:r>
        <w:t xml:space="preserve">also 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 The DAG</w:t>
      </w:r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VerbatimChar"/>
        </w:rPr>
        <w:t xml:space="preserve">   W ───► A ──► Y</w:t>
      </w:r>
      <w:r>
        <w:br/>
      </w:r>
      <w:r>
        <w:rPr>
          <w:rStyle w:val="VerbatimChar"/>
        </w:rPr>
        <w:t xml:space="preserve">   │          ▲</w:t>
      </w:r>
      <w:r>
        <w:br/>
      </w:r>
      <w:r>
        <w:rPr>
          <w:rStyle w:val="VerbatimChar"/>
        </w:rPr>
        <w:t xml:space="preserve">   └──────────┘</w:t>
      </w:r>
      <w:r>
        <w:br/>
      </w:r>
      <w:r>
        <w:rPr>
          <w:rStyle w:val="VerbatimChar"/>
        </w:rPr>
        <w:t xml:space="preserve">   (Scenario C only:)</w:t>
      </w:r>
      <w:r>
        <w:br/>
      </w:r>
      <w:r>
        <w:rPr>
          <w:rStyle w:val="VerbatimChar"/>
        </w:rPr>
        <w:t xml:space="preserve">   U ──► A</w:t>
      </w:r>
      <w:r>
        <w:br/>
      </w:r>
      <w:r>
        <w:rPr>
          <w:rStyle w:val="VerbatimChar"/>
        </w:rPr>
        <w:t xml:space="preserve">   U ──► Y</w:t>
      </w:r>
    </w:p>
    <w:p>
      <w:pPr>
        <w:pStyle w:val="FirstParagraph"/>
      </w:pPr>
      <w:r>
        <w:t xml:space="preserve">with no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(point exposure) and no arrow</w:t>
      </w:r>
      <w:r>
        <w:t xml:space="preserve"> </w:t>
      </w:r>
      <w:r>
        <w:t xml:space="preserve">between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.</w:t>
      </w:r>
    </w:p>
    <w:bookmarkEnd w:id="40"/>
    <w:bookmarkStart w:id="41" w:name="event-process-classification"/>
    <w:p>
      <w:pPr>
        <w:pStyle w:val="Heading2"/>
      </w:pPr>
      <w:r>
        <w:t xml:space="preserve">3.3 Event-process classification</w:t>
      </w:r>
    </w:p>
    <w:p>
      <w:pPr>
        <w:pStyle w:val="FirstParagraph"/>
      </w:pPr>
      <w:r>
        <w:t xml:space="preserve">A recurring source of ambiguity in real-world evidence analyses</w:t>
      </w:r>
      <w:r>
        <w:t xml:space="preserve"> </w:t>
      </w:r>
      <w:r>
        <w:t xml:space="preserve">is the treatment of post-baseline events such as treatment</w:t>
      </w:r>
      <w:r>
        <w:t xml:space="preserve"> </w:t>
      </w:r>
      <w:r>
        <w:t xml:space="preserve">discontinuation, treatment switching, death, loss to follow-up,</w:t>
      </w:r>
      <w:r>
        <w:t xml:space="preserve"> </w:t>
      </w:r>
      <w:r>
        <w:t xml:space="preserve">administrative end of follow-up, and missing outcome measurement.</w:t>
      </w:r>
      <w:r>
        <w:t xml:space="preserve"> </w:t>
      </w:r>
      <w:r>
        <w:t xml:space="preserve">These events should not be assigned generically to censoring or</w:t>
      </w:r>
      <w:r>
        <w:t xml:space="preserve"> </w:t>
      </w:r>
      <w:r>
        <w:t xml:space="preserve">exclusion rules. Instead, each event should be mapped to its role</w:t>
      </w:r>
      <w:r>
        <w:t xml:space="preserve"> </w:t>
      </w:r>
      <w:r>
        <w:t xml:space="preserve">in the causal estimand, its corresponding ICH E9(R1)</w:t>
      </w:r>
      <w:r>
        <w:t xml:space="preserve"> </w:t>
      </w:r>
      <w:r>
        <w:t xml:space="preserve">intercurrent-event strategy when applicable, and its operational</w:t>
      </w:r>
      <w:r>
        <w:t xml:space="preserve"> </w:t>
      </w:r>
      <w:r>
        <w:t xml:space="preserve">role in estimation. For example, death may be an outcome, a</w:t>
      </w:r>
      <w:r>
        <w:t xml:space="preserve"> </w:t>
      </w:r>
      <w:r>
        <w:t xml:space="preserve">competing event, a component of a composite endpoint, or an</w:t>
      </w:r>
      <w:r>
        <w:t xml:space="preserve"> </w:t>
      </w:r>
      <w:r>
        <w:t xml:space="preserve">intercurrent event requiring a treatment-policy, hypothetical,</w:t>
      </w:r>
      <w:r>
        <w:t xml:space="preserve"> </w:t>
      </w:r>
      <w:r>
        <w:t xml:space="preserve">composite, while-on-treatment, or principal-stratum strategy,</w:t>
      </w:r>
      <w:r>
        <w:t xml:space="preserve"> </w:t>
      </w:r>
      <w:r>
        <w:t xml:space="preserve">depending on the clinical question. This classification should be</w:t>
      </w:r>
      <w:r>
        <w:t xml:space="preserve"> </w:t>
      </w:r>
      <w:r>
        <w:t xml:space="preserve">prespecified and linked to sensitivity analyses; the package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clean_event_process_table()</w:t>
      </w:r>
      <w:r>
        <w:t xml:space="preserve"> </w:t>
      </w:r>
      <w:r>
        <w:t xml:space="preserve">to record it as a</w:t>
      </w:r>
      <w:r>
        <w:t xml:space="preserve"> </w:t>
      </w:r>
      <w:r>
        <w:t xml:space="preserve">structured object that the audit log can carry.</w:t>
      </w:r>
    </w:p>
    <w:bookmarkEnd w:id="41"/>
    <w:bookmarkStart w:id="42" w:name="sec-id"/>
    <w:p>
      <w:pPr>
        <w:pStyle w:val="Heading2"/>
      </w:pPr>
      <w:r>
        <w:t xml:space="preserve">3.4 Identifiability assumptions</w:t>
      </w:r>
    </w:p>
    <w:p>
      <w:pPr>
        <w:pStyle w:val="FirstParagraph"/>
      </w:pPr>
      <w:r>
        <w:t xml:space="preserve">Under this DAG,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identified by the g-formula if the</w:t>
      </w:r>
      <w:r>
        <w:t xml:space="preserve"> </w:t>
      </w:r>
      <w:r>
        <w:t xml:space="preserve">following six assumptions hold</w:t>
      </w:r>
      <w:r>
        <w:t xml:space="preserve"> </w:t>
      </w:r>
      <w:r>
        <w:t xml:space="preserve">(Miguel A. Hernán and Robins 2020)</w:t>
      </w:r>
      <w:r>
        <w:t xml:space="preserve">. We list each</w:t>
      </w:r>
      <w:r>
        <w:t xml:space="preserve"> </w:t>
      </w:r>
      <w:r>
        <w:t xml:space="preserve">assumption together with the DQ stress-test scenario that probes</w:t>
      </w:r>
      <w:r>
        <w:t xml:space="preserve"> </w:t>
      </w:r>
      <w:r>
        <w:t xml:space="preserve">it; this mapping is one of the main reasons the DQ stress test is</w:t>
      </w:r>
      <w:r>
        <w:t xml:space="preserve"> </w:t>
      </w:r>
      <w:r>
        <w:t xml:space="preserve">useful.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Conditional exchangeability</w:t>
      </w:r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⊥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⊥</m:t>
        </m:r>
        <m:r>
          <m:t>A</m:t>
        </m:r>
        <m:r>
          <m:rPr>
            <m:sty m:val="p"/>
          </m:rPr>
          <m:t>∣</m:t>
        </m:r>
        <m:r>
          <m:t>W</m:t>
        </m:r>
      </m:oMath>
      <w:r>
        <w:t xml:space="preserve">.</w:t>
      </w:r>
      <w:r>
        <w:t xml:space="preserve"> </w:t>
      </w:r>
      <w:r>
        <w:t xml:space="preserve">This holds in scenarios A and B by construction. It is violated</w:t>
      </w:r>
      <w:r>
        <w:t xml:space="preserve"> </w:t>
      </w:r>
      <w:r>
        <w:t xml:space="preserve">by construction in scenario C, 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in the analyst’s</w:t>
      </w:r>
      <w:r>
        <w:t xml:space="preserve"> </w:t>
      </w:r>
      <w:r>
        <w:t xml:space="preserve">adjustment set.</w:t>
      </w:r>
      <w:r>
        <w:t xml:space="preserve"> </w:t>
      </w:r>
      <w:r>
        <w:rPr>
          <w:b/>
          <w:bCs/>
        </w:rPr>
        <w:t xml:space="preserve">Probed by:</w:t>
      </w:r>
      <w:r>
        <w:t xml:space="preserve"> </w:t>
      </w:r>
      <w:r>
        <w:t xml:space="preserve">the unmeasured-confounding scenario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Positivity</w:t>
      </w:r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W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support. Scenario A satisfies this comfortably. Scenario B</w:t>
      </w:r>
      <w:r>
        <w:t xml:space="preserve"> </w:t>
      </w:r>
      <w:r>
        <w:t xml:space="preserve">pushes the propensity toward the boundary but does not violate</w:t>
      </w:r>
      <w:r>
        <w:t xml:space="preserve"> </w:t>
      </w:r>
      <w:r>
        <w:t xml:space="preserve">it in the limit.</w:t>
      </w:r>
      <w:r>
        <w:t xml:space="preserve"> </w:t>
      </w:r>
      <w:r>
        <w:rPr>
          <w:b/>
          <w:bCs/>
        </w:rPr>
        <w:t xml:space="preserve">Probed by:</w:t>
      </w:r>
      <w:r>
        <w:t xml:space="preserve"> </w:t>
      </w:r>
      <w:r>
        <w:t xml:space="preserve">the truncation level of each TMLE</w:t>
      </w:r>
      <w:r>
        <w:t xml:space="preserve"> </w:t>
      </w:r>
      <w:r>
        <w:t xml:space="preserve">candidate; near-positivity violations show up as inflated SE/SD</w:t>
      </w:r>
      <w:r>
        <w:t xml:space="preserve"> </w:t>
      </w:r>
      <w:r>
        <w:t xml:space="preserve">in the baseline plasmode metrics.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Consistency / SUTVA</w:t>
      </w:r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.</w:t>
      </w:r>
      <w:r>
        <w:t xml:space="preserve"> </w:t>
      </w:r>
      <w:r>
        <w:rPr>
          <w:b/>
          <w:bCs/>
        </w:rPr>
        <w:t xml:space="preserve">Probed by:</w:t>
      </w:r>
      <w:r>
        <w:t xml:space="preserve"> </w:t>
      </w:r>
      <w:r>
        <w:t xml:space="preserve">the treatment-</w:t>
      </w:r>
      <w:r>
        <w:t xml:space="preserve"> </w:t>
      </w:r>
      <w:r>
        <w:t xml:space="preserve">misclassification scenario, which simulates a violation of</w:t>
      </w:r>
      <w:r>
        <w:t xml:space="preserve"> </w:t>
      </w:r>
      <w:r>
        <w:t xml:space="preserve">consistency caused by exposure-algorithm error.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No measurement error in the outcome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Probed</w:t>
      </w:r>
      <w:r>
        <w:rPr>
          <w:b/>
          <w:bCs/>
        </w:rPr>
        <w:t xml:space="preserve"> </w:t>
      </w:r>
      <w:r>
        <w:rPr>
          <w:b/>
          <w:bCs/>
        </w:rPr>
        <w:t xml:space="preserve">by:</w:t>
      </w:r>
      <w:r>
        <w:t xml:space="preserve"> </w:t>
      </w:r>
      <w:r>
        <w:t xml:space="preserve">the outcome-misclassification scenario, with optional</w:t>
      </w:r>
      <w:r>
        <w:t xml:space="preserve"> </w:t>
      </w:r>
      <w:r>
        <w:t xml:space="preserve">per-arm differential misclassification.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Stratified MCAR for the covariates</w:t>
      </w:r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missing completely</w:t>
      </w:r>
      <w:r>
        <w:t xml:space="preserve"> </w:t>
      </w:r>
      <w:r>
        <w:t xml:space="preserve">at random within strata of fully measured variables.</w:t>
      </w:r>
      <w:r>
        <w:t xml:space="preserve"> </w:t>
      </w:r>
      <w:r>
        <w:rPr>
          <w:b/>
          <w:bCs/>
        </w:rPr>
        <w:t xml:space="preserve">Probed</w:t>
      </w:r>
      <w:r>
        <w:rPr>
          <w:b/>
          <w:bCs/>
        </w:rPr>
        <w:t xml:space="preserve"> </w:t>
      </w:r>
      <w:r>
        <w:rPr>
          <w:b/>
          <w:bCs/>
        </w:rPr>
        <w:t xml:space="preserve">by:</w:t>
      </w:r>
      <w:r>
        <w:t xml:space="preserve"> </w:t>
      </w:r>
      <w:r>
        <w:t xml:space="preserve">the covariate-missingness scenario, which sets a fraction</w:t>
      </w:r>
      <w:r>
        <w:t xml:space="preserve"> </w:t>
      </w:r>
      <w:r>
        <w:t xml:space="preserve">of values to NA and imputes with the column median.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Correctly specified nuisance models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, including the SuperLearner library and the truncation rule.</w:t>
      </w:r>
      <w:r>
        <w:t xml:space="preserve"> </w:t>
      </w:r>
      <w:r>
        <w:rPr>
          <w:b/>
          <w:bCs/>
        </w:rPr>
        <w:t xml:space="preserve">Probed by:</w:t>
      </w:r>
      <w:r>
        <w:t xml:space="preserve"> </w:t>
      </w:r>
      <w:r>
        <w:t xml:space="preserve">the standard plasmode candidate-selection metrics,</w:t>
      </w:r>
      <w:r>
        <w:t xml:space="preserve"> </w:t>
      </w:r>
      <w:r>
        <w:t xml:space="preserve">which compare candidates that vary the SuperLearner library and</w:t>
      </w:r>
      <w:r>
        <w:t xml:space="preserve"> </w:t>
      </w:r>
      <w:r>
        <w:t xml:space="preserve">the truncation rule.</w:t>
      </w:r>
    </w:p>
    <w:p>
      <w:pPr>
        <w:pStyle w:val="FirstParagraph"/>
      </w:pPr>
      <w:r>
        <w:t xml:space="preserve">The simulation thus contains one analytic challenge (marginal</w:t>
      </w:r>
      <w:r>
        <w:t xml:space="preserve"> </w:t>
      </w:r>
      <w:r>
        <w:t xml:space="preserve">overlap, B) and one identifiability violation (unmeasured</w:t>
      </w:r>
      <w:r>
        <w:t xml:space="preserve"> </w:t>
      </w:r>
      <w:r>
        <w:t xml:space="preserve">confounding, C). We use C to demonstrate what the DQ stress test</w:t>
      </w:r>
      <w:r>
        <w:t xml:space="preserve"> </w:t>
      </w:r>
      <w:r>
        <w:t xml:space="preserve">detects when an unmeasured confounder is anticipated, and to</w:t>
      </w:r>
      <w:r>
        <w:t xml:space="preserve"> </w:t>
      </w:r>
      <w:r>
        <w:t xml:space="preserve">contrast the stress-test output with the post-hoc E-value</w:t>
      </w:r>
      <w:r>
        <w:t xml:space="preserve"> </w:t>
      </w:r>
      <w:r>
        <w:t xml:space="preserve">(VanderWeele and Ding 2017)</w:t>
      </w:r>
      <w:r>
        <w:t xml:space="preserve"> </w:t>
      </w:r>
      <w:r>
        <w:t xml:space="preserve">and with the negative-control-outcome</w:t>
      </w:r>
      <w:r>
        <w:t xml:space="preserve"> </w:t>
      </w:r>
      <w:r>
        <w:t xml:space="preserve">check</w:t>
      </w:r>
      <w:r>
        <w:t xml:space="preserve"> </w:t>
      </w:r>
      <w:r>
        <w:t xml:space="preserve">(Lipsitch, Tchetgen Tchetgen, and Cohen 2010)</w:t>
      </w:r>
      <w:r>
        <w:t xml:space="preserve">.</w:t>
      </w:r>
    </w:p>
    <w:bookmarkEnd w:id="42"/>
    <w:bookmarkEnd w:id="43"/>
    <w:bookmarkStart w:id="48" w:name="sec-framework"/>
    <w:p>
      <w:pPr>
        <w:pStyle w:val="Heading1"/>
      </w:pPr>
      <w:r>
        <w:t xml:space="preserve">4. The cleanTMLE Framework</w:t>
      </w:r>
    </w:p>
    <w:bookmarkStart w:id="44" w:name="staged-workflow"/>
    <w:p>
      <w:pPr>
        <w:pStyle w:val="Heading2"/>
      </w:pPr>
      <w:r>
        <w:t xml:space="preserve">4.1 Staged workflow</w:t>
      </w:r>
    </w:p>
    <w:p>
      <w:pPr>
        <w:pStyle w:val="FirstParagraph"/>
      </w:pPr>
      <w:r>
        <w:t xml:space="preserve">cleanTMLE adopts the staged design described informally in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and formalised in</w:t>
      </w:r>
      <w:r>
        <w:t xml:space="preserve"> </w:t>
      </w:r>
      <w:r>
        <w:t xml:space="preserve">Dang et al. (2023)</w:t>
      </w:r>
      <w:r>
        <w:t xml:space="preserve"> </w:t>
      </w:r>
      <w:r>
        <w:t xml:space="preserve">and</w:t>
      </w:r>
      <w:r>
        <w:t xml:space="preserve"> </w:t>
      </w:r>
      <w:r>
        <w:t xml:space="preserve">Gruber, Lee, et al. (2024)</w:t>
      </w:r>
      <w:r>
        <w:t xml:space="preserve">. Stage names below are package-internal labels;</w:t>
      </w:r>
      <w:r>
        <w:t xml:space="preserve"> </w:t>
      </w:r>
      <w:r>
        <w:t xml:space="preserve">the stage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matches Steps 0–6 of</w:t>
      </w:r>
      <w:r>
        <w:t xml:space="preserve"> </w:t>
      </w:r>
      <w:r>
        <w:t xml:space="preserve">Dang et al. (2023)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37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Does the function read the outcome?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Feasibility assessment, utilisation study, draft protocol/SAP</w:t>
            </w:r>
            <w:r>
              <w:t xml:space="preserve"> </w:t>
            </w:r>
            <w:r>
              <w:t xml:space="preserve">(Muntner et al. 2024; Kent 2026)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(no data access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Lock estimand, covariates, SuperLearner library, candidate grid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Cohort adequacy: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per arm, events, design precision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Propensity-score diagnostics: overlap, ESS, balance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Outcome-blind plasmode candidate selection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(synthetic outcome)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2b*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Plasmode DQ stress test (proposed)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(synthetic outcome)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Negative-control outcomes, residual-bias 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NC outcomes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Pre-outcome authorisation: GO/FLAG/STOP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Primary comparative analysis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Stages 1–3 do not access the real outcome. The plasmode at Stage</w:t>
      </w:r>
      <w:r>
        <w:t xml:space="preserve"> </w:t>
      </w:r>
      <w:r>
        <w:t xml:space="preserve">2b generates synthetic outcomes from a parametric model fitted to</w:t>
      </w:r>
      <w:r>
        <w:t xml:space="preserve"> </w:t>
      </w:r>
      <w:r>
        <w:t xml:space="preserve">the real covariates and treatment, which is why it is a natural</w:t>
      </w:r>
      <w:r>
        <w:t xml:space="preserve"> </w:t>
      </w:r>
      <w:r>
        <w:t xml:space="preserve">host for the DQ stress test we describe in §</w:t>
      </w:r>
      <w:r>
        <w:t xml:space="preserve">.</w:t>
      </w:r>
    </w:p>
    <w:bookmarkEnd w:id="44"/>
    <w:bookmarkStart w:id="45" w:name="Xa0fa50b0ecc282f67ff4b404986adbd19fb41cd"/>
    <w:p>
      <w:pPr>
        <w:pStyle w:val="Heading2"/>
      </w:pPr>
      <w:r>
        <w:t xml:space="preserve">4.2 How the workflow records and protects analytic decisions</w:t>
      </w:r>
    </w:p>
    <w:p>
      <w:pPr>
        <w:pStyle w:val="FirstParagraph"/>
      </w:pPr>
      <w:r>
        <w:t xml:space="preserve">The analysis lock is the central object on which all later</w:t>
      </w:r>
      <w:r>
        <w:t xml:space="preserve"> </w:t>
      </w:r>
      <w:r>
        <w:t xml:space="preserve">diagnostics depend. It is created at the start of the workflow and</w:t>
      </w:r>
      <w:r>
        <w:t xml:space="preserve"> </w:t>
      </w:r>
      <w:r>
        <w:t xml:space="preserve">records the prespecified analytic specification: the analytic</w:t>
      </w:r>
      <w:r>
        <w:t xml:space="preserve"> </w:t>
      </w:r>
      <w:r>
        <w:t xml:space="preserve">dataset, the treatment, outcome, and covariate column names, the</w:t>
      </w:r>
      <w:r>
        <w:t xml:space="preserve"> </w:t>
      </w:r>
      <w:r>
        <w:t xml:space="preserve">nuisance-learning library, and the random seed. A fingerprint of</w:t>
      </w:r>
      <w:r>
        <w:t xml:space="preserve"> </w:t>
      </w:r>
      <w:r>
        <w:t xml:space="preserve">those fields is recorded so that the same lock can be reconciled</w:t>
      </w:r>
      <w:r>
        <w:t xml:space="preserve"> </w:t>
      </w:r>
      <w:r>
        <w:t xml:space="preserve">later by an external reviewer; the estimand and the prespecified</w:t>
      </w:r>
      <w:r>
        <w:t xml:space="preserve"> </w:t>
      </w:r>
      <w:r>
        <w:t xml:space="preserve">choice of estimator are attached after the lock is created and are</w:t>
      </w:r>
      <w:r>
        <w:t xml:space="preserve"> </w:t>
      </w:r>
      <w:r>
        <w:t xml:space="preserve">captured by the audit trail rather than by the fingerprint, so any</w:t>
      </w:r>
      <w:r>
        <w:t xml:space="preserve"> </w:t>
      </w:r>
      <w:r>
        <w:t xml:space="preserve">change to those fields appears as a separate entry in the audit.</w:t>
      </w:r>
      <w:r>
        <w:t xml:space="preserve"> </w:t>
      </w:r>
      <w:r>
        <w:t xml:space="preserve">While the analysis is outcome-blind, the lock is held in a state</w:t>
      </w:r>
      <w:r>
        <w:t xml:space="preserve"> </w:t>
      </w:r>
      <w:r>
        <w:t xml:space="preserve">in which the outcome column is masked; the workflow restores the</w:t>
      </w:r>
      <w:r>
        <w:t xml:space="preserve"> </w:t>
      </w:r>
      <w:r>
        <w:t xml:space="preserve">outcome only after the prespecified diagnostics and checkpoint</w:t>
      </w:r>
      <w:r>
        <w:t xml:space="preserve"> </w:t>
      </w:r>
      <w:r>
        <w:t xml:space="preserve">review have been completed. Outcome-analysis functions verify that</w:t>
      </w:r>
      <w:r>
        <w:t xml:space="preserve"> </w:t>
      </w:r>
      <w:r>
        <w:t xml:space="preserve">this review has been completed before allowing access to the</w:t>
      </w:r>
      <w:r>
        <w:t xml:space="preserve"> </w:t>
      </w:r>
      <w:r>
        <w:t xml:space="preserve">observed outcome.</w:t>
      </w:r>
    </w:p>
    <w:p>
      <w:pPr>
        <w:pStyle w:val="BodyText"/>
      </w:pPr>
      <w:r>
        <w:t xml:space="preserve">Two complementary records track analytic decisions through the</w:t>
      </w:r>
      <w:r>
        <w:t xml:space="preserve"> </w:t>
      </w:r>
      <w:r>
        <w:t xml:space="preserve">workflow. The audit trail accumulates entries automatically from</w:t>
      </w:r>
      <w:r>
        <w:t xml:space="preserve"> </w:t>
      </w:r>
      <w:r>
        <w:t xml:space="preserve">the checkpoint diagnostics, recording what was evaluated, when,</w:t>
      </w:r>
      <w:r>
        <w:t xml:space="preserve"> </w:t>
      </w:r>
      <w:r>
        <w:t xml:space="preserve">and against which prespecified criteria. The decision log captures</w:t>
      </w:r>
      <w:r>
        <w:t xml:space="preserve"> </w:t>
      </w:r>
      <w:r>
        <w:t xml:space="preserve">analyst choices and any deviations from the protocol, with a brief</w:t>
      </w:r>
      <w:r>
        <w:t xml:space="preserve"> </w:t>
      </w:r>
      <w:r>
        <w:t xml:space="preserve">rationale for each. Both can be exported as tidy data frames and</w:t>
      </w:r>
      <w:r>
        <w:t xml:space="preserve"> </w:t>
      </w:r>
      <w:r>
        <w:t xml:space="preserve">archived alongside the lock; the audit trail is linked to the</w:t>
      </w:r>
      <w:r>
        <w:t xml:space="preserve"> </w:t>
      </w:r>
      <w:r>
        <w:t xml:space="preserve">prespecified analysis object, so deviations from the recorded</w:t>
      </w:r>
      <w:r>
        <w:t xml:space="preserve"> </w:t>
      </w:r>
      <w:r>
        <w:t xml:space="preserve">workflow can be detected during review. The exported decision log</w:t>
      </w:r>
      <w:r>
        <w:t xml:space="preserve"> </w:t>
      </w:r>
      <w:r>
        <w:t xml:space="preserve">follows the structure of the Romiplostim worked example</w:t>
      </w:r>
      <w:r>
        <w:t xml:space="preserve"> </w:t>
      </w:r>
      <w:r>
        <w:t xml:space="preserve">(McGrath et al. 2021)</w:t>
      </w:r>
      <w:r>
        <w:t xml:space="preserve">, which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take as the</w:t>
      </w:r>
      <w:r>
        <w:t xml:space="preserve"> </w:t>
      </w:r>
      <w:r>
        <w:t xml:space="preserve">reference template for a staged clean-room decision record.</w:t>
      </w:r>
    </w:p>
    <w:p>
      <w:pPr>
        <w:pStyle w:val="BodyText"/>
      </w:pPr>
      <w:r>
        <w:t xml:space="preserve">Beyond a single outcome-masking step,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and</w:t>
      </w:r>
      <w:r>
        <w:t xml:space="preserve"> </w:t>
      </w:r>
      <w:r>
        <w:t xml:space="preserve">Kent (2026)</w:t>
      </w:r>
      <w:r>
        <w:t xml:space="preserve"> </w:t>
      </w:r>
      <w:r>
        <w:t xml:space="preserve">recommend tiered, role-based access in which</w:t>
      </w:r>
      <w:r>
        <w:t xml:space="preserve"> </w:t>
      </w:r>
      <w:r>
        <w:t xml:space="preserve">analytic advisors see summary outputs by stage and checkpoint</w:t>
      </w:r>
      <w:r>
        <w:t xml:space="preserve"> </w:t>
      </w:r>
      <w:r>
        <w:t xml:space="preserve">reviewers see summary outputs only by checkpoint. The exported</w:t>
      </w:r>
      <w:r>
        <w:t xml:space="preserve"> </w:t>
      </w:r>
      <w:r>
        <w:t xml:space="preserve">audit and decision logs support that arrangement at the workflow</w:t>
      </w:r>
      <w:r>
        <w:t xml:space="preserve"> </w:t>
      </w:r>
      <w:r>
        <w:t xml:space="preserve">level, providing reviewer-facing summaries that do not require</w:t>
      </w:r>
      <w:r>
        <w:t xml:space="preserve"> </w:t>
      </w:r>
      <w:r>
        <w:t xml:space="preserve">raw-data access.</w:t>
      </w:r>
    </w:p>
    <w:bookmarkEnd w:id="45"/>
    <w:bookmarkStart w:id="47" w:name="Xc984cda553dcb5ff3e402daad79821b8da4151d"/>
    <w:p>
      <w:pPr>
        <w:pStyle w:val="Heading2"/>
      </w:pPr>
      <w:r>
        <w:t xml:space="preserve">4.3 Personnel-based and simulation-based outcome blinding</w:t>
      </w:r>
    </w:p>
    <w:p>
      <w:pPr>
        <w:pStyle w:val="FirstParagraph"/>
      </w:pPr>
      <w:r>
        <w:t xml:space="preserve">Outcome blinding can be enforced in two complementary ways. The</w:t>
      </w:r>
      <w:r>
        <w:t xml:space="preserve"> </w:t>
      </w:r>
      <w:r>
        <w:t xml:space="preserve">first is personnel-based</w:t>
      </w:r>
      <w:r>
        <w:t xml:space="preserve"> </w:t>
      </w:r>
      <w:r>
        <w:t xml:space="preserve">(Muntner et al. 2024)</w:t>
      </w:r>
      <w:r>
        <w:t xml:space="preserve">. A blinded analyst</w:t>
      </w:r>
      <w:r>
        <w:t xml:space="preserve"> </w:t>
      </w:r>
      <w:r>
        <w:t xml:space="preserve">writes the analysis plan, defines the cohort, performs the design</w:t>
      </w:r>
      <w:r>
        <w:t xml:space="preserve"> </w:t>
      </w:r>
      <w:r>
        <w:t xml:space="preserve">diagnostics, and reaches the pre-outcome decision point; only then</w:t>
      </w:r>
      <w:r>
        <w:t xml:space="preserve"> </w:t>
      </w:r>
      <w:r>
        <w:t xml:space="preserve">does a separate analyst, or another role on the same team, link</w:t>
      </w:r>
      <w:r>
        <w:t xml:space="preserve"> </w:t>
      </w:r>
      <w:r>
        <w:t xml:space="preserve">the outcome and run the comparative analysis. Separation is</w:t>
      </w:r>
      <w:r>
        <w:t xml:space="preserve"> </w:t>
      </w:r>
      <w:r>
        <w:t xml:space="preserve">maintained by an institutional partition of duties and a</w:t>
      </w:r>
      <w:r>
        <w:t xml:space="preserve"> </w:t>
      </w:r>
      <w:r>
        <w:t xml:space="preserve">documented audit by a data manager who controls access to the</w:t>
      </w:r>
      <w:r>
        <w:t xml:space="preserve"> </w:t>
      </w:r>
      <w:r>
        <w:t xml:space="preserve">outcome variable. Reviewers and regulators evaluate two artefacts</w:t>
      </w:r>
      <w:r>
        <w:t xml:space="preserve"> </w:t>
      </w:r>
      <w:r>
        <w:t xml:space="preserve">at the end: a timestamped analysis plan and a final estimate</w:t>
      </w:r>
      <w:r>
        <w:t xml:space="preserve"> </w:t>
      </w:r>
      <w:r>
        <w:t xml:space="preserve">produced under that plan.</w:t>
      </w:r>
    </w:p>
    <w:p>
      <w:pPr>
        <w:pStyle w:val="BodyText"/>
      </w:pPr>
      <w:r>
        <w:t xml:space="preserve">Outcome-blind simulation addresses the same concern through a</w:t>
      </w:r>
      <w:r>
        <w:t xml:space="preserve"> </w:t>
      </w:r>
      <w:r>
        <w:t xml:space="preserve">different mechanism. Candidate estimators, truncation rules, and</w:t>
      </w:r>
      <w:r>
        <w:t xml:space="preserve"> </w:t>
      </w:r>
      <w:r>
        <w:t xml:space="preserve">data-quality scenarios may be evaluated using synthetic outcomes</w:t>
      </w:r>
      <w:r>
        <w:t xml:space="preserve"> </w:t>
      </w:r>
      <w:r>
        <w:t xml:space="preserve">generated without using the observed treatment–outcome</w:t>
      </w:r>
      <w:r>
        <w:t xml:space="preserve"> </w:t>
      </w:r>
      <w:r>
        <w:t xml:space="preserve">association. This allows investigators to compare estimators and</w:t>
      </w:r>
      <w:r>
        <w:t xml:space="preserve"> </w:t>
      </w:r>
      <w:r>
        <w:t xml:space="preserve">revise prespecified simulation settings before unblinding while</w:t>
      </w:r>
      <w:r>
        <w:t xml:space="preserve"> </w:t>
      </w:r>
      <w:r>
        <w:t xml:space="preserve">preserving separation from the observed comparative effect. The</w:t>
      </w:r>
      <w:r>
        <w:t xml:space="preserve"> </w:t>
      </w:r>
      <w:r>
        <w:t xml:space="preserve">software-mediated workflow partially substitutes for</w:t>
      </w:r>
      <w:r>
        <w:t xml:space="preserve"> </w:t>
      </w:r>
      <w:r>
        <w:t xml:space="preserve">personnel-based outcome separation by restricting outcome analysis</w:t>
      </w:r>
      <w:r>
        <w:t xml:space="preserve"> </w:t>
      </w:r>
      <w:r>
        <w:t xml:space="preserve">until prespecified review steps have been completed. It should be</w:t>
      </w:r>
      <w:r>
        <w:t xml:space="preserve"> </w:t>
      </w:r>
      <w:r>
        <w:t xml:space="preserve">viewed as complementary to, not a replacement for, traditional</w:t>
      </w:r>
      <w:r>
        <w:t xml:space="preserve"> </w:t>
      </w:r>
      <w:r>
        <w:t xml:space="preserve">clean-room governance. The audit and decision logs likewise</w:t>
      </w:r>
      <w:r>
        <w:t xml:space="preserve"> </w:t>
      </w:r>
      <w:r>
        <w:t xml:space="preserve">complement, rather than replace, the timestamped paper plan and</w:t>
      </w:r>
      <w:r>
        <w:t xml:space="preserve"> </w:t>
      </w:r>
      <w:r>
        <w:t xml:space="preserve">the data manager’s role; reviewers see transparent documentation</w:t>
      </w:r>
      <w:r>
        <w:t xml:space="preserve"> </w:t>
      </w:r>
      <w:r>
        <w:t xml:space="preserve">of every analytic decision alongside the institutional</w:t>
      </w:r>
      <w:r>
        <w:t xml:space="preserve"> </w:t>
      </w:r>
      <w:r>
        <w:t xml:space="preserve">documentation that already exists.</w:t>
      </w:r>
    </w:p>
    <w:p>
      <w:pPr>
        <w:pStyle w:val="BodyText"/>
      </w:pPr>
      <w:r>
        <w:t xml:space="preserve">The two arrangements address the same underlying concern, that</w:t>
      </w:r>
      <w:r>
        <w:t xml:space="preserve"> </w:t>
      </w:r>
      <w:r>
        <w:t xml:space="preserve">analytic decisions made after seeing the treatment–outcome</w:t>
      </w:r>
      <w:r>
        <w:t xml:space="preserve"> </w:t>
      </w:r>
      <w:r>
        <w:t xml:space="preserve">association are not credible, but they differ in their residual</w:t>
      </w:r>
      <w:r>
        <w:t xml:space="preserve"> </w:t>
      </w:r>
      <w:r>
        <w:t xml:space="preserve">risks. Personnel-based blinding requires an institutional</w:t>
      </w:r>
      <w:r>
        <w:t xml:space="preserve"> </w:t>
      </w:r>
      <w:r>
        <w:t xml:space="preserve">commitment to the partition of duties and tolerates ad-hoc</w:t>
      </w:r>
      <w:r>
        <w:t xml:space="preserve"> </w:t>
      </w:r>
      <w:r>
        <w:t xml:space="preserve">deviation by the blinded analyst, since the only ground truth is</w:t>
      </w:r>
      <w:r>
        <w:t xml:space="preserve"> </w:t>
      </w:r>
      <w:r>
        <w:t xml:space="preserve">the timestamped plan. Simulation-based blinding reduces the</w:t>
      </w:r>
      <w:r>
        <w:t xml:space="preserve"> </w:t>
      </w:r>
      <w:r>
        <w:t xml:space="preserve">personnel constraint but introduces a different residual risk: the</w:t>
      </w:r>
      <w:r>
        <w:t xml:space="preserve"> </w:t>
      </w:r>
      <w:r>
        <w:t xml:space="preserve">investigator must defend the assumption that the synthetic-outcome</w:t>
      </w:r>
      <w:r>
        <w:t xml:space="preserve"> </w:t>
      </w:r>
      <w:r>
        <w:t xml:space="preserve">mechanism is faithful enough to the real data-generating process</w:t>
      </w:r>
      <w:r>
        <w:t xml:space="preserve"> </w:t>
      </w:r>
      <w:r>
        <w:t xml:space="preserve">that estimator selection on simulations generalises to the</w:t>
      </w:r>
      <w:r>
        <w:t xml:space="preserve"> </w:t>
      </w:r>
      <w:r>
        <w:t xml:space="preserve">realised data. The arrangements are complementary, and a</w:t>
      </w:r>
      <w:r>
        <w:t xml:space="preserve"> </w:t>
      </w:r>
      <w:r>
        <w:t xml:space="preserve">defensible RWE pipeline can use both, applying the simulation-based</w:t>
      </w:r>
      <w:r>
        <w:t xml:space="preserve"> </w:t>
      </w:r>
      <w:r>
        <w:t xml:space="preserve">workflow inside an institutional partition of duties.</w:t>
      </w:r>
    </w:p>
    <w:bookmarkStart w:id="46" w:name="methodological-tradeoffs"/>
    <w:p>
      <w:pPr>
        <w:pStyle w:val="Heading3"/>
      </w:pPr>
      <w:r>
        <w:t xml:space="preserve">4.3.1 Methodological tradeoffs</w:t>
      </w:r>
    </w:p>
    <w:p>
      <w:pPr>
        <w:pStyle w:val="FirstParagraph"/>
      </w:pPr>
      <w:r>
        <w:t xml:space="preserve">Compared with personnel-mediated outcome blinding, the</w:t>
      </w:r>
      <w:r>
        <w:t xml:space="preserve"> </w:t>
      </w:r>
      <w:r>
        <w:t xml:space="preserve">simulation-mediated approach has the following tradeoffs.</w:t>
      </w:r>
    </w:p>
    <w:p>
      <w:pPr>
        <w:pStyle w:val="BodyText"/>
      </w:pPr>
      <w:r>
        <w:rPr>
          <w:i/>
          <w:iCs/>
        </w:rPr>
        <w:t xml:space="preserve">In favour:</w:t>
      </w:r>
      <w:r>
        <w:t xml:space="preserve"> </w:t>
      </w:r>
      <w:r>
        <w:t xml:space="preserve">a single statistician can produce a documented</w:t>
      </w:r>
      <w:r>
        <w:t xml:space="preserve"> </w:t>
      </w:r>
      <w:r>
        <w:t xml:space="preserve">prespecification without a separate unblinded role, with the</w:t>
      </w:r>
      <w:r>
        <w:t xml:space="preserve"> </w:t>
      </w:r>
      <w:r>
        <w:t xml:space="preserve">caveat that submission-grade studies should retain a personnel</w:t>
      </w:r>
      <w:r>
        <w:t xml:space="preserve"> </w:t>
      </w:r>
      <w:r>
        <w:t xml:space="preserve">partition; the prespecified set of candidate estimators, the</w:t>
      </w:r>
      <w:r>
        <w:t xml:space="preserve"> </w:t>
      </w:r>
      <w:r>
        <w:t xml:space="preserve">truncation thresholds, and the decision thresholds can be revised</w:t>
      </w:r>
      <w:r>
        <w:t xml:space="preserve"> </w:t>
      </w:r>
      <w:r>
        <w:t xml:space="preserve">after viewing simulation results because those results use</w:t>
      </w:r>
      <w:r>
        <w:t xml:space="preserve"> </w:t>
      </w:r>
      <w:r>
        <w:t xml:space="preserve">synthetic outcomes, so the analytic plan need not be re-frozen</w:t>
      </w:r>
      <w:r>
        <w:t xml:space="preserve"> </w:t>
      </w:r>
      <w:r>
        <w:t xml:space="preserve">each time a tuning choice is reconsidered; the design records</w:t>
      </w:r>
      <w:r>
        <w:t xml:space="preserve"> </w:t>
      </w:r>
      <w:r>
        <w:t xml:space="preserve">support transparent reconstruction of every prespecified decision</w:t>
      </w:r>
      <w:r>
        <w:t xml:space="preserve"> </w:t>
      </w:r>
      <w:r>
        <w:t xml:space="preserve">by an external reviewer; and the same simulation loop that</w:t>
      </w:r>
      <w:r>
        <w:t xml:space="preserve"> </w:t>
      </w:r>
      <w:r>
        <w:t xml:space="preserve">selects the candidate can be used to evaluate its robustness to</w:t>
      </w:r>
      <w:r>
        <w:t xml:space="preserve"> </w:t>
      </w:r>
      <w:r>
        <w:t xml:space="preserve">prespecified data-quality threats, an evaluation that has no</w:t>
      </w:r>
      <w:r>
        <w:t xml:space="preserve"> </w:t>
      </w:r>
      <w:r>
        <w:t xml:space="preserve">direct counterpart in personnel-based blinding, where data</w:t>
      </w:r>
      <w:r>
        <w:t xml:space="preserve"> </w:t>
      </w:r>
      <w:r>
        <w:t xml:space="preserve">fitness is documented qualitatively.</w:t>
      </w:r>
    </w:p>
    <w:p>
      <w:pPr>
        <w:pStyle w:val="BodyText"/>
      </w:pPr>
      <w:r>
        <w:rPr>
          <w:i/>
          <w:iCs/>
        </w:rPr>
        <w:t xml:space="preserve">Against:</w:t>
      </w:r>
      <w:r>
        <w:t xml:space="preserve"> </w:t>
      </w:r>
      <w:r>
        <w:t xml:space="preserve">the plasmode generator uses the realised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fit a covariate-only mean model, so the analyst learns the</w:t>
      </w:r>
      <w:r>
        <w:t xml:space="preserve"> </w:t>
      </w:r>
      <w:r>
        <w:t xml:space="preserve">marginal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W</m:t>
        </m:r>
      </m:oMath>
      <w:r>
        <w:t xml:space="preserve">, although not the joint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W</m:t>
        </m:r>
      </m:oMath>
      <w:r>
        <w:t xml:space="preserve"> </w:t>
      </w:r>
      <w:r>
        <w:t xml:space="preserve">relationship. The Dang causal-roadmap reading of</w:t>
      </w:r>
      <w:r>
        <w:t xml:space="preserve"> </w:t>
      </w:r>
      <w:r>
        <w:rPr>
          <w:i/>
          <w:iCs/>
        </w:rPr>
        <w:t xml:space="preserve">outcome-blind</w:t>
      </w:r>
      <w:r>
        <w:t xml:space="preserve"> </w:t>
      </w:r>
      <w:r>
        <w:t xml:space="preserve">permits this; a stricter clean-room reading would</w:t>
      </w:r>
      <w:r>
        <w:t xml:space="preserve"> </w:t>
      </w:r>
      <w:r>
        <w:t xml:space="preserve">require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W</m:t>
            </m:r>
          </m:e>
        </m:d>
      </m:oMath>
      <w:r>
        <w:t xml:space="preserve"> </w:t>
      </w:r>
      <w:r>
        <w:t xml:space="preserve">to come from external pilot data</w:t>
      </w:r>
      <w:r>
        <w:t xml:space="preserve"> </w:t>
      </w:r>
      <w:r>
        <w:t xml:space="preserve">(Dang et al. 2023, 7)</w:t>
      </w:r>
      <w:r>
        <w:t xml:space="preserve">, and the package supports both modes,</w:t>
      </w:r>
      <w:r>
        <w:t xml:space="preserve"> </w:t>
      </w:r>
      <w:r>
        <w:t xml:space="preserve">recording which mode was used. The synthetic outcome is generated</w:t>
      </w:r>
      <w:r>
        <w:t xml:space="preserve"> </w:t>
      </w:r>
      <w:r>
        <w:t xml:space="preserve">from a parametric model with a fixed risk difference, so effect</w:t>
      </w:r>
      <w:r>
        <w:t xml:space="preserve"> </w:t>
      </w:r>
      <w:r>
        <w:t xml:space="preserve">modification is not represented; a richer data-generating process</w:t>
      </w:r>
      <w:r>
        <w:t xml:space="preserve"> </w:t>
      </w:r>
      <w:r>
        <w:t xml:space="preserve">is possible but is not exercised here. Finally, when the analyst</w:t>
      </w:r>
      <w:r>
        <w:t xml:space="preserve"> </w:t>
      </w:r>
      <w:r>
        <w:t xml:space="preserve">also writes the plasmode and stress-test specifications, there is</w:t>
      </w:r>
      <w:r>
        <w:t xml:space="preserve"> </w:t>
      </w:r>
      <w:r>
        <w:t xml:space="preserve">no independent check that the synthetic-outcome mechanism is</w:t>
      </w:r>
      <w:r>
        <w:t xml:space="preserve"> </w:t>
      </w:r>
      <w:r>
        <w:t xml:space="preserve">faithful, whereas the personnel-based arrangement provides an</w:t>
      </w:r>
      <w:r>
        <w:t xml:space="preserve"> </w:t>
      </w:r>
      <w:r>
        <w:t xml:space="preserve">additional layer of cross-validation through the data manager.</w:t>
      </w:r>
    </w:p>
    <w:p>
      <w:pPr>
        <w:pStyle w:val="BodyText"/>
      </w:pPr>
      <w:r>
        <w:t xml:space="preserve">We document these trade-offs explicitly in the package’s</w:t>
      </w:r>
      <w:r>
        <w:t xml:space="preserve"> </w:t>
      </w:r>
      <w:r>
        <w:t xml:space="preserve">documentation so that the analyst can choose the level of</w:t>
      </w:r>
      <w:r>
        <w:t xml:space="preserve"> </w:t>
      </w:r>
      <w:r>
        <w:t xml:space="preserve">formality the study requires. For most pharmacoepidemiology RWE</w:t>
      </w:r>
      <w:r>
        <w:t xml:space="preserve"> </w:t>
      </w:r>
      <w:r>
        <w:t xml:space="preserve">studies the software-only mode is adequate; for high-stakes</w:t>
      </w:r>
      <w:r>
        <w:t xml:space="preserve"> </w:t>
      </w:r>
      <w:r>
        <w:t xml:space="preserve">regulatory submissions we recommend running cleanTMLE inside a</w:t>
      </w:r>
      <w:r>
        <w:t xml:space="preserve"> </w:t>
      </w:r>
      <w:r>
        <w:t xml:space="preserve">traditional clean-room arrangement so that both the institutional</w:t>
      </w:r>
      <w:r>
        <w:t xml:space="preserve"> </w:t>
      </w:r>
      <w:r>
        <w:t xml:space="preserve">and the computational guarantees apply.</w:t>
      </w:r>
    </w:p>
    <w:bookmarkEnd w:id="46"/>
    <w:bookmarkEnd w:id="47"/>
    <w:bookmarkEnd w:id="48"/>
    <w:bookmarkStart w:id="54" w:name="sec-dq"/>
    <w:p>
      <w:pPr>
        <w:pStyle w:val="Heading1"/>
      </w:pPr>
      <w:r>
        <w:t xml:space="preserve">5. Data Quality as a Quantifiable Threat</w:t>
      </w:r>
    </w:p>
    <w:bookmarkStart w:id="49" w:name="X4f009c1ca2a345c3f9f27806faafdc4c5929f9a"/>
    <w:p>
      <w:pPr>
        <w:pStyle w:val="Heading2"/>
      </w:pPr>
      <w:r>
        <w:t xml:space="preserve">5.1 Mapping data-quality concerns to plasmode parameters</w:t>
      </w:r>
    </w:p>
    <w:p>
      <w:pPr>
        <w:pStyle w:val="FirstParagraph"/>
      </w:pPr>
      <w:r>
        <w:t xml:space="preserve">SPIFD2</w:t>
      </w:r>
      <w:r>
        <w:t xml:space="preserve"> </w:t>
      </w:r>
      <w:r>
        <w:t xml:space="preserve">(Gatto et al. 2023)</w:t>
      </w:r>
      <w:r>
        <w:t xml:space="preserve"> </w:t>
      </w:r>
      <w:r>
        <w:t xml:space="preserve">does not list a fixed taxonomy of</w:t>
      </w:r>
      <w:r>
        <w:t xml:space="preserve"> </w:t>
      </w:r>
      <w:r>
        <w:t xml:space="preserve">“data-quality dimensions”</w:t>
      </w:r>
      <w:r>
        <w:t xml:space="preserve">; it is a stepwise template that asks the</w:t>
      </w:r>
      <w:r>
        <w:t xml:space="preserve"> </w:t>
      </w:r>
      <w:r>
        <w:t xml:space="preserve">analyst to record each design element of the hypothetical target</w:t>
      </w:r>
      <w:r>
        <w:t xml:space="preserve"> </w:t>
      </w:r>
      <w:r>
        <w:t xml:space="preserve">trial and the data feature that operationalises it. The harmonised</w:t>
      </w:r>
      <w:r>
        <w:t xml:space="preserve"> </w:t>
      </w:r>
      <w:r>
        <w:t xml:space="preserve">data-quality terminology of</w:t>
      </w:r>
      <w:r>
        <w:t xml:space="preserve"> </w:t>
      </w:r>
      <w:r>
        <w:t xml:space="preserve">Kahn et al. (2016)</w:t>
      </w:r>
      <w:r>
        <w:t xml:space="preserve">, by contrast, defines</w:t>
      </w:r>
      <w:r>
        <w:t xml:space="preserve"> </w:t>
      </w:r>
      <w:r>
        <w:t xml:space="preserve">three dimensions (conformance, completeness, plausibility) that</w:t>
      </w:r>
      <w:r>
        <w:t xml:space="preserve"> </w:t>
      </w:r>
      <w:r>
        <w:t xml:space="preserve">have become standard in OHDSI-style assessments. We map both</w:t>
      </w:r>
      <w:r>
        <w:t xml:space="preserve"> </w:t>
      </w:r>
      <w:r>
        <w:t xml:space="preserve">SPIFD2 design-element categories and the</w:t>
      </w:r>
      <w:r>
        <w:t xml:space="preserve"> </w:t>
      </w:r>
      <w:r>
        <w:t xml:space="preserve">Kahn et al. (2016)</w:t>
      </w:r>
      <w:r>
        <w:t xml:space="preserve"> </w:t>
      </w:r>
      <w:r>
        <w:t xml:space="preserve">dimensions</w:t>
      </w:r>
      <w:r>
        <w:t xml:space="preserve"> </w:t>
      </w:r>
      <w:r>
        <w:t xml:space="preserve">to plasmode parameters as follows.</w:t>
      </w:r>
    </w:p>
    <w:p>
      <w:pPr>
        <w:pStyle w:val="TableCaption"/>
      </w:pPr>
      <w:r>
        <w:t xml:space="preserve">Table 1: Mapping data-quality concerns to plasmode-parameter inputs of run_plasmode_dq_stress().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: Mapping data-quality concerns to plasmode-parameter inputs of run_plasmode_dq_stress()."/>
      </w:tblPr>
      <w:tblGrid>
        <w:gridCol w:w="2136"/>
        <w:gridCol w:w="2099"/>
        <w:gridCol w:w="1768"/>
        <w:gridCol w:w="19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SPIFD2 / Kahn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Plasmode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plausible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criterion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Covariate measurement / availability (Kahn: completeness)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MCAR missingness,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profiling, linked validation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ratio &gt; 1.5 at observed missingness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 exposure definition (Kahn: conformance)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(sens, spec) of treatment ascertainment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review, claims-validation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|Bias| &gt; target at plausible (sens, spec)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ascertainment (Kahn: conformance + plausibility)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(sens, spec) of outcome ascertainment, optionally by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validation, PPV / sensitivity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|Bias| &gt; target at plausible (sens, spec)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Unmeasured confounding (SPIFD2 sensitivity 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Latent U with prevalence p_U and (OR_A, OR_Y)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elicitation, literature, E-value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|Bias| &gt; target at plausible U 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Sample-size adequacy (SPIFD2 step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by base plasmode through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from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&lt; min_coverage</w:t>
            </w:r>
          </w:p>
        </w:tc>
      </w:tr>
    </w:tbl>
    <w:p>
      <w:pPr>
        <w:pStyle w:val="BodyText"/>
      </w:pPr>
      <w:r>
        <w:t xml:space="preserve">The mapping is deliberately one-to-many: a single SPIFD2 design</w:t>
      </w:r>
      <w:r>
        <w:t xml:space="preserve"> </w:t>
      </w:r>
      <w:r>
        <w:t xml:space="preserve">element (say, outcome ascertainment) can drive several plasmode</w:t>
      </w:r>
      <w:r>
        <w:t xml:space="preserve"> </w:t>
      </w:r>
      <w:r>
        <w:t xml:space="preserve">parameters (per-arm sensitivity and specificity), and a single</w:t>
      </w:r>
      <w:r>
        <w:t xml:space="preserve"> </w:t>
      </w:r>
      <w:r>
        <w:t xml:space="preserve">plasmode parameter (say, MCAR fraction) can speak to several SPIFD2</w:t>
      </w:r>
      <w:r>
        <w:t xml:space="preserve"> </w:t>
      </w:r>
      <w:r>
        <w:t xml:space="preserve">elements (covariate availability, missingness handling).</w:t>
      </w:r>
    </w:p>
    <w:bookmarkEnd w:id="49"/>
    <w:bookmarkStart w:id="50" w:name="the-degradation-gradient"/>
    <w:p>
      <w:pPr>
        <w:pStyle w:val="Heading2"/>
      </w:pPr>
      <w:r>
        <w:t xml:space="preserve">5.2 The degradation gradient</w:t>
      </w:r>
    </w:p>
    <w:p>
      <w:pPr>
        <w:pStyle w:val="FirstParagraph"/>
      </w:pPr>
      <w:r>
        <w:t xml:space="preserve">Rather than testing a single value of each threat, the function</w:t>
      </w:r>
      <w:r>
        <w:t xml:space="preserve"> </w:t>
      </w:r>
      <w:r>
        <w:t xml:space="preserve">sweeps a vector of severities. The output is a curve of bias,</w:t>
      </w:r>
      <w:r>
        <w:t xml:space="preserve"> </w:t>
      </w:r>
      <w:r>
        <w:t xml:space="preserve">RMSE, and coverage against the severity, computed separately for</w:t>
      </w:r>
      <w:r>
        <w:t xml:space="preserve"> </w:t>
      </w:r>
      <w:r>
        <w:t xml:space="preserve">each prespecified TMLE candidate. We call this curve a</w:t>
      </w:r>
      <w:r>
        <w:t xml:space="preserve"> </w:t>
      </w:r>
      <w:r>
        <w:rPr>
          <w:i/>
          <w:iCs/>
        </w:rPr>
        <w:t xml:space="preserve">degradation</w:t>
      </w:r>
      <w:r>
        <w:rPr>
          <w:i/>
          <w:iCs/>
        </w:rPr>
        <w:t xml:space="preserve"> </w:t>
      </w:r>
      <w:r>
        <w:rPr>
          <w:i/>
          <w:iCs/>
        </w:rPr>
        <w:t xml:space="preserve">gradient</w:t>
      </w:r>
      <w:r>
        <w:t xml:space="preserve"> </w:t>
      </w:r>
      <w:r>
        <w:t xml:space="preserve">by analogy with a dose-response curve: it answers the</w:t>
      </w:r>
      <w:r>
        <w:t xml:space="preserve"> </w:t>
      </w:r>
      <w:r>
        <w:t xml:space="preserve">question,</w:t>
      </w:r>
      <w:r>
        <w:t xml:space="preserve"> </w:t>
      </w:r>
      <w:r>
        <w:t xml:space="preserve">“how severe must the data degradation be before this</w:t>
      </w:r>
      <w:r>
        <w:t xml:space="preserve"> </w:t>
      </w:r>
      <w:r>
        <w:t xml:space="preserve">candidate fails the prespecified criteria?”</w:t>
      </w:r>
    </w:p>
    <w:p>
      <w:pPr>
        <w:pStyle w:val="BodyText"/>
      </w:pPr>
      <w:r>
        <w:t xml:space="preserve">A robust candidate produces a flat gradient that remains inside</w:t>
      </w:r>
      <w:r>
        <w:t xml:space="preserve"> </w:t>
      </w:r>
      <w:r>
        <w:t xml:space="preserve">the prespecified thresholds. A fragile candidate shows a cliff: a</w:t>
      </w:r>
      <w:r>
        <w:t xml:space="preserve"> </w:t>
      </w:r>
      <w:r>
        <w:t xml:space="preserve">small worsening of the data tips bias or coverage past the</w:t>
      </w:r>
      <w:r>
        <w:t xml:space="preserve"> </w:t>
      </w:r>
      <w:r>
        <w:t xml:space="preserve">threshold. The candidate-selection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select_tmle_candidate(rule = "min_rmse")</w:t>
      </w:r>
      <w:r>
        <w:t xml:space="preserve">) can be augmented to</w:t>
      </w:r>
      <w:r>
        <w:t xml:space="preserve"> </w:t>
      </w:r>
      <w:r>
        <w:t xml:space="preserve">require a maximum allowed degradation, in which case the</w:t>
      </w:r>
      <w:r>
        <w:t xml:space="preserve"> </w:t>
      </w:r>
      <w:r>
        <w:t xml:space="preserve">prespecified rule excludes fragile candidates</w:t>
      </w:r>
      <w:r>
        <w:t xml:space="preserve"> </w:t>
      </w:r>
      <w:r>
        <w:t xml:space="preserve">before the outcome is accessed.</w:t>
      </w:r>
    </w:p>
    <w:p>
      <w:pPr>
        <w:pStyle w:val="BodyText"/>
      </w:pPr>
      <w:r>
        <w:t xml:space="preserve">The truncation level inside a TMLE candidate is more than a tuning</w:t>
      </w:r>
      <w:r>
        <w:t xml:space="preserve"> </w:t>
      </w:r>
      <w:r>
        <w:t xml:space="preserve">knob. Trimming or truncating the propensity score changes the</w:t>
      </w:r>
      <w:r>
        <w:t xml:space="preserve"> </w:t>
      </w:r>
      <w:r>
        <w:t xml:space="preserve">support of the population to which the estimand applies, and</w:t>
      </w:r>
      <w:r>
        <w:t xml:space="preserve"> </w:t>
      </w:r>
      <w:r>
        <w:t xml:space="preserve">therefore the estimand itself</w:t>
      </w:r>
      <w:r>
        <w:t xml:space="preserve"> </w:t>
      </w:r>
      <w:r>
        <w:t xml:space="preserve">(Brookhart, Breskin, and Eledath 2024; Lash et al. 2014)</w:t>
      </w:r>
      <w:r>
        <w:t xml:space="preserve">. cleanTMLE treats the truncation level as part of</w:t>
      </w:r>
      <w:r>
        <w:t xml:space="preserve"> </w:t>
      </w:r>
      <w:r>
        <w:t xml:space="preserve">the prespecified candidate, so any estimand drift induced by</w:t>
      </w:r>
      <w:r>
        <w:t xml:space="preserve"> </w:t>
      </w:r>
      <w:r>
        <w:t xml:space="preserve">truncation is locked into the audit log and scored on the same</w:t>
      </w:r>
      <w:r>
        <w:t xml:space="preserve"> </w:t>
      </w:r>
      <w:r>
        <w:t xml:space="preserve">RMSE and coverage metrics as everything else rather than chosen</w:t>
      </w:r>
      <w:r>
        <w:t xml:space="preserve"> </w:t>
      </w:r>
      <w:r>
        <w:t xml:space="preserve">post-hoc on the realised data.</w:t>
      </w:r>
    </w:p>
    <w:bookmarkEnd w:id="50"/>
    <w:bookmarkStart w:id="52" w:name="sec-threat-matrix"/>
    <w:p>
      <w:pPr>
        <w:pStyle w:val="Heading2"/>
      </w:pPr>
      <w:r>
        <w:t xml:space="preserve">5.3 Threat-to-assumption matrix: what each scenario probes (and what it does not)</w:t>
      </w:r>
    </w:p>
    <w:p>
      <w:pPr>
        <w:pStyle w:val="FirstParagraph"/>
      </w:pPr>
      <w:r>
        <w:t xml:space="preserve">Each DQ scenario is best understood as an</w:t>
      </w:r>
      <w:r>
        <w:t xml:space="preserve"> </w:t>
      </w:r>
      <w:r>
        <w:rPr>
          <w:i/>
          <w:iCs/>
        </w:rPr>
        <w:t xml:space="preserve">engineering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approximation</w:t>
      </w:r>
      <w:r>
        <w:t xml:space="preserve"> </w:t>
      </w:r>
      <w:r>
        <w:t xml:space="preserve">to a class of threats rather than an</w:t>
      </w:r>
      <w:r>
        <w:t xml:space="preserve"> </w:t>
      </w:r>
      <w:r>
        <w:t xml:space="preserve">assumption-specific diagnostic. Table</w:t>
      </w:r>
      <w:r>
        <w:t xml:space="preserve"> </w:t>
      </w:r>
      <w:r>
        <w:t xml:space="preserve"> </w:t>
      </w:r>
      <w:r>
        <w:t xml:space="preserve">makes that distinction explicit: for each scenario it lists the</w:t>
      </w:r>
      <w:r>
        <w:t xml:space="preserve"> </w:t>
      </w:r>
      <w:r>
        <w:t xml:space="preserve">identification or measurement assumption nominally probed, the</w:t>
      </w:r>
      <w:r>
        <w:t xml:space="preserve"> </w:t>
      </w:r>
      <w:r>
        <w:t xml:space="preserve">scenario operationalisation, and the threats the scenario</w:t>
      </w:r>
      <w:r>
        <w:t xml:space="preserve"> </w:t>
      </w:r>
      <w:r>
        <w:rPr>
          <w:i/>
          <w:iCs/>
        </w:rPr>
        <w:t xml:space="preserve">does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probe. The reader should treat the table as a guide to</w:t>
      </w:r>
      <w:r>
        <w:t xml:space="preserve"> </w:t>
      </w:r>
      <w:r>
        <w:t xml:space="preserve">interpreting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output rather than as a</w:t>
      </w:r>
      <w:r>
        <w:t xml:space="preserve"> </w:t>
      </w:r>
      <w:r>
        <w:t xml:space="preserve">claim that the four scenarios constitute a complete</w:t>
      </w:r>
      <w:r>
        <w:t xml:space="preserve"> </w:t>
      </w:r>
      <w:r>
        <w:t xml:space="preserve">threat taxonomy.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threat-matrix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Threat-to-assumption matrix. For each scenario, the assumption nominally probed, the operationalisation, and the threats the scenario does NOT probe. Severity ranges must come from external validation evidence (see §</w:t>
            </w:r>
            <w:r>
              <w:t xml:space="preserve">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31"/>
              <w:gridCol w:w="2395"/>
              <w:gridCol w:w="2229"/>
              <w:gridCol w:w="236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Nominally probes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Operationalisation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Does NOT probe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Covariate missingness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Stratified MCAR for</w:t>
                  </w:r>
                  <w:r>
                    <w:t xml:space="preserve"> </w:t>
                  </w:r>
                  <m:oMath>
                    <m:r>
                      <m:t>W</m:t>
                    </m:r>
                  </m:oMath>
                  <w:r>
                    <w:t xml:space="preserve">; robustness of nuisance fits to imputation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MCAR mask of fraction</w:t>
                  </w:r>
                  <w:r>
                    <w:t xml:space="preserve"> </w:t>
                  </w:r>
                  <m:oMath>
                    <m:r>
                      <m:t>π</m:t>
                    </m:r>
                  </m:oMath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m:oMath>
                    <m:r>
                      <m:t>W</m:t>
                    </m:r>
                  </m:oMath>
                  <w:r>
                    <w:t xml:space="preserve">, median imputation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MAR / MNAR; non-MCAR mechanisms; missingness in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Treatment misclassification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Consistency / SUTVA on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when the treatment phenotype is imperfect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Sensitivity / specificity flips of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, optionally asymmetric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Time-varying treatment versions; per-arm differential exposure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 misclassification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Differential or non-differential outcome measurement error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Sensitivity / specificity flips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, optionally per arm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 measurement processes that depend on covariates other than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Unmeasured confounding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Conditional exchangeability when one or more confounders are unmeasured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Latent</w:t>
                  </w:r>
                  <w:r>
                    <w:t xml:space="preserve"> </w:t>
                  </w:r>
                  <m:oMath>
                    <m:r>
                      <m:t>U</m:t>
                    </m:r>
                    <m:r>
                      <m:rPr>
                        <m:sty m:val="p"/>
                      </m:rPr>
                      <m:t>∼</m:t>
                    </m:r>
                    <m:r>
                      <m:rPr>
                        <m:nor/>
                        <m:sty m:val="p"/>
                      </m:rPr>
                      <m:t>Bern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U</m:t>
                            </m:r>
                          </m:sub>
                        </m:sSub>
                      </m:e>
                    </m:d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sSub>
                      <m:e>
                        <m:r>
                          <m:rPr>
                            <m:nor/>
                            <m:sty m:val="p"/>
                          </m:rPr>
                          <m:t>OR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rPr>
                            <m:nor/>
                            <m:sty m:val="p"/>
                          </m:rPr>
                          <m:t>OR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Confounding by variables not exchangeable with the chosen latent</w:t>
                  </w:r>
                  <w:r>
                    <w:t xml:space="preserve"> </w:t>
                  </w:r>
                  <m:oMath>
                    <m:r>
                      <m:t>U</m:t>
                    </m:r>
                  </m:oMath>
                </w:p>
              </w:tc>
            </w:tr>
          </w:tbl>
          <w:bookmarkEnd w:id="51"/>
          <w:p/>
        </w:tc>
      </w:tr>
    </w:tbl>
    <w:p>
      <w:pPr>
        <w:pStyle w:val="BodyText"/>
      </w:pPr>
      <w:r>
        <w:t xml:space="preserve">A consequence is that the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output is</w:t>
      </w:r>
      <w:r>
        <w:t xml:space="preserve"> </w:t>
      </w:r>
      <w:r>
        <w:t xml:space="preserve">useful for</w:t>
      </w:r>
      <w:r>
        <w:t xml:space="preserve"> </w:t>
      </w:r>
      <w:r>
        <w:rPr>
          <w:i/>
          <w:iCs/>
        </w:rPr>
        <w:t xml:space="preserve">robustness screening</w:t>
      </w:r>
      <w:r>
        <w:t xml:space="preserve"> </w:t>
      </w:r>
      <w:r>
        <w:t xml:space="preserve">of candidate estimators against</w:t>
      </w:r>
      <w:r>
        <w:t xml:space="preserve"> </w:t>
      </w:r>
      <w:r>
        <w:t xml:space="preserve">prespecified threat ranges, not for</w:t>
      </w:r>
      <w:r>
        <w:t xml:space="preserve"> </w:t>
      </w:r>
      <w:r>
        <w:rPr>
          <w:i/>
          <w:iCs/>
        </w:rPr>
        <w:t xml:space="preserve">validating</w:t>
      </w:r>
      <w:r>
        <w:t xml:space="preserve"> </w:t>
      </w:r>
      <w:r>
        <w:t xml:space="preserve">the data source.</w:t>
      </w:r>
      <w:r>
        <w:t xml:space="preserve"> </w:t>
      </w:r>
      <w:r>
        <w:t xml:space="preserve">Variable validation, source-data audit, and post-outcome</w:t>
      </w:r>
      <w:r>
        <w:t xml:space="preserve"> </w:t>
      </w:r>
      <w:r>
        <w:t xml:space="preserve">quantitative bias analysis</w:t>
      </w:r>
      <w:r>
        <w:t xml:space="preserve"> </w:t>
      </w:r>
      <w:r>
        <w:t xml:space="preserve">(Lash et al. 2014)</w:t>
      </w:r>
      <w:r>
        <w:t xml:space="preserve"> </w:t>
      </w:r>
      <w:r>
        <w:t xml:space="preserve">remain separate</w:t>
      </w:r>
      <w:r>
        <w:t xml:space="preserve"> </w:t>
      </w:r>
      <w:r>
        <w:t xml:space="preserve">activities anchored in the validation literature</w:t>
      </w:r>
      <w:r>
        <w:t xml:space="preserve"> </w:t>
      </w:r>
      <w:r>
        <w:t xml:space="preserve">(U.S. Food and Drug Administration 2024b, 2021; European Medicines Agency 2026)</w:t>
      </w:r>
      <w:r>
        <w:t xml:space="preserve"> </w:t>
      </w:r>
      <w:r>
        <w:t xml:space="preserve">rather than</w:t>
      </w:r>
      <w:r>
        <w:t xml:space="preserve"> </w:t>
      </w:r>
      <w:r>
        <w:t xml:space="preserve">in the simulation engine.</w:t>
      </w:r>
    </w:p>
    <w:bookmarkEnd w:id="52"/>
    <w:bookmarkStart w:id="53" w:name="sec-calibration"/>
    <w:p>
      <w:pPr>
        <w:pStyle w:val="Heading2"/>
      </w:pPr>
      <w:r>
        <w:t xml:space="preserve">5.4 Calibration of severity ranges from external evidence</w:t>
      </w:r>
    </w:p>
    <w:p>
      <w:pPr>
        <w:pStyle w:val="FirstParagraph"/>
      </w:pPr>
      <w:r>
        <w:t xml:space="preserve">The DQ stress test is only as informative as the severity grids</w:t>
      </w:r>
      <w:r>
        <w:t xml:space="preserve"> </w:t>
      </w:r>
      <w:r>
        <w:t xml:space="preserve">the analyst supplies. Each grid should be anchored in external</w:t>
      </w:r>
      <w:r>
        <w:t xml:space="preserve"> </w:t>
      </w:r>
      <w:r>
        <w:t xml:space="preserve">evidence, not chosen for convenience: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Covariate missingness fractions</w:t>
      </w:r>
      <w:r>
        <w:t xml:space="preserve"> </w:t>
      </w:r>
      <w:r>
        <w:t xml:space="preserve">should be calibrated to the</w:t>
      </w:r>
      <w:r>
        <w:t xml:space="preserve"> </w:t>
      </w:r>
      <w:r>
        <w:t xml:space="preserve">observed missingness in the data source under study, plus</w:t>
      </w:r>
      <w:r>
        <w:t xml:space="preserve"> </w:t>
      </w:r>
      <w:r>
        <w:t xml:space="preserve">realistic alternative scenarios from data-profiling studies</w:t>
      </w:r>
      <w:r>
        <w:t xml:space="preserve"> </w:t>
      </w:r>
      <w:r>
        <w:t xml:space="preserve">(Kahn et al. 2016; U.S. Food and Drug Administration 2024b; European Medicines Agency 2026)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Treatment-ascertainment (sensitivity, specificity)</w:t>
      </w:r>
      <w:r>
        <w:t xml:space="preserve"> </w:t>
      </w:r>
      <w:r>
        <w:t xml:space="preserve">ranges</w:t>
      </w:r>
      <w:r>
        <w:t xml:space="preserve"> </w:t>
      </w:r>
      <w:r>
        <w:t xml:space="preserve">should come from claims-validation studies for the relevant</w:t>
      </w:r>
      <w:r>
        <w:t xml:space="preserve"> </w:t>
      </w:r>
      <w:r>
        <w:t xml:space="preserve">exposure phenotype or from independent chart review</w:t>
      </w:r>
      <w:r>
        <w:t xml:space="preserve"> </w:t>
      </w:r>
      <w:r>
        <w:t xml:space="preserve">(U.S. Food and Drug Administration 2024a, 2024b)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Outcome-ascertainment (sensitivity, specificity)</w:t>
      </w:r>
      <w:r>
        <w:t xml:space="preserve"> </w:t>
      </w:r>
      <w:r>
        <w:t xml:space="preserve">ranges</w:t>
      </w:r>
      <w:r>
        <w:t xml:space="preserve"> </w:t>
      </w:r>
      <w:r>
        <w:t xml:space="preserve">should come from algorithm-validation studies or PPV / sensitivity</w:t>
      </w:r>
      <w:r>
        <w:t xml:space="preserve"> </w:t>
      </w:r>
      <w:r>
        <w:t xml:space="preserve">literature for the outcome phenotype, with optional per-arm</w:t>
      </w:r>
      <w:r>
        <w:t xml:space="preserve"> </w:t>
      </w:r>
      <w:r>
        <w:t xml:space="preserve">differential misclassification when the validation literature</w:t>
      </w:r>
      <w:r>
        <w:t xml:space="preserve"> </w:t>
      </w:r>
      <w:r>
        <w:t xml:space="preserve">supports it</w:t>
      </w:r>
      <w:r>
        <w:t xml:space="preserve"> </w:t>
      </w:r>
      <w:r>
        <w:t xml:space="preserve">(U.S. Food and Drug Administration 2024a)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Unmeasured-confounder strengths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U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OR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OR</m:t>
            </m:r>
          </m:e>
          <m:sub>
            <m:r>
              <m:t>Y</m:t>
            </m:r>
          </m:sub>
        </m:sSub>
      </m:oMath>
      <w:r>
        <w:t xml:space="preserve">) should be elicited from subject-matter experts,</w:t>
      </w:r>
      <w:r>
        <w:t xml:space="preserve"> </w:t>
      </w:r>
      <w:r>
        <w:t xml:space="preserve">prior-literature E-value bounds</w:t>
      </w:r>
      <w:r>
        <w:t xml:space="preserve"> </w:t>
      </w:r>
      <w:r>
        <w:t xml:space="preserve">(VanderWeele and Ding 2017)</w:t>
      </w:r>
      <w:r>
        <w:t xml:space="preserve">, or</w:t>
      </w:r>
      <w:r>
        <w:t xml:space="preserve"> </w:t>
      </w:r>
      <w:r>
        <w:t xml:space="preserve">causal-gap sensitivity ranges</w:t>
      </w:r>
      <w:r>
        <w:t xml:space="preserve"> </w:t>
      </w:r>
      <w:r>
        <w:t xml:space="preserve">(Dı́az and Laan 2013)</w:t>
      </w:r>
      <w:r>
        <w:t xml:space="preserve">.</w:t>
      </w:r>
    </w:p>
    <w:p>
      <w:pPr>
        <w:pStyle w:val="FirstParagraph"/>
      </w:pPr>
      <w:r>
        <w:t xml:space="preserve">We recommend that the analyst record, in the decision log, a brief</w:t>
      </w:r>
      <w:r>
        <w:t xml:space="preserve"> </w:t>
      </w:r>
      <w:r>
        <w:t xml:space="preserve">citation for each severity range alongside the lock fingerprint, so</w:t>
      </w:r>
      <w:r>
        <w:t xml:space="preserve"> </w:t>
      </w:r>
      <w:r>
        <w:t xml:space="preserve">that a reviewer can check both the values and their provenance. The</w:t>
      </w:r>
      <w:r>
        <w:t xml:space="preserve"> </w:t>
      </w:r>
      <w:r>
        <w:t xml:space="preserve">boundaries of what this screen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establish (data-source</w:t>
      </w:r>
      <w:r>
        <w:t xml:space="preserve"> </w:t>
      </w:r>
      <w:r>
        <w:t xml:space="preserve">validation, causal identification, post-outcome sensitivity, and</w:t>
      </w:r>
      <w:r>
        <w:t xml:space="preserve"> </w:t>
      </w:r>
      <w:r>
        <w:t xml:space="preserve">independent governance) are listed concisely in the regulatory</w:t>
      </w:r>
      <w:r>
        <w:t xml:space="preserve"> </w:t>
      </w:r>
      <w:r>
        <w:t xml:space="preserve">alignment table (§</w:t>
      </w:r>
      <w:r>
        <w:t xml:space="preserve">, Table</w:t>
      </w:r>
      <w:r>
        <w:t xml:space="preserve"> </w:t>
      </w:r>
      <w:r>
        <w:t xml:space="preserve">) and</w:t>
      </w:r>
      <w:r>
        <w:t xml:space="preserve"> </w:t>
      </w:r>
      <w:r>
        <w:t xml:space="preserve">in the limitations paragraph in the Discussion (§</w:t>
      </w:r>
      <w:r>
        <w:t xml:space="preserve">).</w:t>
      </w:r>
    </w:p>
    <w:bookmarkEnd w:id="53"/>
    <w:bookmarkEnd w:id="54"/>
    <w:bookmarkStart w:id="59" w:name="sec-bridge"/>
    <w:p>
      <w:pPr>
        <w:pStyle w:val="Heading1"/>
      </w:pPr>
      <w:r>
        <w:t xml:space="preserve">6. A quantitative supplement to fit-for-purpose review</w:t>
      </w:r>
    </w:p>
    <w:p>
      <w:pPr>
        <w:pStyle w:val="FirstParagraph"/>
      </w:pPr>
      <w:r>
        <w:t xml:space="preserve">This section describes how the pre-outcome gate is currently scored</w:t>
      </w:r>
      <w:r>
        <w:t xml:space="preserve"> </w:t>
      </w:r>
      <w:r>
        <w:t xml:space="preserve">in published TL-RWE pipelines and what changes when the DQ stress</w:t>
      </w:r>
      <w:r>
        <w:t xml:space="preserve"> </w:t>
      </w:r>
      <w:r>
        <w:t xml:space="preserve">test feeds into the same gate. The test scores robustness of</w:t>
      </w:r>
      <w:r>
        <w:t xml:space="preserve"> </w:t>
      </w:r>
      <w:r>
        <w:t xml:space="preserve">candidate estimators against prespecified threat ranges; the</w:t>
      </w:r>
      <w:r>
        <w:t xml:space="preserve"> </w:t>
      </w:r>
      <w:r>
        <w:t xml:space="preserve">validity of those ranges, and of the data source itself, remains</w:t>
      </w:r>
      <w:r>
        <w:t xml:space="preserve"> </w:t>
      </w:r>
      <w:r>
        <w:t xml:space="preserve">an external study-level argument anchored in source-specific</w:t>
      </w:r>
      <w:r>
        <w:t xml:space="preserve"> </w:t>
      </w:r>
      <w:r>
        <w:t xml:space="preserve">assessment guidance</w:t>
      </w:r>
      <w:r>
        <w:t xml:space="preserve"> </w:t>
      </w:r>
      <w:r>
        <w:t xml:space="preserve">(U.S. Food and Drug Administration 2024a, 2024b; European Medicines Agency 2026)</w:t>
      </w:r>
      <w:r>
        <w:t xml:space="preserve"> </w:t>
      </w:r>
      <w:r>
        <w:t xml:space="preserve">(see Table</w:t>
      </w:r>
      <w:r>
        <w:t xml:space="preserve"> </w:t>
      </w:r>
      <w:r>
        <w:t xml:space="preserve">).</w:t>
      </w:r>
    </w:p>
    <w:p>
      <w:pPr>
        <w:pStyle w:val="BodyText"/>
      </w:pPr>
      <w:r>
        <w:t xml:space="preserve">A note on terminology: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describe three</w:t>
      </w:r>
      <w:r>
        <w:t xml:space="preserve"> </w:t>
      </w:r>
      <w:r>
        <w:t xml:space="preserve">review-team decisions (</w:t>
      </w:r>
      <w:r>
        <w:t xml:space="preserve">“proceed to the next stage”</w:t>
      </w:r>
      <w:r>
        <w:t xml:space="preserve">,</w:t>
      </w:r>
      <w:r>
        <w:t xml:space="preserve"> </w:t>
      </w:r>
      <w:r>
        <w:t xml:space="preserve">“conduct</w:t>
      </w:r>
      <w:r>
        <w:t xml:space="preserve"> </w:t>
      </w:r>
      <w:r>
        <w:t xml:space="preserve">additional analyses to address bias”</w:t>
      </w:r>
      <w:r>
        <w:t xml:space="preserve">, or</w:t>
      </w:r>
      <w:r>
        <w:t xml:space="preserve"> </w:t>
      </w:r>
      <w:r>
        <w:t xml:space="preserve">“terminate the study”</w:t>
      </w:r>
      <w:r>
        <w:t xml:space="preserve">),</w:t>
      </w:r>
      <w:r>
        <w:t xml:space="preserve"> </w:t>
      </w:r>
      <w:r>
        <w:t xml:space="preserve">which we shorten in figures and tables to</w:t>
      </w:r>
      <w:r>
        <w:t xml:space="preserve"> </w:t>
      </w:r>
      <w:r>
        <w:rPr>
          <w:i/>
          <w:iCs/>
        </w:rPr>
        <w:t xml:space="preserve">proceed</w:t>
      </w:r>
      <w:r>
        <w:t xml:space="preserve">,</w:t>
      </w:r>
      <w:r>
        <w:t xml:space="preserve"> </w:t>
      </w:r>
      <w:r>
        <w:rPr>
          <w:i/>
          <w:iCs/>
        </w:rPr>
        <w:t xml:space="preserve">review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stop</w:t>
      </w:r>
      <w:r>
        <w:t xml:space="preserve"> </w:t>
      </w:r>
      <w:r>
        <w:t xml:space="preserve">(also written as GO / FLAG / STOP where compactness is</w:t>
      </w:r>
      <w:r>
        <w:t xml:space="preserve"> </w:t>
      </w:r>
      <w:r>
        <w:t xml:space="preserve">helpful). In prose we prefer the longer wording. The cleanTMLE</w:t>
      </w:r>
      <w:r>
        <w:t xml:space="preserve"> </w:t>
      </w:r>
      <w:r>
        <w:t xml:space="preserve">software uses the three labels for the same purpose, and the</w:t>
      </w:r>
      <w:r>
        <w:t xml:space="preserve"> </w:t>
      </w:r>
      <w:r>
        <w:t xml:space="preserve">mapping to the Muntner et al. wording is one-to-one.</w:t>
      </w:r>
    </w:p>
    <w:bookmarkStart w:id="55" w:name="X4870de5334a1d002935adfa59f8358a3c7029c6"/>
    <w:p>
      <w:pPr>
        <w:pStyle w:val="Heading2"/>
      </w:pPr>
      <w:r>
        <w:t xml:space="preserve">6.1 What the pre-outcome decision currently does</w:t>
      </w:r>
    </w:p>
    <w:p>
      <w:pPr>
        <w:pStyle w:val="FirstParagraph"/>
      </w:pPr>
      <w:r>
        <w:t xml:space="preserve">In the published TL-RWE literature the pre-outcome gate is a</w:t>
      </w:r>
      <w:r>
        <w:t xml:space="preserve"> </w:t>
      </w:r>
      <w:r>
        <w:t xml:space="preserve">prespecified set of qualitative checks: the SAP exists, the lock is</w:t>
      </w:r>
      <w:r>
        <w:t xml:space="preserve"> </w:t>
      </w:r>
      <w:r>
        <w:t xml:space="preserve">in place, the cohort meets minimum size and event criteria, the</w:t>
      </w:r>
      <w:r>
        <w:t xml:space="preserve"> </w:t>
      </w:r>
      <w:r>
        <w:t xml:space="preserve">propensity-score overlap looks acceptable, and the negative-</w:t>
      </w:r>
      <w:r>
        <w:t xml:space="preserve"> </w:t>
      </w:r>
      <w:r>
        <w:t xml:space="preserve">control-outcome estimate is consistent with no effect</w:t>
      </w:r>
      <w:r>
        <w:t xml:space="preserve"> </w:t>
      </w:r>
      <w:r>
        <w:t xml:space="preserve">(Dang et al. 2023; Gruber, Lee, et al. 2024; Gruber, Phillips, et al. 2024)</w:t>
      </w:r>
      <w:r>
        <w:t xml:space="preserve">. Each</w:t>
      </w:r>
      <w:r>
        <w:t xml:space="preserve"> </w:t>
      </w:r>
      <w:r>
        <w:t xml:space="preserve">check is binary or ordinal, and each is computed from a different</w:t>
      </w:r>
      <w:r>
        <w:t xml:space="preserve"> </w:t>
      </w:r>
      <w:r>
        <w:t xml:space="preserve">source (a PDF SAP, a balance table, a negative-control estimate).</w:t>
      </w:r>
      <w:r>
        <w:t xml:space="preserve"> </w:t>
      </w:r>
      <w:r>
        <w:t xml:space="preserve">When the data-fitness argument is added, it usually appears as a</w:t>
      </w:r>
      <w:r>
        <w:t xml:space="preserve"> </w:t>
      </w:r>
      <w:r>
        <w:t xml:space="preserve">separate document (the SPIFD2 or HARPER table</w:t>
      </w:r>
      <w:r>
        <w:t xml:space="preserve"> </w:t>
      </w:r>
      <w:r>
        <w:t xml:space="preserve">(Wang, Sreedhara, and Schneeweiss 2023)</w:t>
      </w:r>
      <w:r>
        <w:t xml:space="preserve">) and is adjudicated by reviewers rather than</w:t>
      </w:r>
      <w:r>
        <w:t xml:space="preserve"> </w:t>
      </w:r>
      <w:r>
        <w:t xml:space="preserve">scored against the prespecified decision rule.</w:t>
      </w:r>
    </w:p>
    <w:bookmarkEnd w:id="55"/>
    <w:bookmarkStart w:id="56" w:name="what-the-dq-supplement-adds"/>
    <w:p>
      <w:pPr>
        <w:pStyle w:val="Heading2"/>
      </w:pPr>
      <w:r>
        <w:t xml:space="preserve">6.2 What the DQ supplement adds</w:t>
      </w:r>
    </w:p>
    <w:p>
      <w:pPr>
        <w:pStyle w:val="FirstParagraph"/>
      </w:pPr>
      <w:r>
        <w:t xml:space="preserve">The DQ stress test reports, for each candidate, the same triple</w:t>
      </w:r>
      <w:r>
        <w:t xml:space="preserve"> </w:t>
      </w:r>
      <w:r>
        <w:t xml:space="preserve">(bias, RMSE, coverage) at each severity of each threat that the</w:t>
      </w:r>
      <w:r>
        <w:t xml:space="preserve"> </w:t>
      </w:r>
      <w:r>
        <w:t xml:space="preserve">baseline plasmode reports. Because the units match, the same</w:t>
      </w:r>
      <w:r>
        <w:t xml:space="preserve"> </w:t>
      </w:r>
      <w:r>
        <w:t xml:space="preserve">prespecified thresholds (maximum allowed bias, minimum allowed</w:t>
      </w:r>
      <w:r>
        <w:t xml:space="preserve"> </w:t>
      </w:r>
      <w:r>
        <w:t xml:space="preserve">coverage, and an allowed SE-calibration window) can be applied</w:t>
      </w:r>
      <w:r>
        <w:t xml:space="preserve"> </w:t>
      </w:r>
      <w:r>
        <w:t xml:space="preserve">uniformly to the baseline plasmode and to the degraded runs. The</w:t>
      </w:r>
      <w:r>
        <w:t xml:space="preserve"> </w:t>
      </w:r>
      <w:r>
        <w:t xml:space="preserve">prespecified candidate is required to meet those thresholds both</w:t>
      </w:r>
      <w:r>
        <w:t xml:space="preserve"> </w:t>
      </w:r>
      <w:r>
        <w:t xml:space="preserve">under the locked data-generating process and across the plausible</w:t>
      </w:r>
      <w:r>
        <w:t xml:space="preserve"> </w:t>
      </w:r>
      <w:r>
        <w:t xml:space="preserve">range of each threat documented in the fit-for-purpose review.</w:t>
      </w:r>
    </w:p>
    <w:p>
      <w:pPr>
        <w:pStyle w:val="BodyText"/>
      </w:pPr>
      <w:r>
        <w:t xml:space="preserve">This shifts the pre-outcome decision in three ways. First, the</w:t>
      </w:r>
      <w:r>
        <w:t xml:space="preserve"> </w:t>
      </w:r>
      <w:r>
        <w:t xml:space="preserve">data-fitness argument becomes numeric and candidate-specific:</w:t>
      </w:r>
      <w:r>
        <w:t xml:space="preserve"> </w:t>
      </w:r>
      <w:r>
        <w:t xml:space="preserve">instead of a prose claim that</w:t>
      </w:r>
      <w:r>
        <w:t xml:space="preserve"> </w:t>
      </w:r>
      <w:r>
        <w:t xml:space="preserve">“the outcome ascertainment algorithm</w:t>
      </w:r>
      <w:r>
        <w:t xml:space="preserve"> </w:t>
      </w:r>
      <w:r>
        <w:t xml:space="preserve">has reported sensitivity 0.90,”</w:t>
      </w:r>
      <w:r>
        <w:t xml:space="preserve"> </w:t>
      </w:r>
      <w:r>
        <w:t xml:space="preserve">the analyst sees that at</w:t>
      </w:r>
      <w:r>
        <w:t xml:space="preserve"> </w:t>
      </w:r>
      <w:r>
        <w:t xml:space="preserve">sensitivity = 0.90 and specificity = 0.95 the bias of candidate</w:t>
      </w:r>
      <w:r>
        <w:t xml:space="preserve"> </w:t>
      </w:r>
      <w:r>
        <w:rPr>
          <w:rStyle w:val="VerbatimChar"/>
        </w:rPr>
        <w:t xml:space="preserve">tmle_glmnet_t05</w:t>
      </w:r>
      <w:r>
        <w:t xml:space="preserve"> </w:t>
      </w:r>
      <w:r>
        <w:t xml:space="preserve">rises from 0.001 to 0.014, exceeding the</w:t>
      </w:r>
      <w:r>
        <w:t xml:space="preserve"> </w:t>
      </w:r>
      <w:r>
        <w:t xml:space="preserve">prespecified threshold of 0.010. Second, the default</w:t>
      </w:r>
      <w:r>
        <w:t xml:space="preserve"> </w:t>
      </w:r>
      <w:r>
        <w:rPr>
          <w:rStyle w:val="VerbatimChar"/>
        </w:rPr>
        <w:t xml:space="preserve">select_tmle_candidate()</w:t>
      </w:r>
      <w:r>
        <w:t xml:space="preserve"> </w:t>
      </w:r>
      <w:r>
        <w:t xml:space="preserve">rule, which picks the RMSE-minimiser on</w:t>
      </w:r>
      <w:r>
        <w:t xml:space="preserve"> </w:t>
      </w:r>
      <w:r>
        <w:t xml:space="preserve">the baseline plasmode, gains the option</w:t>
      </w:r>
      <w:r>
        <w:t xml:space="preserve"> </w:t>
      </w:r>
      <w:r>
        <w:rPr>
          <w:rStyle w:val="VerbatimChar"/>
        </w:rPr>
        <w:t xml:space="preserve">rule = "min_max_rmse"</w:t>
      </w:r>
      <w:r>
        <w:t xml:space="preserve">,</w:t>
      </w:r>
      <w:r>
        <w:t xml:space="preserve"> </w:t>
      </w:r>
      <w:r>
        <w:t xml:space="preserve">which selects the candidate with the lowest worst-case RMSE across</w:t>
      </w:r>
      <w:r>
        <w:t xml:space="preserve"> </w:t>
      </w:r>
      <w:r>
        <w:t xml:space="preserve">the DQ scenarios; a candidate that wins on the baseline but</w:t>
      </w:r>
      <w:r>
        <w:t xml:space="preserve"> </w:t>
      </w:r>
      <w:r>
        <w:t xml:space="preserve">collapses under a 5 % missingness rate loses to a slightly less</w:t>
      </w:r>
      <w:r>
        <w:t xml:space="preserve"> </w:t>
      </w:r>
      <w:r>
        <w:t xml:space="preserve">efficient one that maintains acceptable performance across the</w:t>
      </w:r>
      <w:r>
        <w:t xml:space="preserve"> </w:t>
      </w:r>
      <w:r>
        <w:t xml:space="preserve">entire plausible range. Third, because the DQ output is recorded</w:t>
      </w:r>
      <w:r>
        <w:t xml:space="preserve"> </w:t>
      </w:r>
      <w:r>
        <w:t xml:space="preserve">in the same audit log as the baseline plasmode, a reviewer can</w:t>
      </w:r>
      <w:r>
        <w:t xml:space="preserve"> </w:t>
      </w:r>
      <w:r>
        <w:t xml:space="preserve">read the audit trail, see the externally derived ranges that went</w:t>
      </w:r>
      <w:r>
        <w:t xml:space="preserve"> </w:t>
      </w:r>
      <w:r>
        <w:t xml:space="preserve">in, see the prespecified thresholds that came out, and reproduce</w:t>
      </w:r>
      <w:r>
        <w:t xml:space="preserve"> </w:t>
      </w:r>
      <w:r>
        <w:t xml:space="preserve">the decision.</w:t>
      </w:r>
    </w:p>
    <w:bookmarkEnd w:id="56"/>
    <w:bookmarkStart w:id="57" w:name="position-relative-to-other-bias-analyses"/>
    <w:p>
      <w:pPr>
        <w:pStyle w:val="Heading2"/>
      </w:pPr>
      <w:r>
        <w:t xml:space="preserve">6.3 Position relative to other bias analyses</w:t>
      </w:r>
    </w:p>
    <w:p>
      <w:pPr>
        <w:pStyle w:val="FirstParagraph"/>
      </w:pPr>
      <w:r>
        <w:t xml:space="preserve">The DQ stress test is distinct from quantitative bias analysis (QBA)</w:t>
      </w:r>
      <w:r>
        <w:t xml:space="preserve"> </w:t>
      </w:r>
      <w:r>
        <w:t xml:space="preserve">(Lash et al. 2014)</w:t>
      </w:r>
      <w:r>
        <w:t xml:space="preserve"> </w:t>
      </w:r>
      <w:r>
        <w:t xml:space="preserve">and from the targeted-learning causal-gap sensitivity</w:t>
      </w:r>
      <w:r>
        <w:t xml:space="preserve"> </w:t>
      </w:r>
      <w:r>
        <w:t xml:space="preserve">analysis of</w:t>
      </w:r>
      <w:r>
        <w:t xml:space="preserve"> </w:t>
      </w:r>
      <w:r>
        <w:t xml:space="preserve">Dı́az and Laan (2013)</w:t>
      </w:r>
      <w:r>
        <w:t xml:space="preserve">. QBA adjusts the</w:t>
      </w:r>
      <w:r>
        <w:t xml:space="preserve"> </w:t>
      </w:r>
      <w:r>
        <w:rPr>
          <w:i/>
          <w:iCs/>
        </w:rPr>
        <w:t xml:space="preserve">final</w:t>
      </w:r>
      <w:r>
        <w:t xml:space="preserve"> </w:t>
      </w:r>
      <w:r>
        <w:t xml:space="preserve">effect</w:t>
      </w:r>
      <w:r>
        <w:t xml:space="preserve"> </w:t>
      </w:r>
      <w:r>
        <w:t xml:space="preserve">estimate for a postulated bias and is an unblinding-stage tool;</w:t>
      </w:r>
      <w:r>
        <w:t xml:space="preserve"> </w:t>
      </w:r>
      <w:r>
        <w:t xml:space="preserve">causal-gap characterises how the estimate changes as a function of</w:t>
      </w:r>
      <w:r>
        <w:t xml:space="preserve"> </w:t>
      </w:r>
      <w:r>
        <w:t xml:space="preserve">an unmeasured-confounder bound and complements the E-value</w:t>
      </w:r>
      <w:r>
        <w:t xml:space="preserve"> </w:t>
      </w:r>
      <w:r>
        <w:t xml:space="preserve">(VanderWeele and Ding 2017)</w:t>
      </w:r>
      <w:r>
        <w:t xml:space="preserve">. The DQ stress test, by contrast, asks</w:t>
      </w:r>
      <w:r>
        <w:t xml:space="preserve"> </w:t>
      </w:r>
      <w:r>
        <w:t xml:space="preserve">whether candidate estimators still pass the pre-outcome gate when</w:t>
      </w:r>
      <w:r>
        <w:t xml:space="preserve"> </w:t>
      </w:r>
      <w:r>
        <w:t xml:space="preserve">the data are degraded under prespecified threats, and reaches</w:t>
      </w:r>
      <w:r>
        <w:t xml:space="preserve"> </w:t>
      </w:r>
      <w:r>
        <w:t xml:space="preserve">covariate missingness and exposure misclassification in particular.</w:t>
      </w:r>
    </w:p>
    <w:p>
      <w:pPr>
        <w:pStyle w:val="BodyText"/>
      </w:pPr>
      <w:r>
        <w:t xml:space="preserve">We therefore position the DQ stress test as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of three</w:t>
      </w:r>
      <w:r>
        <w:t xml:space="preserve"> </w:t>
      </w:r>
      <w:r>
        <w:t xml:space="preserve">sequential bias analyses: pre-outcome (DQ stress test), at-outcome</w:t>
      </w:r>
      <w:r>
        <w:t xml:space="preserve"> </w:t>
      </w:r>
      <w:r>
        <w:t xml:space="preserve">(negative-control outcomes</w:t>
      </w:r>
      <w:r>
        <w:t xml:space="preserve"> </w:t>
      </w:r>
      <w:r>
        <w:t xml:space="preserve">(Lipsitch, Tchetgen Tchetgen, and Cohen 2010)</w:t>
      </w:r>
      <w:r>
        <w:t xml:space="preserve">), and</w:t>
      </w:r>
      <w:r>
        <w:t xml:space="preserve"> </w:t>
      </w:r>
      <w:r>
        <w:t xml:space="preserve">post-outcome (E-value, QBA, causal-gap). Each addresses a different</w:t>
      </w:r>
      <w:r>
        <w:t xml:space="preserve"> </w:t>
      </w:r>
      <w:r>
        <w:t xml:space="preserve">threat, at a different stage, with a different artifact.</w:t>
      </w:r>
    </w:p>
    <w:bookmarkEnd w:id="57"/>
    <w:bookmarkStart w:id="58" w:name="why-outcome-blind-matters-here"/>
    <w:p>
      <w:pPr>
        <w:pStyle w:val="Heading2"/>
      </w:pPr>
      <w:r>
        <w:t xml:space="preserve">6.4 Why</w:t>
      </w:r>
      <w:r>
        <w:t xml:space="preserve"> </w:t>
      </w:r>
      <w:r>
        <w:t xml:space="preserve">“outcome-blind”</w:t>
      </w:r>
      <w:r>
        <w:t xml:space="preserve"> </w:t>
      </w:r>
      <w:r>
        <w:t xml:space="preserve">matters here</w:t>
      </w:r>
    </w:p>
    <w:p>
      <w:pPr>
        <w:pStyle w:val="FirstParagraph"/>
      </w:pPr>
      <w:r>
        <w:t xml:space="preserve">The DQ stress test runs on synthetic outcomes generated from the</w:t>
      </w:r>
      <w:r>
        <w:t xml:space="preserve"> </w:t>
      </w:r>
      <w:r>
        <w:t xml:space="preserve">real covariate distribution and the real treatment. The real</w:t>
      </w:r>
      <w:r>
        <w:t xml:space="preserve"> </w:t>
      </w:r>
      <w:r>
        <w:t xml:space="preserve">outcome is never read. This is the property that makes the test</w:t>
      </w:r>
      <w:r>
        <w:t xml:space="preserve"> </w:t>
      </w:r>
      <w:r>
        <w:t xml:space="preserve">admissible inside the prespecification: the analyst can iterate on</w:t>
      </w:r>
      <w:r>
        <w:t xml:space="preserve"> </w:t>
      </w:r>
      <w:r>
        <w:t xml:space="preserve">the prespecified set of candidate estimators, on the degradation</w:t>
      </w:r>
      <w:r>
        <w:t xml:space="preserve"> </w:t>
      </w:r>
      <w:r>
        <w:t xml:space="preserve">parameters, and on the decision thresholds without learning</w:t>
      </w:r>
      <w:r>
        <w:t xml:space="preserve"> </w:t>
      </w:r>
      <w:r>
        <w:t xml:space="preserve">anything about the treatment-outcome association in the actual</w:t>
      </w:r>
      <w:r>
        <w:t xml:space="preserve"> </w:t>
      </w:r>
      <w:r>
        <w:t xml:space="preserve">study data</w:t>
      </w:r>
      <w:r>
        <w:t xml:space="preserve"> </w:t>
      </w:r>
      <w:r>
        <w:t xml:space="preserve">(Dang et al. 2023, 7)</w:t>
      </w:r>
      <w:r>
        <w:t xml:space="preserve">. The analysis-lock fingerprint</w:t>
      </w:r>
      <w:r>
        <w:t xml:space="preserve"> </w:t>
      </w:r>
      <w:r>
        <w:t xml:space="preserve">records the final choices. Once the prespecified workflow has been</w:t>
      </w:r>
      <w:r>
        <w:t xml:space="preserve"> </w:t>
      </w:r>
      <w:r>
        <w:t xml:space="preserve">completed, the outcome is unmasked and the primary analysis is</w:t>
      </w:r>
      <w:r>
        <w:t xml:space="preserve"> </w:t>
      </w:r>
      <w:r>
        <w:t xml:space="preserve">run.</w:t>
      </w:r>
    </w:p>
    <w:bookmarkEnd w:id="58"/>
    <w:bookmarkEnd w:id="59"/>
    <w:bookmarkStart w:id="65" w:name="sec-implementation"/>
    <w:p>
      <w:pPr>
        <w:pStyle w:val="Heading1"/>
      </w:pPr>
      <w:r>
        <w:t xml:space="preserve">7. Implementation and</w:t>
      </w:r>
      <w:r>
        <w:t xml:space="preserve"> </w:t>
      </w:r>
      <w:r>
        <w:rPr>
          <w:rStyle w:val="VerbatimChar"/>
        </w:rPr>
        <w:t xml:space="preserve">run_plasmode_dq_stress()</w:t>
      </w:r>
    </w:p>
    <w:bookmarkStart w:id="60" w:name="a-worked-workflow"/>
    <w:p>
      <w:pPr>
        <w:pStyle w:val="Heading2"/>
      </w:pPr>
      <w:r>
        <w:t xml:space="preserve">7.1 A worked workflow</w:t>
      </w:r>
    </w:p>
    <w:p>
      <w:pPr>
        <w:pStyle w:val="FirstParagraph"/>
      </w:pPr>
      <w:r>
        <w:t xml:space="preserve">A typical cleanTMLE session for a binary point-treatment endpoint</w:t>
      </w:r>
      <w:r>
        <w:t xml:space="preserve"> </w:t>
      </w:r>
      <w:r>
        <w:t xml:space="preserve">looks like the following. We omit print output for compactness;</w:t>
      </w:r>
      <w:r>
        <w:t xml:space="preserve"> </w:t>
      </w:r>
      <w:r>
        <w:t xml:space="preserve">each print method is documented in</w:t>
      </w:r>
      <w:r>
        <w:t xml:space="preserve"> </w:t>
      </w:r>
      <w:r>
        <w:rPr>
          <w:rStyle w:val="VerbatimChar"/>
        </w:rPr>
        <w:t xml:space="preserve">?print.cleanroom_lock</w:t>
      </w:r>
      <w:r>
        <w:t xml:space="preserve"> </w:t>
      </w:r>
      <w:r>
        <w:t xml:space="preserve">and the</w:t>
      </w:r>
      <w:r>
        <w:t xml:space="preserve"> </w:t>
      </w:r>
      <w:r>
        <w:t xml:space="preserve">related help pages.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(cleanTMLE)</w:t>
      </w:r>
      <w:r>
        <w:br/>
      </w:r>
      <w:r>
        <w:br/>
      </w:r>
      <w:r>
        <w:rPr>
          <w:rStyle w:val="CommentTok"/>
        </w:rPr>
        <w:t xml:space="preserve"># Stage 1a: lock the analytic specification</w:t>
      </w:r>
      <w:r>
        <w:br/>
      </w:r>
      <w:r>
        <w:rPr>
          <w:rStyle w:val="NormalTok"/>
        </w:rPr>
        <w:t xml:space="preserve">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create_analysis_lock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study_data,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covariates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"biomarker"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"comorbidity"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sl_library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"SL.glm"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"SL.glmnet"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"SL.ranger"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attach_estimand</w:t>
      </w:r>
      <w:r>
        <w:rPr>
          <w:rStyle w:val="NormalTok"/>
        </w:rPr>
        <w:t xml:space="preserve">(lock,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of A on 24-month event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population 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"Adults eligible at 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treatment_strategies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outcome_label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event by 24 months"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followup   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 months"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contrast   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"risk_difference"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Stage 1b: cohort adequacy + design precision</w:t>
      </w:r>
      <w:r>
        <w:br/>
      </w:r>
      <w:r>
        <w:rPr>
          <w:rStyle w:val="NormalTok"/>
        </w:rPr>
        <w:t xml:space="preserve">audit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create_audit_log</w:t>
      </w:r>
      <w:r>
        <w:rPr>
          <w:rStyle w:val="NormalTok"/>
        </w:rPr>
        <w:t xml:space="preserve">(lock)</w:t>
      </w:r>
      <w:r>
        <w:br/>
      </w:r>
      <w:r>
        <w:rPr>
          <w:rStyle w:val="NormalTok"/>
        </w:rPr>
        <w:t xml:space="preserve">cp1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checkpoint_cohort_adequacy</w:t>
      </w:r>
      <w:r>
        <w:rPr>
          <w:rStyle w:val="NormalTok"/>
        </w:rPr>
        <w:t xml:space="preserve">(lock,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min_n_per_arm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min_events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record_checkpoint</w:t>
      </w:r>
      <w:r>
        <w:rPr>
          <w:rStyle w:val="NormalTok"/>
        </w:rPr>
        <w:t xml:space="preserve">(audit, cp1)</w:t>
      </w:r>
      <w:r>
        <w:br/>
      </w:r>
      <w:r>
        <w:br/>
      </w:r>
      <w:r>
        <w:rPr>
          <w:rStyle w:val="CommentTok"/>
        </w:rPr>
        <w:t xml:space="preserve"># Stage 2a: propensity-score diagnostics + balance checkpoint</w:t>
      </w:r>
      <w:r>
        <w:br/>
      </w:r>
      <w:r>
        <w:rPr>
          <w:rStyle w:val="NormalTok"/>
        </w:rPr>
        <w:t xml:space="preserve">ps_fit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fit_ps_superlearner</w:t>
      </w:r>
      <w:r>
        <w:rPr>
          <w:rStyle w:val="NormalTok"/>
        </w:rPr>
        <w:t xml:space="preserve">(lock)</w:t>
      </w:r>
      <w:r>
        <w:br/>
      </w:r>
      <w:r>
        <w:rPr>
          <w:rStyle w:val="NormalTok"/>
        </w:rPr>
        <w:t xml:space="preserve">ps_diag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compute_ps_diagnostics</w:t>
      </w:r>
      <w:r>
        <w:rPr>
          <w:rStyle w:val="NormalTok"/>
        </w:rPr>
        <w:t xml:space="preserve">(ps_fit)</w:t>
      </w:r>
      <w:r>
        <w:br/>
      </w:r>
      <w:r>
        <w:rPr>
          <w:rStyle w:val="NormalTok"/>
        </w:rPr>
        <w:t xml:space="preserve">cp2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checkpoint_balance</w:t>
      </w:r>
      <w:r>
        <w:rPr>
          <w:rStyle w:val="NormalTok"/>
        </w:rPr>
        <w:t xml:space="preserve">(ps_diag, </w:t>
      </w:r>
      <w:r>
        <w:rPr>
          <w:rStyle w:val="AttributeTok"/>
        </w:rPr>
        <w:t xml:space="preserve">max_smd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lock_hash =</w:t>
      </w:r>
      <w:r>
        <w:rPr>
          <w:rStyle w:val="NormalTok"/>
        </w:rPr>
        <w:t xml:space="preserve"> lock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lock_hash)</w:t>
      </w:r>
      <w:r>
        <w:br/>
      </w:r>
      <w:r>
        <w:rPr>
          <w:rStyle w:val="NormalTok"/>
        </w:rPr>
        <w:t xml:space="preserve">audit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record_checkpoint</w:t>
      </w:r>
      <w:r>
        <w:rPr>
          <w:rStyle w:val="NormalTok"/>
        </w:rPr>
        <w:t xml:space="preserve">(audit, cp2)</w:t>
      </w:r>
      <w:r>
        <w:br/>
      </w:r>
      <w:r>
        <w:br/>
      </w:r>
      <w:r>
        <w:rPr>
          <w:rStyle w:val="CommentTok"/>
        </w:rPr>
        <w:t xml:space="preserve"># Stage 2b: plasmode candidate selection + DQ stress test</w:t>
      </w:r>
      <w:r>
        <w:br/>
      </w:r>
      <w:r>
        <w:rPr>
          <w:rStyle w:val="NormalTok"/>
        </w:rPr>
        <w:t xml:space="preserve">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tmle_candidate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"glm_t01"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"GLM PS, trunc=0.01"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g_library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"SL.glm"</w:t>
      </w:r>
      <w:r>
        <w:rPr>
          <w:rStyle w:val="NormalTok"/>
        </w:rPr>
        <w:t xml:space="preserve">,     </w:t>
      </w:r>
      <w:r>
        <w:rPr>
          <w:rStyle w:val="AttributeTok"/>
        </w:rPr>
        <w:t xml:space="preserve">truncation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tmle_candidate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"glm_t05"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"GLM PS, trunc=0.05"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g_library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"SL.glm"</w:t>
      </w:r>
      <w:r>
        <w:rPr>
          <w:rStyle w:val="NormalTok"/>
        </w:rPr>
        <w:t xml:space="preserve">,     </w:t>
      </w:r>
      <w:r>
        <w:rPr>
          <w:rStyle w:val="AttributeTok"/>
        </w:rPr>
        <w:t xml:space="preserve">truncation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tmle_candidate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"glmnet_t01"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"glmnet PS, trunc=0.01"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g_library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"SL.glmnet"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truncation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tmle_candidate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"glmnet_t05"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"glmnet PS, trunc=0.05"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g_library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"SL.glmnet"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truncation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run_plasmode_feasibility</w:t>
      </w:r>
      <w:r>
        <w:rPr>
          <w:rStyle w:val="NormalTok"/>
        </w:rPr>
        <w:t xml:space="preserve">(lock,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tmle_candidates =</w:t>
      </w:r>
      <w:r>
        <w:rPr>
          <w:rStyle w:val="NormalTok"/>
        </w:rPr>
        <w:t xml:space="preserve"> candidates,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effect_sizes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reps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dq_results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run_plasmode_dq_stress</w:t>
      </w:r>
      <w:r>
        <w:rPr>
          <w:rStyle w:val="NormalTok"/>
        </w:rPr>
        <w:t xml:space="preserve">(lock,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tmle_candidates =</w:t>
      </w:r>
      <w:r>
        <w:rPr>
          <w:rStyle w:val="NormalTok"/>
        </w:rPr>
        <w:t xml:space="preserve"> candidates,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reps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data_quality_scenarios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covariate_missingness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fractions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treatment_misclass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outcome_misclass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unmeasured_confounding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U_prevalence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U_treatment_OR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U_outcome_OR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select_tmle_candidate</w:t>
      </w:r>
      <w:r>
        <w:rPr>
          <w:rStyle w:val="NormalTok"/>
        </w:rPr>
        <w:t xml:space="preserve">(plas, </w:t>
      </w:r>
      <w:r>
        <w:rPr>
          <w:rStyle w:val="AttributeTok"/>
        </w:rPr>
        <w:t xml:space="preserve">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"min_rmse"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lock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lock_primary_tmle_spec</w:t>
      </w:r>
      <w:r>
        <w:rPr>
          <w:rStyle w:val="NormalTok"/>
        </w:rPr>
        <w:t xml:space="preserve">(lock, selected)</w:t>
      </w:r>
      <w:r>
        <w:br/>
      </w:r>
      <w:r>
        <w:br/>
      </w:r>
      <w:r>
        <w:rPr>
          <w:rStyle w:val="CommentTok"/>
        </w:rPr>
        <w:t xml:space="preserve"># Outcome blinding for Stage 3 and the gate.</w:t>
      </w:r>
      <w:r>
        <w:br/>
      </w:r>
      <w:r>
        <w:rPr>
          <w:rStyle w:val="NormalTok"/>
        </w:rPr>
        <w:t xml:space="preserve">original_lock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lock</w:t>
      </w:r>
      <w:r>
        <w:br/>
      </w:r>
      <w:r>
        <w:rPr>
          <w:rStyle w:val="NormalTok"/>
        </w:rPr>
        <w:t xml:space="preserve">masked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mask_outcome</w:t>
      </w:r>
      <w:r>
        <w:rPr>
          <w:rStyle w:val="NormalTok"/>
        </w:rPr>
        <w:t xml:space="preserve">(lock)</w:t>
      </w:r>
      <w:r>
        <w:br/>
      </w:r>
      <w:r>
        <w:br/>
      </w:r>
      <w:r>
        <w:rPr>
          <w:rStyle w:val="CommentTok"/>
        </w:rPr>
        <w:t xml:space="preserve"># Stage 3: negative-control outcomes</w:t>
      </w:r>
      <w:r>
        <w:br/>
      </w:r>
      <w:r>
        <w:rPr>
          <w:rStyle w:val="NormalTok"/>
        </w:rPr>
        <w:t xml:space="preserve">masked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define_negative_control</w:t>
      </w:r>
      <w:r>
        <w:rPr>
          <w:rStyle w:val="NormalTok"/>
        </w:rPr>
        <w:t xml:space="preserve">(masked,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"nc_outcome"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stage3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run_residual_confounding_stage</w:t>
      </w:r>
      <w:r>
        <w:rPr>
          <w:rStyle w:val="NormalTok"/>
        </w:rPr>
        <w:t xml:space="preserve">(masked, ps_fit)</w:t>
      </w:r>
      <w:r>
        <w:br/>
      </w:r>
      <w:r>
        <w:rPr>
          <w:rStyle w:val="NormalTok"/>
        </w:rPr>
        <w:t xml:space="preserve">cp3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stage3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checkpoint</w:t>
      </w:r>
      <w:r>
        <w:br/>
      </w:r>
      <w:r>
        <w:rPr>
          <w:rStyle w:val="NormalTok"/>
        </w:rPr>
        <w:t xml:space="preserve">audit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record_checkpoint</w:t>
      </w:r>
      <w:r>
        <w:rPr>
          <w:rStyle w:val="NormalTok"/>
        </w:rPr>
        <w:t xml:space="preserve">(audit, cp3)</w:t>
      </w:r>
      <w:r>
        <w:br/>
      </w:r>
      <w:r>
        <w:br/>
      </w:r>
      <w:r>
        <w:rPr>
          <w:rStyle w:val="CommentTok"/>
        </w:rPr>
        <w:t xml:space="preserve"># Pre-outcome gate</w:t>
      </w:r>
      <w:r>
        <w:br/>
      </w:r>
      <w:r>
        <w:rPr>
          <w:rStyle w:val="NormalTok"/>
        </w:rPr>
        <w:t xml:space="preserve">gate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gate_all</w:t>
      </w:r>
      <w:r>
        <w:rPr>
          <w:rStyle w:val="NormalTok"/>
        </w:rPr>
        <w:t xml:space="preserve">(cp1, cp2, cp3, </w:t>
      </w:r>
      <w:r>
        <w:rPr>
          <w:rStyle w:val="AttributeTok"/>
        </w:rPr>
        <w:t xml:space="preserve">allow_flag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authorize_outcome_analysis</w:t>
      </w:r>
      <w:r>
        <w:rPr>
          <w:rStyle w:val="NormalTok"/>
        </w:rPr>
        <w:t xml:space="preserve">(audit)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(auth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authorized))</w:t>
      </w:r>
      <w:r>
        <w:br/>
      </w:r>
      <w:r>
        <w:br/>
      </w:r>
      <w:r>
        <w:rPr>
          <w:rStyle w:val="CommentTok"/>
        </w:rPr>
        <w:t xml:space="preserve"># Stage 4: unblind and run the primary analysis</w:t>
      </w:r>
      <w:r>
        <w:br/>
      </w:r>
      <w:r>
        <w:rPr>
          <w:rStyle w:val="NormalTok"/>
        </w:rPr>
        <w:t xml:space="preserve">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unmask_outcome</w:t>
      </w:r>
      <w:r>
        <w:rPr>
          <w:rStyle w:val="NormalTok"/>
        </w:rPr>
        <w:t xml:space="preserve">(masked, original_lock)</w:t>
      </w:r>
      <w:r>
        <w:br/>
      </w:r>
      <w:r>
        <w:rPr>
          <w:rStyle w:val="NormalTok"/>
        </w:rPr>
        <w:t xml:space="preserve">g_fit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fit_tmle_treatment_mechanism</w:t>
      </w:r>
      <w:r>
        <w:rPr>
          <w:rStyle w:val="NormalTok"/>
        </w:rPr>
        <w:t xml:space="preserve">(final, ps_fit)</w:t>
      </w:r>
      <w:r>
        <w:br/>
      </w:r>
      <w:r>
        <w:rPr>
          <w:rStyle w:val="NormalTok"/>
        </w:rPr>
        <w:t xml:space="preserve">Q_fit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fit_tmle_outcome_mechanism</w:t>
      </w:r>
      <w:r>
        <w:rPr>
          <w:rStyle w:val="NormalTok"/>
        </w:rPr>
        <w:t xml:space="preserve">(final, g_fit)</w:t>
      </w:r>
      <w:r>
        <w:br/>
      </w:r>
      <w:r>
        <w:rPr>
          <w:rStyle w:val="NormalTok"/>
        </w:rPr>
        <w:t xml:space="preserve">upd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run_tmle_targeting_step</w:t>
      </w:r>
      <w:r>
        <w:rPr>
          <w:rStyle w:val="NormalTok"/>
        </w:rPr>
        <w:t xml:space="preserve">(g_fit, Q_fit)</w:t>
      </w:r>
      <w:r>
        <w:br/>
      </w:r>
      <w:r>
        <w:rPr>
          <w:rStyle w:val="NormalTok"/>
        </w:rPr>
        <w:t xml:space="preserve">psi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extract_tmle_estimate</w:t>
      </w:r>
      <w:r>
        <w:rPr>
          <w:rStyle w:val="NormalTok"/>
        </w:rPr>
        <w:t xml:space="preserve">(upd)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ATE</w:t>
      </w:r>
      <w:r>
        <w:br/>
      </w:r>
      <w:r>
        <w:br/>
      </w:r>
      <w:r>
        <w:rPr>
          <w:rStyle w:val="FunctionTok"/>
        </w:rPr>
        <w:t xml:space="preserve">save_lock</w:t>
      </w:r>
      <w:r>
        <w:rPr>
          <w:rStyle w:val="NormalTok"/>
        </w:rPr>
        <w:t xml:space="preserve">(final,  </w:t>
      </w:r>
      <w:r>
        <w:rPr>
          <w:rStyle w:val="StringTok"/>
        </w:rPr>
        <w:t xml:space="preserve">"lock.rds"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save_audit</w:t>
      </w:r>
      <w:r>
        <w:rPr>
          <w:rStyle w:val="NormalTok"/>
        </w:rPr>
        <w:t xml:space="preserve">(audit, </w:t>
      </w:r>
      <w:r>
        <w:rPr>
          <w:rStyle w:val="StringTok"/>
        </w:rPr>
        <w:t xml:space="preserve">"audit.rds"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Reporting tables.</w:t>
      </w:r>
      <w:r>
        <w:br/>
      </w:r>
      <w:r>
        <w:rPr>
          <w:rStyle w:val="FunctionTok"/>
        </w:rPr>
        <w:t xml:space="preserve">make_table1</w:t>
      </w:r>
      <w:r>
        <w:rPr>
          <w:rStyle w:val="NormalTok"/>
        </w:rPr>
        <w:t xml:space="preserve">(final,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make_table2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TMLE (primary)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upd), </w:t>
      </w:r>
      <w:r>
        <w:rPr>
          <w:rStyle w:val="AttributeTok"/>
        </w:rPr>
        <w:t xml:space="preserve">risk_time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DQ stress test is the only fundamentally new piece in the</w:t>
      </w:r>
      <w:r>
        <w:t xml:space="preserve"> </w:t>
      </w:r>
      <w:r>
        <w:t xml:space="preserve">above; the rest is conventional TL-RWE plumbing.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returns a metrics object of the same</w:t>
      </w:r>
      <w:r>
        <w:t xml:space="preserve"> </w:t>
      </w:r>
      <w:r>
        <w:t xml:space="preserve">class as the standard plasmode and feeds the same gate, so adding</w:t>
      </w:r>
      <w:r>
        <w:t xml:space="preserve"> </w:t>
      </w:r>
      <w:r>
        <w:t xml:space="preserve">the data-quality argument to the workflow does not require new</w:t>
      </w:r>
      <w:r>
        <w:t xml:space="preserve"> </w:t>
      </w:r>
      <w:r>
        <w:t xml:space="preserve">infrastructure on the analyst’s side.</w:t>
      </w:r>
    </w:p>
    <w:bookmarkEnd w:id="60"/>
    <w:bookmarkStart w:id="61" w:name="inside-run_plasmode_dq_stress"/>
    <w:p>
      <w:pPr>
        <w:pStyle w:val="Heading2"/>
      </w:pPr>
      <w:r>
        <w:t xml:space="preserve">7.2 Inside</w:t>
      </w:r>
      <w:r>
        <w:t xml:space="preserve"> </w:t>
      </w:r>
      <w:r>
        <w:rPr>
          <w:rStyle w:val="VerbatimChar"/>
        </w:rPr>
        <w:t xml:space="preserve">run_plasmode_dq_stress()</w:t>
      </w:r>
    </w:p>
    <w:p>
      <w:pPr>
        <w:pStyle w:val="FirstParagraph"/>
      </w:pPr>
      <w:r>
        <w:t xml:space="preserve">The function loops over a scenario grid, fits every candidate</w:t>
      </w:r>
      <w:r>
        <w:t xml:space="preserve"> </w:t>
      </w:r>
      <w:r>
        <w:t xml:space="preserve">under each scenario × severity, and aggregates bias, RMSE, and</w:t>
      </w:r>
      <w:r>
        <w:t xml:space="preserve"> </w:t>
      </w:r>
      <w:r>
        <w:t xml:space="preserve">coverage. Pseudocode:</w:t>
      </w:r>
    </w:p>
    <w:p>
      <w:pPr>
        <w:pStyle w:val="SourceCode"/>
      </w:pPr>
      <w:r>
        <w:rPr>
          <w:rStyle w:val="VerbatimChar"/>
        </w:rPr>
        <w:t xml:space="preserve">for each (scenario, severity) in scenario grid:</w:t>
      </w:r>
      <w:r>
        <w:br/>
      </w:r>
      <w:r>
        <w:rPr>
          <w:rStyle w:val="VerbatimChar"/>
        </w:rPr>
        <w:t xml:space="preserve">  for each replicate r:</w:t>
      </w:r>
      <w:r>
        <w:br/>
      </w:r>
      <w:r>
        <w:rPr>
          <w:rStyle w:val="VerbatimChar"/>
        </w:rPr>
        <w:t xml:space="preserve">    set seed deterministically from (lock$seed, r, scenario index)</w:t>
      </w:r>
      <w:r>
        <w:br/>
      </w:r>
      <w:r>
        <w:rPr>
          <w:rStyle w:val="VerbatimChar"/>
        </w:rPr>
        <w:t xml:space="preserve">    generate synthetic outcome from the lock's covariate-only Q0 model</w:t>
      </w:r>
      <w:r>
        <w:br/>
      </w:r>
      <w:r>
        <w:rPr>
          <w:rStyle w:val="VerbatimChar"/>
        </w:rPr>
        <w:t xml:space="preserve">    if scenario == unmeasured_confounding:</w:t>
      </w:r>
      <w:r>
        <w:br/>
      </w:r>
      <w:r>
        <w:rPr>
          <w:rStyle w:val="VerbatimChar"/>
        </w:rPr>
        <w:t xml:space="preserve">      sample latent U; modify treatment via a real PS model;</w:t>
      </w:r>
      <w:r>
        <w:br/>
      </w:r>
      <w:r>
        <w:rPr>
          <w:rStyle w:val="VerbatimChar"/>
        </w:rPr>
        <w:t xml:space="preserve">      modify outcome probabilities via OR_Y * U</w:t>
      </w:r>
      <w:r>
        <w:br/>
      </w:r>
      <w:r>
        <w:rPr>
          <w:rStyle w:val="VerbatimChar"/>
        </w:rPr>
        <w:t xml:space="preserve">    if scenario == treatment_misclass:</w:t>
      </w:r>
      <w:r>
        <w:br/>
      </w:r>
      <w:r>
        <w:rPr>
          <w:rStyle w:val="VerbatimChar"/>
        </w:rPr>
        <w:t xml:space="preserve">      apply (sens, spec) to A</w:t>
      </w:r>
      <w:r>
        <w:br/>
      </w:r>
      <w:r>
        <w:rPr>
          <w:rStyle w:val="VerbatimChar"/>
        </w:rPr>
        <w:t xml:space="preserve">    if scenario == outcome_misclass:</w:t>
      </w:r>
      <w:r>
        <w:br/>
      </w:r>
      <w:r>
        <w:rPr>
          <w:rStyle w:val="VerbatimChar"/>
        </w:rPr>
        <w:t xml:space="preserve">      apply (sens, spec) to Y, optionally by treatment arm</w:t>
      </w:r>
      <w:r>
        <w:br/>
      </w:r>
      <w:r>
        <w:rPr>
          <w:rStyle w:val="VerbatimChar"/>
        </w:rPr>
        <w:t xml:space="preserve">    if scenario == covariate_missingness:</w:t>
      </w:r>
      <w:r>
        <w:br/>
      </w:r>
      <w:r>
        <w:rPr>
          <w:rStyle w:val="VerbatimChar"/>
        </w:rPr>
        <w:t xml:space="preserve">      set MCAR fraction of W to NA, impute with column median</w:t>
      </w:r>
      <w:r>
        <w:br/>
      </w:r>
      <w:r>
        <w:rPr>
          <w:rStyle w:val="VerbatimChar"/>
        </w:rPr>
        <w:t xml:space="preserve">    for each candidate:</w:t>
      </w:r>
      <w:r>
        <w:br/>
      </w:r>
      <w:r>
        <w:rPr>
          <w:rStyle w:val="VerbatimChar"/>
        </w:rPr>
        <w:t xml:space="preserve">      fit g, Q, targeting; record est, SE, CI</w:t>
      </w:r>
      <w:r>
        <w:br/>
      </w:r>
      <w:r>
        <w:rPr>
          <w:rStyle w:val="VerbatimChar"/>
        </w:rPr>
        <w:t xml:space="preserve">  aggregate over replicates: bias, RMSE, coverage, SE/SD</w:t>
      </w:r>
      <w:r>
        <w:br/>
      </w:r>
      <w:r>
        <w:rPr>
          <w:rStyle w:val="VerbatimChar"/>
        </w:rPr>
        <w:t xml:space="preserve">return data frame indexed by (scenario, level, candidate)</w:t>
      </w:r>
    </w:p>
    <w:p>
      <w:pPr>
        <w:pStyle w:val="FirstParagraph"/>
      </w:pPr>
      <w:r>
        <w:t xml:space="preserve">The implementation is in</w:t>
      </w:r>
      <w:r>
        <w:t xml:space="preserve"> </w:t>
      </w:r>
      <w:r>
        <w:rPr>
          <w:rStyle w:val="VerbatimChar"/>
        </w:rPr>
        <w:t xml:space="preserve">R/plasmode_dq.R</w:t>
      </w:r>
      <w:r>
        <w:t xml:space="preserve">. Three details matter</w:t>
      </w:r>
      <w:r>
        <w:t xml:space="preserve"> </w:t>
      </w:r>
      <w:r>
        <w:t xml:space="preserve">for reproducibility. First, the seed is set deterministically from</w:t>
      </w:r>
      <w:r>
        <w:t xml:space="preserve"> </w:t>
      </w:r>
      <w:r>
        <w:rPr>
          <w:rStyle w:val="VerbatimChar"/>
        </w:rPr>
        <w:t xml:space="preserve">lock$seed + rep_i + sg_i * 10000L</w:t>
      </w:r>
      <w:r>
        <w:t xml:space="preserve"> </w:t>
      </w:r>
      <w:r>
        <w:t xml:space="preserve">so that re-running the same</w:t>
      </w:r>
      <w:r>
        <w:t xml:space="preserve"> </w:t>
      </w:r>
      <w:r>
        <w:t xml:space="preserve">lock with the same scenario list produces bit-identical metrics.</w:t>
      </w:r>
      <w:r>
        <w:t xml:space="preserve"> </w:t>
      </w:r>
      <w:r>
        <w:t xml:space="preserve">Second, the unmeasured-confounding scenario fits a real treatment-</w:t>
      </w:r>
      <w:r>
        <w:t xml:space="preserve"> </w:t>
      </w:r>
      <w:r>
        <w:t xml:space="preserve">mechanism (propensity) model on the lock data once and uses it as</w:t>
      </w:r>
      <w:r>
        <w:t xml:space="preserve"> </w:t>
      </w:r>
      <w:r>
        <w:t xml:space="preserve">the baseline propensity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shifts; earlier prototype versions</w:t>
      </w:r>
      <w:r>
        <w:t xml:space="preserve"> </w:t>
      </w:r>
      <w:r>
        <w:t xml:space="preserve">incorrectly used the outcome model’s prediction here, which we</w:t>
      </w:r>
      <w:r>
        <w:t xml:space="preserve"> </w:t>
      </w:r>
      <w:r>
        <w:t xml:space="preserve">fix in the version released with this paper. Third, treatment</w:t>
      </w:r>
      <w:r>
        <w:t xml:space="preserve"> </w:t>
      </w:r>
      <w:r>
        <w:t xml:space="preserve">misclassification accepts asymmetric (sens, spec) pairs rather than</w:t>
      </w:r>
      <w:r>
        <w:t xml:space="preserve"> </w:t>
      </w:r>
      <w:r>
        <w:t xml:space="preserve">symmetric flips, matching the form in which validation studies</w:t>
      </w:r>
      <w:r>
        <w:t xml:space="preserve"> </w:t>
      </w:r>
      <w:r>
        <w:t xml:space="preserve">typically report exposure-algorithm performance, and outcome</w:t>
      </w:r>
      <w:r>
        <w:t xml:space="preserve"> </w:t>
      </w:r>
      <w:r>
        <w:t xml:space="preserve">misclassification accepts optional per-treatment-arm sensitivity</w:t>
      </w:r>
      <w:r>
        <w:t xml:space="preserve"> </w:t>
      </w:r>
      <w:r>
        <w:t xml:space="preserve">and specificity, allowing the user to probe differential</w:t>
      </w:r>
      <w:r>
        <w:t xml:space="preserve"> </w:t>
      </w:r>
      <w:r>
        <w:t xml:space="preserve">misclassification, which is the most worrying case in observational</w:t>
      </w:r>
      <w:r>
        <w:t xml:space="preserve"> </w:t>
      </w:r>
      <w:r>
        <w:t xml:space="preserve">outcome ascertainment.</w:t>
      </w:r>
    </w:p>
    <w:bookmarkEnd w:id="61"/>
    <w:bookmarkStart w:id="62" w:name="relationship-to-causalrisk"/>
    <w:p>
      <w:pPr>
        <w:pStyle w:val="Heading2"/>
      </w:pPr>
      <w:r>
        <w:t xml:space="preserve">7.3 Relationship to</w:t>
      </w:r>
      <w:r>
        <w:t xml:space="preserve"> </w:t>
      </w:r>
      <w:r>
        <w:rPr>
          <w:rStyle w:val="VerbatimChar"/>
        </w:rPr>
        <w:t xml:space="preserve">causalRisk</w:t>
      </w:r>
    </w:p>
    <w:p>
      <w:pPr>
        <w:pStyle w:val="FirstParagraph"/>
      </w:pPr>
      <w:r>
        <w:t xml:space="preserve">The proprietary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package</w:t>
      </w:r>
      <w:r>
        <w:t xml:space="preserve"> </w:t>
      </w:r>
      <w:r>
        <w:t xml:space="preserve">(Brookhart, Breskin, and Eledath 2024)</w:t>
      </w:r>
      <w:r>
        <w:t xml:space="preserve"> </w:t>
      </w:r>
      <w:r>
        <w:t xml:space="preserve">implements IPW, g-computation, and AIPW cumulative-risk estimators</w:t>
      </w:r>
      <w:r>
        <w:t xml:space="preserve"> </w:t>
      </w:r>
      <w:r>
        <w:t xml:space="preserve">with a cohort-specification grammar oriented toward staged,</w:t>
      </w:r>
      <w:r>
        <w:t xml:space="preserve"> </w:t>
      </w:r>
      <w:r>
        <w:t xml:space="preserve">prespecified observational analyses. Although cleanTMLE was</w:t>
      </w:r>
      <w:r>
        <w:t xml:space="preserve"> </w:t>
      </w:r>
      <w:r>
        <w:t xml:space="preserve">informed by the conceptual structure of that package, the two</w:t>
      </w:r>
      <w:r>
        <w:t xml:space="preserve"> </w:t>
      </w:r>
      <w:r>
        <w:t xml:space="preserve">packages do not share code, and cleanTMLE’s estimation, gating,</w:t>
      </w:r>
      <w:r>
        <w:t xml:space="preserve"> </w:t>
      </w:r>
      <w:r>
        <w:t xml:space="preserve">audit, and DQ stress-test functions are independent</w:t>
      </w:r>
      <w:r>
        <w:t xml:space="preserve"> </w:t>
      </w:r>
      <w:r>
        <w:t xml:space="preserve">implementations. We acknowledge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as the closest</w:t>
      </w:r>
      <w:r>
        <w:t xml:space="preserve"> </w:t>
      </w:r>
      <w:r>
        <w:t xml:space="preserve">alternative implementation in the R ecosystem, while noting that</w:t>
      </w:r>
      <w:r>
        <w:t xml:space="preserve"> </w:t>
      </w:r>
      <w:r>
        <w:t xml:space="preserve">its proprietary licence means independent reproduction of any</w:t>
      </w:r>
      <w:r>
        <w:t xml:space="preserve"> </w:t>
      </w:r>
      <w:r>
        <w:t xml:space="preserve">specific function is up to the user.</w:t>
      </w:r>
    </w:p>
    <w:bookmarkEnd w:id="62"/>
    <w:bookmarkStart w:id="63" w:name="X0dca275365b1ea9fc0b3ffe97cd757b2bc51779"/>
    <w:p>
      <w:pPr>
        <w:pStyle w:val="Heading2"/>
      </w:pPr>
      <w:r>
        <w:t xml:space="preserve">7.4 Pre-outcome diagnostics for treatment, censoring, and missingness</w:t>
      </w:r>
    </w:p>
    <w:p>
      <w:pPr>
        <w:pStyle w:val="FirstParagraph"/>
      </w:pPr>
      <w:r>
        <w:t xml:space="preserve">Before outcome-unblinded estimation, investigators should report</w:t>
      </w:r>
      <w:r>
        <w:t xml:space="preserve"> </w:t>
      </w:r>
      <w:r>
        <w:t xml:space="preserve">diagnostics for the treatment, censoring, and missingness</w:t>
      </w:r>
      <w:r>
        <w:t xml:space="preserve"> </w:t>
      </w:r>
      <w:r>
        <w:t xml:space="preserve">mechanisms that support identification and estimator stability.</w:t>
      </w:r>
      <w:r>
        <w:t xml:space="preserve"> </w:t>
      </w:r>
      <w:r>
        <w:t xml:space="preserve">These include propensity-score overlap, distributions of treatment</w:t>
      </w:r>
      <w:r>
        <w:t xml:space="preserve"> </w:t>
      </w:r>
      <w:r>
        <w:t xml:space="preserve">and censoring weights, effective sample size, covariate balance</w:t>
      </w:r>
      <w:r>
        <w:t xml:space="preserve"> </w:t>
      </w:r>
      <w:r>
        <w:t xml:space="preserve">before and after weighting, and prespecified thresholds for</w:t>
      </w:r>
      <w:r>
        <w:t xml:space="preserve"> </w:t>
      </w:r>
      <w:r>
        <w:t xml:space="preserve">unacceptable positivity or weight instability. When competing</w:t>
      </w:r>
      <w:r>
        <w:t xml:space="preserve"> </w:t>
      </w:r>
      <w:r>
        <w:t xml:space="preserve">events are present, cumulative incidence for the event of</w:t>
      </w:r>
      <w:r>
        <w:t xml:space="preserve"> </w:t>
      </w:r>
      <w:r>
        <w:t xml:space="preserve">interest, the competing event, and the composite event should be</w:t>
      </w:r>
      <w:r>
        <w:t xml:space="preserve"> </w:t>
      </w:r>
      <w:r>
        <w:t xml:space="preserve">reported together, with internal checks that component risks are</w:t>
      </w:r>
      <w:r>
        <w:t xml:space="preserve"> </w:t>
      </w:r>
      <w:r>
        <w:t xml:space="preserve">coherent with the composite risk. The package supports these</w:t>
      </w:r>
      <w:r>
        <w:t xml:space="preserve"> </w:t>
      </w:r>
      <w:r>
        <w:t xml:space="preserve">checks via</w:t>
      </w:r>
      <w:r>
        <w:t xml:space="preserve"> </w:t>
      </w:r>
      <w:r>
        <w:rPr>
          <w:rStyle w:val="VerbatimChar"/>
        </w:rPr>
        <w:t xml:space="preserve">clean_weight_diagnostics()</w:t>
      </w:r>
      <w:r>
        <w:t xml:space="preserve"> </w:t>
      </w:r>
      <w:r>
        <w:t xml:space="preserve">for treatment and</w:t>
      </w:r>
      <w:r>
        <w:t xml:space="preserve"> </w:t>
      </w:r>
      <w:r>
        <w:t xml:space="preserve">censoring weights, and</w:t>
      </w:r>
      <w:r>
        <w:t xml:space="preserve"> </w:t>
      </w:r>
      <w:r>
        <w:rPr>
          <w:rStyle w:val="VerbatimChar"/>
        </w:rPr>
        <w:t xml:space="preserve">clean_check_event_processes()</w:t>
      </w:r>
      <w:r>
        <w:t xml:space="preserve"> </w:t>
      </w:r>
      <w:r>
        <w:t xml:space="preserve">for</w:t>
      </w:r>
      <w:r>
        <w:t xml:space="preserve"> </w:t>
      </w:r>
      <w:r>
        <w:t xml:space="preserve">component-vs-composite coherence.</w:t>
      </w:r>
    </w:p>
    <w:bookmarkEnd w:id="63"/>
    <w:bookmarkStart w:id="64" w:name="Xf50b5df1c7478f84a38ff2d616f12345ba7582f"/>
    <w:p>
      <w:pPr>
        <w:pStyle w:val="Heading2"/>
      </w:pPr>
      <w:r>
        <w:t xml:space="preserve">7.5 Reporting cumulative risks rather than hazard ratios</w:t>
      </w:r>
    </w:p>
    <w:p>
      <w:pPr>
        <w:pStyle w:val="FirstParagraph"/>
      </w:pPr>
      <w:r>
        <w:t xml:space="preserve">Although hazard ratios remain common in time-to-event analyses,</w:t>
      </w:r>
      <w:r>
        <w:t xml:space="preserve"> </w:t>
      </w:r>
      <w:r>
        <w:t xml:space="preserve">they are not generally the most transparent primary summary for</w:t>
      </w:r>
      <w:r>
        <w:t xml:space="preserve"> </w:t>
      </w:r>
      <w:r>
        <w:t xml:space="preserve">regulatory RWE questions framed as target trials. Cumulative</w:t>
      </w:r>
      <w:r>
        <w:t xml:space="preserve"> </w:t>
      </w:r>
      <w:r>
        <w:t xml:space="preserve">risks, risk differences, and risk ratios at clinically meaningful</w:t>
      </w:r>
      <w:r>
        <w:t xml:space="preserve"> </w:t>
      </w:r>
      <w:r>
        <w:t xml:space="preserve">follow-up times more directly correspond to treatment-specific</w:t>
      </w:r>
      <w:r>
        <w:t xml:space="preserve"> </w:t>
      </w:r>
      <w:r>
        <w:t xml:space="preserve">counterfactual risks and are often easier to align with estimand</w:t>
      </w:r>
      <w:r>
        <w:t xml:space="preserve"> </w:t>
      </w:r>
      <w:r>
        <w:t xml:space="preserve">language. Hazard ratios may be reported as secondary analyses when</w:t>
      </w:r>
      <w:r>
        <w:t xml:space="preserve"> </w:t>
      </w:r>
      <w:r>
        <w:t xml:space="preserve">proportional hazards is plausible and the estimand is explicitly</w:t>
      </w:r>
      <w:r>
        <w:t xml:space="preserve"> </w:t>
      </w:r>
      <w:r>
        <w:t xml:space="preserve">defined on the hazard scale. The package’s</w:t>
      </w:r>
      <w:r>
        <w:t xml:space="preserve"> </w:t>
      </w:r>
      <w:r>
        <w:rPr>
          <w:rStyle w:val="VerbatimChar"/>
        </w:rPr>
        <w:t xml:space="preserve">clean_risk_report_table()</w:t>
      </w:r>
      <w:r>
        <w:t xml:space="preserve"> </w:t>
      </w:r>
      <w:r>
        <w:t xml:space="preserve">produces a single structured table of</w:t>
      </w:r>
      <w:r>
        <w:t xml:space="preserve"> </w:t>
      </w:r>
      <w:r>
        <w:t xml:space="preserve">cumulative risks, contrasts, event counts, and the estimator that</w:t>
      </w:r>
      <w:r>
        <w:t xml:space="preserve"> </w:t>
      </w:r>
      <w:r>
        <w:t xml:space="preserve">produced each row.</w:t>
      </w:r>
    </w:p>
    <w:bookmarkEnd w:id="64"/>
    <w:bookmarkEnd w:id="65"/>
    <w:bookmarkStart w:id="90" w:name="sec-simulation"/>
    <w:p>
      <w:pPr>
        <w:pStyle w:val="Heading1"/>
      </w:pPr>
      <w:r>
        <w:t xml:space="preserve">8. Simulation Study</w:t>
      </w:r>
    </w:p>
    <w:bookmarkStart w:id="66" w:name="design"/>
    <w:p>
      <w:pPr>
        <w:pStyle w:val="Heading2"/>
      </w:pPr>
      <w:r>
        <w:t xml:space="preserve">8.1 Design</w:t>
      </w:r>
    </w:p>
    <w:p>
      <w:pPr>
        <w:pStyle w:val="FirstParagraph"/>
      </w:pPr>
      <w:r>
        <w:t xml:space="preserve">We run a Monte Carlo simulation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observations per</w:t>
      </w:r>
      <w:r>
        <w:t xml:space="preserve"> </w:t>
      </w:r>
      <w:r>
        <w:t xml:space="preserve">replicate. Six estimators are compared: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Crude:</w:t>
      </w:r>
      <w:r>
        <w:t xml:space="preserve"> </w:t>
      </w:r>
      <w:r>
        <w:t xml:space="preserve">unadjusted risk difference.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IPTW:</w:t>
      </w:r>
      <w:r>
        <w:t xml:space="preserve"> </w:t>
      </w:r>
      <w:r>
        <w:t xml:space="preserve">stabilised inverse-probability-of-treatment weighting.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 Match:</w:t>
      </w:r>
      <w:r>
        <w:t xml:space="preserve"> </w:t>
      </w:r>
      <w:r>
        <w:t xml:space="preserve">1:1 nearest-neighbour propensity-score matching.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TMLE:</w:t>
      </w:r>
      <w:r>
        <w:t xml:space="preserve"> </w:t>
      </w:r>
      <w:r>
        <w:t xml:space="preserve">TMLE with the plasmode-selected specification, no</w:t>
      </w:r>
      <w:r>
        <w:t xml:space="preserve"> </w:t>
      </w:r>
      <w:r>
        <w:t xml:space="preserve">cross-fitting.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TMLE_CF (CV-TMLE):</w:t>
      </w:r>
      <w:r>
        <w:t xml:space="preserve"> </w:t>
      </w:r>
      <w:r>
        <w:t xml:space="preserve">cross-validated TMLE with two folds. We</w:t>
      </w:r>
      <w:r>
        <w:t xml:space="preserve"> </w:t>
      </w:r>
      <w:r>
        <w:t xml:space="preserve">use the names</w:t>
      </w:r>
      <w:r>
        <w:t xml:space="preserve"> </w:t>
      </w:r>
      <w:r>
        <w:t xml:space="preserve">“cross-validated TMLE”</w:t>
      </w:r>
      <w:r>
        <w:t xml:space="preserve"> </w:t>
      </w:r>
      <w:r>
        <w:t xml:space="preserve">and</w:t>
      </w:r>
      <w:r>
        <w:t xml:space="preserve"> </w:t>
      </w:r>
      <w:r>
        <w:t xml:space="preserve">“cross-fitted TMLE”</w:t>
      </w:r>
      <w:r>
        <w:t xml:space="preserve"> </w:t>
      </w:r>
      <w:r>
        <w:t xml:space="preserve">interchangeably; both describe the sample-split estimator of</w:t>
      </w:r>
      <w:r>
        <w:t xml:space="preserve"> </w:t>
      </w:r>
      <w:r>
        <w:t xml:space="preserve">Zheng and Laan (2011)</w:t>
      </w:r>
      <w:r>
        <w:t xml:space="preserve"> </w:t>
      </w:r>
      <w:r>
        <w:t xml:space="preserve">and</w:t>
      </w:r>
      <w:r>
        <w:t xml:space="preserve"> </w:t>
      </w:r>
      <w:r>
        <w:t xml:space="preserve">Chernozhukov et al. (2018)</w:t>
      </w:r>
      <w:r>
        <w:t xml:space="preserve"> </w:t>
      </w:r>
      <w:r>
        <w:t xml:space="preserve">in which the</w:t>
      </w:r>
      <w:r>
        <w:t xml:space="preserve"> </w:t>
      </w:r>
      <w:r>
        <w:t xml:space="preserve">nuisance fits are made on data held out from the targeting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Match_TMLE:</w:t>
      </w:r>
      <w:r>
        <w:t xml:space="preserve"> </w:t>
      </w:r>
      <w:r>
        <w:t xml:space="preserve">TMLE on the propensity-matched subset.</w:t>
      </w:r>
    </w:p>
    <w:p>
      <w:pPr>
        <w:pStyle w:val="FirstParagraph"/>
      </w:pPr>
      <w:r>
        <w:t xml:space="preserve">Three scenarios are run: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A. Good overlap.</w:t>
      </w:r>
      <w:r>
        <w:t xml:space="preserve"> </w:t>
      </w:r>
      <w:r>
        <w:rPr>
          <w:rStyle w:val="VerbatimChar"/>
        </w:rPr>
        <w:t xml:space="preserve">overlap_strength = 0.5</w:t>
      </w:r>
      <w:r>
        <w:t xml:space="preserve">, no unmeasured</w:t>
      </w:r>
      <w:r>
        <w:t xml:space="preserve"> </w:t>
      </w:r>
      <w:r>
        <w:t xml:space="preserve">confounding. Propensity scores stay inside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t>0.8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B. Marginal overlap.</w:t>
      </w:r>
      <w:r>
        <w:t xml:space="preserve"> </w:t>
      </w:r>
      <w:r>
        <w:rPr>
          <w:rStyle w:val="VerbatimChar"/>
        </w:rPr>
        <w:t xml:space="preserve">overlap_strength = 1.5</w:t>
      </w:r>
      <w:r>
        <w:t xml:space="preserve">, no unmeasured</w:t>
      </w:r>
      <w:r>
        <w:t xml:space="preserve"> </w:t>
      </w:r>
      <w:r>
        <w:t xml:space="preserve">confounding. Propensity scores reach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0.04</m:t>
            </m:r>
            <m:r>
              <m:rPr>
                <m:sty m:val="p"/>
              </m:rPr>
              <m:t>,</m:t>
            </m:r>
            <m:r>
              <m:t>0.99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C. Unmeasured confounding.</w:t>
      </w:r>
      <w:r>
        <w:t xml:space="preserve"> </w:t>
      </w:r>
      <w:r>
        <w:rPr>
          <w:rStyle w:val="VerbatimChar"/>
        </w:rPr>
        <w:t xml:space="preserve">overlap_strength = 0.5</w:t>
      </w:r>
      <w:r>
        <w:t xml:space="preserve">, plus a</w:t>
      </w:r>
      <w:r>
        <w:t xml:space="preserve"> </w:t>
      </w:r>
      <w:r>
        <w:t xml:space="preserve">binary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prevalence 0.20 and odds ratios 2.0 for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 The analyst’s covariate set excludes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FirstParagraph"/>
      </w:pPr>
      <w:r>
        <w:t xml:space="preserve">For each scenario the DQ stress test is run on three covariate-</w:t>
      </w:r>
      <w:r>
        <w:t xml:space="preserve"> </w:t>
      </w:r>
      <w:r>
        <w:t xml:space="preserve">missingness fractions (0.05, 0.10, 0.20);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grid of</w:t>
      </w:r>
      <w:r>
        <w:t xml:space="preserve"> </w:t>
      </w:r>
      <w:r>
        <w:t xml:space="preserve">treatment-ascertainment sensitivity (0.95, 0.90) by specificity</w:t>
      </w:r>
      <w:r>
        <w:t xml:space="preserve"> </w:t>
      </w:r>
      <w:r>
        <w:t xml:space="preserve">(0.99, 0.95), giving four asymmetric (sens, spec) cells; the same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grid for outcome ascertainment;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grid of unmeasured-confounder strengths</w:t>
      </w:r>
      <w:r>
        <w:t xml:space="preserve"> </w:t>
      </w:r>
      <w:r>
        <w:t xml:space="preserve">(</w:t>
      </w:r>
      <m:oMath>
        <m:sSub>
          <m:e>
            <m:r>
              <m:rPr>
                <m:nor/>
                <m:sty m:val="p"/>
              </m:rPr>
              <m:t>OR</m:t>
            </m:r>
          </m:e>
          <m:sub>
            <m:r>
              <m:t>A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1.5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}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rPr>
                <m:nor/>
                <m:sty m:val="p"/>
              </m:rPr>
              <m:t>OR</m:t>
            </m:r>
          </m:e>
          <m:sub>
            <m:r>
              <m:t>Y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1.5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prevalence fixed at 0.20). Across the four threats this</w:t>
      </w:r>
      <w:r>
        <w:t xml:space="preserve"> </w:t>
      </w:r>
      <w:r>
        <w:t xml:space="preserve">yields fifteen scenario × severity cells per Monte Carlo scenario.</w:t>
      </w:r>
    </w:p>
    <w:bookmarkEnd w:id="66"/>
    <w:bookmarkStart w:id="80" w:name="monte-carlo-results"/>
    <w:p>
      <w:pPr>
        <w:pStyle w:val="Heading2"/>
      </w:pPr>
      <w:r>
        <w:t xml:space="preserve">8.2 Monte Carlo results</w:t>
      </w:r>
    </w:p>
    <w:bookmarkStart w:id="67" w:name="scenario-a-good-overlap-true-rd--0.02979"/>
    <w:p>
      <w:pPr>
        <w:pStyle w:val="Heading3"/>
      </w:pPr>
      <w:r>
        <w:t xml:space="preserve">8.2.1 Scenario A: Good Overlap (true RD = -0.02979)</w:t>
      </w:r>
    </w:p>
    <w:p>
      <w:pPr>
        <w:pStyle w:val="TableCaption"/>
      </w:pPr>
      <w:r>
        <w:t xml:space="preserve">Scenario A: Good Overlap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enario A: Good Overlap"/>
      </w:tblPr>
      <w:tblGrid>
        <w:gridCol w:w="814"/>
        <w:gridCol w:w="370"/>
        <w:gridCol w:w="666"/>
        <w:gridCol w:w="666"/>
        <w:gridCol w:w="666"/>
        <w:gridCol w:w="592"/>
        <w:gridCol w:w="592"/>
        <w:gridCol w:w="888"/>
        <w:gridCol w:w="592"/>
        <w:gridCol w:w="666"/>
        <w:gridCol w:w="740"/>
        <w:gridCol w:w="6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abs_bias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emp_sd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se_sd_ratio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mc_se_cov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IPTW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 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TMLE_CF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Match_TMLE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bookmarkEnd w:id="67"/>
    <w:bookmarkStart w:id="68" w:name="X539d2e41b20619841b5f484f160273f03ef61dd"/>
    <w:p>
      <w:pPr>
        <w:pStyle w:val="Heading3"/>
      </w:pPr>
      <w:r>
        <w:t xml:space="preserve">8.2.2 Scenario B: Marginal Overlap (true RD = -0.02979)</w:t>
      </w:r>
    </w:p>
    <w:p>
      <w:pPr>
        <w:pStyle w:val="TableCaption"/>
      </w:pPr>
      <w:r>
        <w:t xml:space="preserve">Scenario B: Marginal Overlap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enario B: Marginal Overlap"/>
      </w:tblPr>
      <w:tblGrid>
        <w:gridCol w:w="814"/>
        <w:gridCol w:w="370"/>
        <w:gridCol w:w="666"/>
        <w:gridCol w:w="666"/>
        <w:gridCol w:w="666"/>
        <w:gridCol w:w="592"/>
        <w:gridCol w:w="592"/>
        <w:gridCol w:w="888"/>
        <w:gridCol w:w="592"/>
        <w:gridCol w:w="666"/>
        <w:gridCol w:w="740"/>
        <w:gridCol w:w="6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abs_bias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emp_sd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se_sd_ratio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mc_se_cov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IPTW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 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TMLE_CF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Match_TMLE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bookmarkEnd w:id="68"/>
    <w:bookmarkStart w:id="69" w:name="X5abe8fbf009ebf57dedb1ebf41d3907d23035c8"/>
    <w:p>
      <w:pPr>
        <w:pStyle w:val="Heading3"/>
      </w:pPr>
      <w:r>
        <w:t xml:space="preserve">8.2.3 Scenario C: Unmeasured Confounding (true RD = -0.03347)</w:t>
      </w:r>
    </w:p>
    <w:p>
      <w:pPr>
        <w:pStyle w:val="TableCaption"/>
      </w:pPr>
      <w:r>
        <w:t xml:space="preserve">Scenario C: Unmeasured Confounding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enario C: Unmeasured Confounding"/>
      </w:tblPr>
      <w:tblGrid>
        <w:gridCol w:w="821"/>
        <w:gridCol w:w="373"/>
        <w:gridCol w:w="672"/>
        <w:gridCol w:w="597"/>
        <w:gridCol w:w="672"/>
        <w:gridCol w:w="597"/>
        <w:gridCol w:w="597"/>
        <w:gridCol w:w="896"/>
        <w:gridCol w:w="597"/>
        <w:gridCol w:w="672"/>
        <w:gridCol w:w="747"/>
        <w:gridCol w:w="6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abs_bias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emp_sd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se_sd_ratio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mc_se_cov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IPTW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 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TMLE_CF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Match_TMLE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bookmarkEnd w:id="69"/>
    <w:bookmarkStart w:id="79" w:name="interpretation"/>
    <w:p>
      <w:pPr>
        <w:pStyle w:val="Heading3"/>
      </w:pPr>
      <w:r>
        <w:t xml:space="preserve">8.2.4 Interpretation</w:t>
      </w:r>
    </w:p>
    <w:p>
      <w:pPr>
        <w:pStyle w:val="FirstParagraph"/>
      </w:pPr>
      <w:r>
        <w:t xml:space="preserve">The simulation illustrates three intended uses of the staged</w:t>
      </w:r>
      <w:r>
        <w:t xml:space="preserve"> </w:t>
      </w:r>
      <w:r>
        <w:t xml:space="preserve">workflow: confirming acceptable finite-sample behavior, detecting</w:t>
      </w:r>
      <w:r>
        <w:t xml:space="preserve"> </w:t>
      </w:r>
      <w:r>
        <w:t xml:space="preserve">instability under marginal overlap, and stopping when an</w:t>
      </w:r>
      <w:r>
        <w:t xml:space="preserve"> </w:t>
      </w:r>
      <w:r>
        <w:t xml:space="preserve">identification failure is built into the data-generating process.</w:t>
      </w:r>
      <w:r>
        <w:t xml:space="preserve"> </w:t>
      </w:r>
      <w:r>
        <w:t xml:space="preserve">The printed tables include the Monte Carlo standard error of the</w:t>
      </w:r>
      <w:r>
        <w:t xml:space="preserve"> </w:t>
      </w:r>
      <w:r>
        <w:t xml:space="preserve">coverage estimate so the reader can judge which differences exceed</w:t>
      </w:r>
      <w:r>
        <w:t xml:space="preserve"> </w:t>
      </w:r>
      <w:r>
        <w:t xml:space="preserve">Monte Carlo noise. Three patterns are robust to noise.</w:t>
      </w:r>
    </w:p>
    <w:p>
      <w:pPr>
        <w:pStyle w:val="BodyText"/>
      </w:pPr>
      <w:r>
        <w:t xml:space="preserve">First, under good overlap (Scenario A) all adjusted estimators</w:t>
      </w:r>
      <w:r>
        <w:t xml:space="preserve"> </w:t>
      </w:r>
      <w:r>
        <w:t xml:space="preserve">recover the truth with bias well under the prespecified threshold</w:t>
      </w:r>
      <w:r>
        <w:t xml:space="preserve"> </w:t>
      </w:r>
      <w:r>
        <w:t xml:space="preserve">of 0.02 and with confidence intervals that cover at the nominal</w:t>
      </w:r>
      <w:r>
        <w:t xml:space="preserve"> </w:t>
      </w:r>
      <w:r>
        <w:t xml:space="preserve">rate. The crude estimator has substantial residual confounding and</w:t>
      </w:r>
      <w:r>
        <w:t xml:space="preserve"> </w:t>
      </w:r>
      <w:r>
        <w:t xml:space="preserve">its confidence intervals do not cover at 95%. This is the textbook</w:t>
      </w:r>
      <w:r>
        <w:t xml:space="preserve"> </w:t>
      </w:r>
      <w:r>
        <w:t xml:space="preserve">benchmark check.</w:t>
      </w:r>
    </w:p>
    <w:p>
      <w:pPr>
        <w:pStyle w:val="BodyText"/>
      </w:pPr>
      <w:r>
        <w:t xml:space="preserve">Second, under marginal overlap (Scenario B) the crude estimator</w:t>
      </w:r>
      <w:r>
        <w:t xml:space="preserve"> </w:t>
      </w:r>
      <w:r>
        <w:t xml:space="preserve">shifts further from the truth and IPTW shows wider CIs reflecting</w:t>
      </w:r>
      <w:r>
        <w:t xml:space="preserve"> </w:t>
      </w:r>
      <w:r>
        <w:t xml:space="preserve">the heavier weights, but TMLE and CV-TMLE remain</w:t>
      </w:r>
      <w:r>
        <w:t xml:space="preserve"> </w:t>
      </w:r>
      <w:r>
        <w:t xml:space="preserve">approximately unbiased. The plasmode-selected specification chooses</w:t>
      </w:r>
      <w:r>
        <w:t xml:space="preserve"> </w:t>
      </w:r>
      <w:r>
        <w:t xml:space="preserve">a higher truncation level than under Scenario A, illustrating that</w:t>
      </w:r>
      <w:r>
        <w:t xml:space="preserve"> </w:t>
      </w:r>
      <w:r>
        <w:t xml:space="preserve">the candidate selection adapts to the observed data structure.</w:t>
      </w:r>
    </w:p>
    <w:p>
      <w:pPr>
        <w:pStyle w:val="BodyText"/>
      </w:pPr>
      <w:r>
        <w:t xml:space="preserve">Third, under unmeasured confounding (Scenario C) every estimator is</w:t>
      </w:r>
      <w:r>
        <w:t xml:space="preserve"> </w:t>
      </w:r>
      <w:r>
        <w:t xml:space="preserve">biased in the same direction, because no method that adjusts only</w:t>
      </w:r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can remove the contribution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the treatment-outcome</w:t>
      </w:r>
      <w:r>
        <w:t xml:space="preserve"> </w:t>
      </w:r>
      <w:r>
        <w:t xml:space="preserve">association. The bias is smallest for TMLE and largest for the</w:t>
      </w:r>
      <w:r>
        <w:t xml:space="preserve"> </w:t>
      </w:r>
      <w:r>
        <w:t xml:space="preserve">crude estimator, but the difference is one of degree, not of kind.</w:t>
      </w:r>
      <w:r>
        <w:t xml:space="preserve"> </w:t>
      </w:r>
      <w:r>
        <w:t xml:space="preserve">The pre-outcome gate correctly returns STOP under the prespecified</w:t>
      </w:r>
      <w:r>
        <w:t xml:space="preserve"> </w:t>
      </w:r>
      <w:r>
        <w:t xml:space="preserve">thresholds for Scenario C, demonstrating that the staged workflow</w:t>
      </w:r>
      <w:r>
        <w:t xml:space="preserve"> </w:t>
      </w:r>
      <w:r>
        <w:t xml:space="preserve">declines to run the primary analysis when the available data</w:t>
      </w:r>
      <w:r>
        <w:t xml:space="preserve"> </w:t>
      </w:r>
      <w:r>
        <w:t xml:space="preserve">cannot identify the estimand.</w:t>
      </w:r>
    </w:p>
    <w:p>
      <w:pPr>
        <w:pStyle w:val="BodyText"/>
      </w:pPr>
      <w:r>
        <w:t xml:space="preserve">A fourth pattern concerns standard-error calibration for the IPW</w:t>
      </w:r>
      <w:r>
        <w:t xml:space="preserve"> </w:t>
      </w:r>
      <w:r>
        <w:t xml:space="preserve">estimator and is worth surfacing because it routinely surprises</w:t>
      </w:r>
      <w:r>
        <w:t xml:space="preserve"> </w:t>
      </w:r>
      <w:r>
        <w:t xml:space="preserve">applied users. The mean-SE-to-empirical-SD</w:t>
      </w:r>
      <w:r>
        <w:t xml:space="preserve"> </w:t>
      </w:r>
      <w:r>
        <w:t xml:space="preserve">ratio for IPTW is often above one in our scenarios, because the</w:t>
      </w:r>
      <w:r>
        <w:t xml:space="preserve"> </w:t>
      </w:r>
      <w:r>
        <w:t xml:space="preserve">default IF-based variance estimator treats the propensity score</w:t>
      </w:r>
      <w:r>
        <w:t xml:space="preserve"> </w:t>
      </w:r>
      <w:r>
        <w:t xml:space="preserve">as known and is therefore conservative when the propensity score</w:t>
      </w:r>
      <w:r>
        <w:t xml:space="preserve"> </w:t>
      </w:r>
      <w:r>
        <w:t xml:space="preserve">has actually been estimated</w:t>
      </w:r>
      <w:r>
        <w:t xml:space="preserve"> </w:t>
      </w:r>
      <w:r>
        <w:t xml:space="preserve">(J. M. Robins and Rotnitzky 1992; Brookhart, Breskin, and Eledath 2024)</w:t>
      </w:r>
      <w:r>
        <w:t xml:space="preserve">. Doubly robust estimators (TMLE, AIPW,</w:t>
      </w:r>
      <w:r>
        <w:t xml:space="preserve"> </w:t>
      </w:r>
      <w:r>
        <w:t xml:space="preserve">CV-TMLE) do not share this conservativeness once the nuisance</w:t>
      </w:r>
      <w:r>
        <w:t xml:space="preserve"> </w:t>
      </w:r>
      <w:r>
        <w:t xml:space="preserve">fits are properly cross-fit; the SE/SD ratio for TMLE_CF stays</w:t>
      </w:r>
      <w:r>
        <w:t xml:space="preserve"> </w:t>
      </w:r>
      <w:r>
        <w:t xml:space="preserve">near one across our scenarios. A bootstrap variance estimator</w:t>
      </w:r>
      <w:r>
        <w:t xml:space="preserve"> </w:t>
      </w:r>
      <w:r>
        <w:t xml:space="preserve">(Xu et al. 2020)</w:t>
      </w:r>
      <w:r>
        <w:t xml:space="preserve"> </w:t>
      </w:r>
      <w:r>
        <w:t xml:space="preserve">is the principled fix when reporting an</w:t>
      </w:r>
      <w:r>
        <w:t xml:space="preserve"> </w:t>
      </w:r>
      <w:r>
        <w:t xml:space="preserve">IPW-only estimate; we recommend that users wrapping</w:t>
      </w:r>
      <w:r>
        <w:t xml:space="preserve"> </w:t>
      </w:r>
      <w:r>
        <w:rPr>
          <w:rStyle w:val="VerbatimChar"/>
        </w:rPr>
        <w:t xml:space="preserve">run_iptw_workflow()</w:t>
      </w:r>
      <w:r>
        <w:t xml:space="preserve"> </w:t>
      </w:r>
      <w:r>
        <w:t xml:space="preserve">for primary inference resample the IPTW</w:t>
      </w:r>
      <w:r>
        <w:t xml:space="preserve"> </w:t>
      </w:r>
      <w:r>
        <w:t xml:space="preserve">estimator externally rather than rely on the default IF-based SE.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Sampling distribution of the risk-difference estimate across Monte Carlo replicates. The dashed red line marks the true RD. Under unmeasured confounding (C), all estimators are shifted from the truth." title="" id="71" name="Picture"/>
            <a:graphic>
              <a:graphicData uri="http://schemas.openxmlformats.org/drawingml/2006/picture">
                <pic:pic>
                  <pic:nvPicPr>
                    <pic:cNvPr descr="manuscript_outcome_blind_dq_files/figure-docx/mc-boxplots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Sampling distribution of the risk-difference estimate across Monte Carlo replicates. The dashed red line marks the true RD. Under unmeasured confounding (C), all estimators are shifted from the truth.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95% CI coverage by estimator and scenario. The dashed red line marks the nominal 95%." title="" id="74" name="Picture"/>
            <a:graphic>
              <a:graphicData uri="http://schemas.openxmlformats.org/drawingml/2006/picture">
                <pic:pic>
                  <pic:nvPicPr>
                    <pic:cNvPr descr="manuscript_outcome_blind_dq_files/figure-docx/coverage-bar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95% CI coverage by estimator and scenario. The dashed red line marks the nominal 95%.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atio of mean reported SE to empirical SD. Values near 1.0 indicate well-calibrated standard errors." title="" id="77" name="Picture"/>
            <a:graphic>
              <a:graphicData uri="http://schemas.openxmlformats.org/drawingml/2006/picture">
                <pic:pic>
                  <pic:nvPicPr>
                    <pic:cNvPr descr="manuscript_outcome_blind_dq_files/figure-docx/se-calibration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Ratio of mean reported SE to empirical SD. Values near 1.0 indicate well-calibrated standard errors.</w:t>
      </w:r>
    </w:p>
    <w:bookmarkEnd w:id="79"/>
    <w:bookmarkEnd w:id="80"/>
    <w:bookmarkStart w:id="88" w:name="plasmode-dq-stress-test-results"/>
    <w:p>
      <w:pPr>
        <w:pStyle w:val="Heading2"/>
      </w:pPr>
      <w:r>
        <w:t xml:space="preserve">8.3 Plasmode DQ stress-test results</w:t>
      </w:r>
    </w:p>
    <w:bookmarkStart w:id="81" w:name="scenario-a-good-overlap"/>
    <w:p>
      <w:pPr>
        <w:pStyle w:val="Heading3"/>
      </w:pPr>
      <w:r>
        <w:t xml:space="preserve">8.3.1 Scenario A: Good Overlap</w:t>
      </w:r>
    </w:p>
    <w:p>
      <w:pPr>
        <w:pStyle w:val="FirstParagraph"/>
      </w:pPr>
      <w:r>
        <w:t xml:space="preserve">Selected candidate:</w:t>
      </w:r>
      <w:r>
        <w:t xml:space="preserve"> </w:t>
      </w:r>
      <w:r>
        <w:rPr>
          <w:rStyle w:val="VerbatimChar"/>
        </w:rPr>
        <w:t xml:space="preserve">glmnet_t05</w:t>
      </w:r>
    </w:p>
    <w:p>
      <w:pPr>
        <w:pStyle w:val="TableCaption"/>
      </w:pPr>
      <w:r>
        <w:t xml:space="preserve">DQ degradation: Scenario A: Good Overlap (candidate: glmnet_t05)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Q degradation: Scenario A: Good Overlap (candidate: glmnet_t05)"/>
      </w:tblPr>
      <w:tblGrid>
        <w:gridCol w:w="220"/>
        <w:gridCol w:w="953"/>
        <w:gridCol w:w="1320"/>
        <w:gridCol w:w="1026"/>
        <w:gridCol w:w="1026"/>
        <w:gridCol w:w="806"/>
        <w:gridCol w:w="953"/>
        <w:gridCol w:w="953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OR_trt1.5_out1.5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OR_trt2.0_out2.0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</w:tr>
    </w:tbl>
    <w:bookmarkEnd w:id="81"/>
    <w:bookmarkStart w:id="82" w:name="scenario-b-marginal-overlap"/>
    <w:p>
      <w:pPr>
        <w:pStyle w:val="Heading3"/>
      </w:pPr>
      <w:r>
        <w:t xml:space="preserve">8.3.2 Scenario B: Marginal Overlap</w:t>
      </w:r>
    </w:p>
    <w:p>
      <w:pPr>
        <w:pStyle w:val="FirstParagraph"/>
      </w:pPr>
      <w:r>
        <w:t xml:space="preserve">Selected candidate:</w:t>
      </w:r>
      <w:r>
        <w:t xml:space="preserve"> </w:t>
      </w:r>
      <w:r>
        <w:rPr>
          <w:rStyle w:val="VerbatimChar"/>
        </w:rPr>
        <w:t xml:space="preserve">glmnet_t05</w:t>
      </w:r>
    </w:p>
    <w:p>
      <w:pPr>
        <w:pStyle w:val="TableCaption"/>
      </w:pPr>
      <w:r>
        <w:t xml:space="preserve">DQ degradation: Scenario B: Marginal Overlap (candidate: glmnet_t05)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Q degradation: Scenario B: Marginal Overlap (candidate: glmnet_t05)"/>
      </w:tblPr>
      <w:tblGrid>
        <w:gridCol w:w="220"/>
        <w:gridCol w:w="953"/>
        <w:gridCol w:w="1320"/>
        <w:gridCol w:w="1026"/>
        <w:gridCol w:w="1026"/>
        <w:gridCol w:w="806"/>
        <w:gridCol w:w="953"/>
        <w:gridCol w:w="953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OR_trt1.5_out1.5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OR_trt2.0_out2.0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</w:tr>
    </w:tbl>
    <w:bookmarkEnd w:id="82"/>
    <w:bookmarkStart w:id="83" w:name="scenario-c-unmeasured-confounding"/>
    <w:p>
      <w:pPr>
        <w:pStyle w:val="Heading3"/>
      </w:pPr>
      <w:r>
        <w:t xml:space="preserve">8.3.3 Scenario C: Unmeasured Confounding</w:t>
      </w:r>
    </w:p>
    <w:p>
      <w:pPr>
        <w:pStyle w:val="FirstParagraph"/>
      </w:pPr>
      <w:r>
        <w:t xml:space="preserve">Selected candidate:</w:t>
      </w:r>
      <w:r>
        <w:t xml:space="preserve"> </w:t>
      </w:r>
      <w:r>
        <w:rPr>
          <w:rStyle w:val="VerbatimChar"/>
        </w:rPr>
        <w:t xml:space="preserve">glmnet_t01</w:t>
      </w:r>
    </w:p>
    <w:p>
      <w:pPr>
        <w:pStyle w:val="TableCaption"/>
      </w:pPr>
      <w:r>
        <w:t xml:space="preserve">DQ degradation: Scenario C: Unmeasured Confounding (candidate: glmnet_t01)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Q degradation: Scenario C: Unmeasured Confounding (candidate: glmnet_t01)"/>
      </w:tblPr>
      <w:tblGrid>
        <w:gridCol w:w="220"/>
        <w:gridCol w:w="953"/>
        <w:gridCol w:w="1320"/>
        <w:gridCol w:w="1026"/>
        <w:gridCol w:w="1026"/>
        <w:gridCol w:w="806"/>
        <w:gridCol w:w="953"/>
        <w:gridCol w:w="953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OR_trt1.5_out1.5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OR_trt2.0_out2.0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</w:tr>
    </w:tbl>
    <w:bookmarkEnd w:id="83"/>
    <w:bookmarkStart w:id="87" w:name="reading-the-degradation-gradient"/>
    <w:p>
      <w:pPr>
        <w:pStyle w:val="Heading3"/>
      </w:pPr>
      <w:r>
        <w:t xml:space="preserve">8.3.4 Reading the degradation gradient</w:t>
      </w:r>
    </w:p>
    <w:p>
      <w:pPr>
        <w:pStyle w:val="FirstParagraph"/>
      </w:pPr>
      <w:r>
        <w:t xml:space="preserve">The four degradation mechanisms produce qualitatively different</w:t>
      </w:r>
      <w:r>
        <w:t xml:space="preserve"> </w:t>
      </w:r>
      <w:r>
        <w:t xml:space="preserve">profiles. Covariate missingness produces a flat gradient in both</w:t>
      </w:r>
      <w:r>
        <w:t xml:space="preserve"> </w:t>
      </w:r>
      <w:r>
        <w:t xml:space="preserve">the good-overlap and marginal-overlap scenarios: median imputation</w:t>
      </w:r>
      <w:r>
        <w:t xml:space="preserve"> </w:t>
      </w:r>
      <w:r>
        <w:t xml:space="preserve">on top of the locked covariate set is enough to absorb a 20% MCAR</w:t>
      </w:r>
      <w:r>
        <w:t xml:space="preserve"> </w:t>
      </w:r>
      <w:r>
        <w:t xml:space="preserve">loss. Treatment misclassification attenuates the estimate toward</w:t>
      </w:r>
      <w:r>
        <w:t xml:space="preserve"> </w:t>
      </w:r>
      <w:r>
        <w:t xml:space="preserve">the null: bias rises as (sens, spec) worsen, but coverage stays</w:t>
      </w:r>
      <w:r>
        <w:t xml:space="preserve"> </w:t>
      </w:r>
      <w:r>
        <w:t xml:space="preserve">near nominal because the estimator is targeting an attenuated</w:t>
      </w:r>
      <w:r>
        <w:t xml:space="preserve"> </w:t>
      </w:r>
      <w:r>
        <w:t xml:space="preserve">truth and the SE shrinks accordingly. Outcome misclassification</w:t>
      </w:r>
      <w:r>
        <w:t xml:space="preserve"> </w:t>
      </w:r>
      <w:r>
        <w:t xml:space="preserve">under (0.90, 0.95) produces the largest bias of the three</w:t>
      </w:r>
      <w:r>
        <w:t xml:space="preserve"> </w:t>
      </w:r>
      <w:r>
        <w:t xml:space="preserve">“measurement”</w:t>
      </w:r>
      <w:r>
        <w:t xml:space="preserve"> </w:t>
      </w:r>
      <w:r>
        <w:t xml:space="preserve">threats, particularly when applied differentially by</w:t>
      </w:r>
      <w:r>
        <w:t xml:space="preserve"> </w:t>
      </w:r>
      <w:r>
        <w:t xml:space="preserve">treatment arm. Unmeasured confounding produces the largest</w:t>
      </w:r>
      <w:r>
        <w:t xml:space="preserve"> </w:t>
      </w:r>
      <w:r>
        <w:t xml:space="preserve">degradation overall and is the only threat that pushes the</w:t>
      </w:r>
      <w:r>
        <w:t xml:space="preserve"> </w:t>
      </w:r>
      <w:r>
        <w:t xml:space="preserve">selected candidate’s RMSE ratio above 1.5 in our default settings.</w:t>
      </w:r>
      <w:r>
        <w:t xml:space="preserve"> </w:t>
      </w:r>
      <w:r>
        <w:t xml:space="preserve">Across scenarios, the DQ stress test was most informative when the</w:t>
      </w:r>
      <w:r>
        <w:t xml:space="preserve"> </w:t>
      </w:r>
      <w:r>
        <w:t xml:space="preserve">threat directly targeted identification or measurement validity</w:t>
      </w:r>
      <w:r>
        <w:t xml:space="preserve"> </w:t>
      </w:r>
      <w:r>
        <w:t xml:space="preserve">rather than ordinary estimator variance.</w:t>
      </w:r>
    </w:p>
    <w:p>
      <w:pPr>
        <w:pStyle w:val="CaptionedFigure"/>
      </w:pPr>
      <w:r>
        <w:drawing>
          <wp:inline>
            <wp:extent cx="5334000" cy="6667500"/>
            <wp:effectExtent b="0" l="0" r="0" t="0"/>
            <wp:docPr descr="Degradation gradient. Bias (top) and coverage (bottom) for the selected TMLE candidate at each severity level of each DQ scenario, faceted by Monte Carlo scenario." title="" id="85" name="Picture"/>
            <a:graphic>
              <a:graphicData uri="http://schemas.openxmlformats.org/drawingml/2006/picture">
                <pic:pic>
                  <pic:nvPicPr>
                    <pic:cNvPr descr="manuscript_outcome_blind_dq_files/figure-docx/dq-gradient-plots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Degradation gradient. Bias (top) and coverage (bottom) for the selected TMLE candidate at each severity level of each DQ scenario, faceted by Monte Carlo scenario.</w:t>
      </w:r>
    </w:p>
    <w:bookmarkEnd w:id="87"/>
    <w:bookmarkEnd w:id="88"/>
    <w:bookmarkStart w:id="89" w:name="Xc769f44f9652981cc29f2e5d85e2df79384284d"/>
    <w:p>
      <w:pPr>
        <w:pStyle w:val="Heading2"/>
      </w:pPr>
      <w:r>
        <w:t xml:space="preserve">8.4 Comparison with E-value-based sensitivity</w:t>
      </w:r>
    </w:p>
    <w:p>
      <w:pPr>
        <w:pStyle w:val="FirstParagraph"/>
      </w:pPr>
      <w:r>
        <w:t xml:space="preserve">The E-value</w:t>
      </w:r>
      <w:r>
        <w:t xml:space="preserve"> </w:t>
      </w:r>
      <w:r>
        <w:t xml:space="preserve">(VanderWeele and Ding 2017)</w:t>
      </w:r>
      <w:r>
        <w:t xml:space="preserve"> </w:t>
      </w:r>
      <w:r>
        <w:t xml:space="preserve">reports the minimum strength</w:t>
      </w:r>
      <w:r>
        <w:t xml:space="preserve"> </w:t>
      </w:r>
      <w:r>
        <w:t xml:space="preserve">of unmeasured confounding required to reduce the observed estimate</w:t>
      </w:r>
      <w:r>
        <w:t xml:space="preserve"> </w:t>
      </w:r>
      <w:r>
        <w:t xml:space="preserve">to the null. It is post-hoc: it is computed from the realised</w:t>
      </w:r>
      <w:r>
        <w:t xml:space="preserve"> </w:t>
      </w:r>
      <w:r>
        <w:t xml:space="preserve">estimate after the outcome is unblinded. The plasmode DQ stress</w:t>
      </w:r>
      <w:r>
        <w:t xml:space="preserve"> </w:t>
      </w:r>
      <w:r>
        <w:t xml:space="preserve">test runs in the opposite direction: given a hypothesised confounder</w:t>
      </w:r>
      <w:r>
        <w:t xml:space="preserve"> </w:t>
      </w:r>
      <w:r>
        <w:t xml:space="preserve">strength, it computes the bias of each candidate. The two are</w:t>
      </w:r>
      <w:r>
        <w:t xml:space="preserve"> </w:t>
      </w:r>
      <w:r>
        <w:t xml:space="preserve">complementary, and we recommend reporting both.</w:t>
      </w:r>
    </w:p>
    <w:p>
      <w:pPr>
        <w:pStyle w:val="TableCaption"/>
      </w:pPr>
      <w:r>
        <w:t xml:space="preserve">Unmeasured confounding under two methods: a single E-value threshold and a candidate-specific bias curve.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nmeasured confounding under two methods: a single E-value threshold and a candidate-specific bias curv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RD (no U)</w:t>
            </w:r>
          </w:p>
        </w:tc>
        <w:tc>
          <w:tcPr/>
          <w:p>
            <w:pPr>
              <w:pStyle w:val="Compact"/>
            </w:pPr>
            <w:r>
              <w:t xml:space="preserve">-0.02979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RD (U present, OR = 2.0)</w:t>
            </w:r>
          </w:p>
        </w:tc>
        <w:tc>
          <w:tcPr/>
          <w:p>
            <w:pPr>
              <w:pStyle w:val="Compact"/>
            </w:pPr>
            <w:r>
              <w:t xml:space="preserve">-0.03347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TMLE estimate, Scenario A (no U)</w:t>
            </w:r>
          </w:p>
        </w:tc>
        <w:tc>
          <w:tcPr/>
          <w:p>
            <w:pPr>
              <w:pStyle w:val="Compact"/>
            </w:pPr>
            <w:r>
              <w:t xml:space="preserve">-0.03041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TMLE estimate, Scenario C (U present, not adjusted)</w:t>
            </w:r>
          </w:p>
        </w:tc>
        <w:tc>
          <w:tcPr/>
          <w:p>
            <w:pPr>
              <w:pStyle w:val="Compact"/>
            </w:pPr>
            <w:r>
              <w:t xml:space="preserve">-0.02651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 bias from unmeasured U (Scenario C)</w:t>
            </w:r>
          </w:p>
        </w:tc>
        <w:tc>
          <w:tcPr/>
          <w:p>
            <w:pPr>
              <w:pStyle w:val="Compact"/>
            </w:pPr>
            <w:r>
              <w:t xml:space="preserve">0.00697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E-value (from Scenario A estimate)</w:t>
            </w:r>
          </w:p>
        </w:tc>
        <w:tc>
          <w:tcPr/>
          <w:p>
            <w:pPr>
              <w:pStyle w:val="Compact"/>
            </w:pPr>
            <w:r>
              <w:t xml:space="preserve">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OR_trt1.5_out1.5</w:t>
            </w:r>
          </w:p>
        </w:tc>
        <w:tc>
          <w:tcPr/>
          <w:p>
            <w:pPr>
              <w:pStyle w:val="Compact"/>
            </w:pPr>
            <w:r>
              <w:t xml:space="preserve">0.00745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OR_trt1.5_out1.5</w:t>
            </w:r>
          </w:p>
        </w:tc>
        <w:tc>
          <w:tcPr/>
          <w:p>
            <w:pPr>
              <w:pStyle w:val="Compact"/>
            </w:pPr>
            <w:r>
              <w:t xml:space="preserve">0.00745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OR_trt1.5_out1.5</w:t>
            </w:r>
          </w:p>
        </w:tc>
        <w:tc>
          <w:tcPr/>
          <w:p>
            <w:pPr>
              <w:pStyle w:val="Compact"/>
            </w:pPr>
            <w:r>
              <w:t xml:space="preserve">0.00752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OR_trt1.5_out1.5</w:t>
            </w:r>
          </w:p>
        </w:tc>
        <w:tc>
          <w:tcPr/>
          <w:p>
            <w:pPr>
              <w:pStyle w:val="Compact"/>
            </w:pPr>
            <w:r>
              <w:t xml:space="preserve">0.00753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OR_trt2.0_out2.0</w:t>
            </w:r>
          </w:p>
        </w:tc>
        <w:tc>
          <w:tcPr/>
          <w:p>
            <w:pPr>
              <w:pStyle w:val="Compact"/>
            </w:pPr>
            <w:r>
              <w:t xml:space="preserve">0.01041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OR_trt2.0_out2.0</w:t>
            </w:r>
          </w:p>
        </w:tc>
        <w:tc>
          <w:tcPr/>
          <w:p>
            <w:pPr>
              <w:pStyle w:val="Compact"/>
            </w:pPr>
            <w:r>
              <w:t xml:space="preserve">0.01041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OR_trt2.0_out2.0</w:t>
            </w:r>
          </w:p>
        </w:tc>
        <w:tc>
          <w:tcPr/>
          <w:p>
            <w:pPr>
              <w:pStyle w:val="Compact"/>
            </w:pPr>
            <w:r>
              <w:t xml:space="preserve">0.01048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OR_trt2.0_out2.0</w:t>
            </w:r>
          </w:p>
        </w:tc>
        <w:tc>
          <w:tcPr/>
          <w:p>
            <w:pPr>
              <w:pStyle w:val="Compact"/>
            </w:pPr>
            <w:r>
              <w:t xml:space="preserve">0.01048</w:t>
            </w:r>
          </w:p>
        </w:tc>
      </w:tr>
    </w:tbl>
    <w:bookmarkEnd w:id="89"/>
    <w:bookmarkEnd w:id="90"/>
    <w:bookmarkStart w:id="100" w:name="sec-casestudy"/>
    <w:p>
      <w:pPr>
        <w:pStyle w:val="Heading1"/>
      </w:pPr>
      <w:r>
        <w:t xml:space="preserve">9. Case Study: Rescue.Co Kenya Trauma Registry</w:t>
      </w:r>
    </w:p>
    <w:bookmarkStart w:id="91" w:name="why-a-real-data-workflow-demonstration"/>
    <w:p>
      <w:pPr>
        <w:pStyle w:val="Heading2"/>
      </w:pPr>
      <w:r>
        <w:t xml:space="preserve">9.1 Why a real-data workflow demonstration</w:t>
      </w:r>
    </w:p>
    <w:p>
      <w:pPr>
        <w:pStyle w:val="FirstParagraph"/>
      </w:pPr>
      <w:r>
        <w:t xml:space="preserve">We use the Rescue.Co Kenya Trauma Registry as a</w:t>
      </w:r>
      <w:r>
        <w:t xml:space="preserve"> </w:t>
      </w:r>
      <w:r>
        <w:rPr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demonstration</w:t>
      </w:r>
      <w:r>
        <w:t xml:space="preserve"> </w:t>
      </w:r>
      <w:r>
        <w:t xml:space="preserve">and software stress test on a real registry</w:t>
      </w:r>
      <w:r>
        <w:t xml:space="preserve"> </w:t>
      </w:r>
      <w:r>
        <w:t xml:space="preserve">structure, not as evidence that the framework improves causal</w:t>
      </w:r>
      <w:r>
        <w:t xml:space="preserve"> </w:t>
      </w:r>
      <w:r>
        <w:t xml:space="preserve">validity. The simulation in §</w:t>
      </w:r>
      <w:r>
        <w:t xml:space="preserve"> </w:t>
      </w:r>
      <w:r>
        <w:t xml:space="preserve">is small (5</w:t>
      </w:r>
      <w:r>
        <w:t xml:space="preserve"> </w:t>
      </w:r>
      <w:r>
        <w:t xml:space="preserve">covariates, n = 2,000, fully observed outcome) by design, because</w:t>
      </w:r>
      <w:r>
        <w:t xml:space="preserve"> </w:t>
      </w:r>
      <w:r>
        <w:t xml:space="preserve">we wanted analytic control over each threat. A working framework</w:t>
      </w:r>
      <w:r>
        <w:t xml:space="preserve"> </w:t>
      </w:r>
      <w:r>
        <w:t xml:space="preserve">also has to execute on real observational data: covariates that</w:t>
      </w:r>
      <w:r>
        <w:t xml:space="preserve"> </w:t>
      </w:r>
      <w:r>
        <w:t xml:space="preserve">come from multiple instruments, outcomes that are missing for</w:t>
      </w:r>
      <w:r>
        <w:t xml:space="preserve"> </w:t>
      </w:r>
      <w:r>
        <w:t xml:space="preserve">non-trivial fractions of the cohort, and confounders the protocol</w:t>
      </w:r>
      <w:r>
        <w:t xml:space="preserve"> </w:t>
      </w:r>
      <w:r>
        <w:t xml:space="preserve">forgot. The Rescue.Co Kenya Trauma Registry is an applied</w:t>
      </w:r>
      <w:r>
        <w:t xml:space="preserve"> </w:t>
      </w:r>
      <w:r>
        <w:t xml:space="preserve">comparative-effectiveness study at three Nairobi hospitals (KNH,</w:t>
      </w:r>
      <w:r>
        <w:t xml:space="preserve"> </w:t>
      </w:r>
      <w:r>
        <w:t xml:space="preserve">Mama Lucy, Mbagathi) comparing prehospital transport by a</w:t>
      </w:r>
      <w:r>
        <w:t xml:space="preserve"> </w:t>
      </w:r>
      <w:r>
        <w:t xml:space="preserve">specialised emergency-medical-services provider (Rescue.Co) with</w:t>
      </w:r>
      <w:r>
        <w:t xml:space="preserve"> </w:t>
      </w:r>
      <w:r>
        <w:t xml:space="preserve">traditional ambulance care, on functional outcome six months</w:t>
      </w:r>
      <w:r>
        <w:t xml:space="preserve"> </w:t>
      </w:r>
      <w:r>
        <w:t xml:space="preserve">post-injury. All five stages were run on cleanTMLE 0.1.1; the</w:t>
      </w:r>
      <w:r>
        <w:t xml:space="preserve"> </w:t>
      </w:r>
      <w:r>
        <w:t xml:space="preserve">released</w:t>
      </w:r>
      <w:r>
        <w:t xml:space="preserve"> </w:t>
      </w:r>
      <w:r>
        <w:rPr>
          <w:rStyle w:val="VerbatimChar"/>
        </w:rPr>
        <w:t xml:space="preserve">manuscript_artifacts/case_study_metadata.json</w:t>
      </w:r>
      <w:r>
        <w:t xml:space="preserve"> </w:t>
      </w:r>
      <w:r>
        <w:t xml:space="preserve">records</w:t>
      </w:r>
      <w:r>
        <w:t xml:space="preserve"> </w:t>
      </w:r>
      <w:r>
        <w:t xml:space="preserve">the version and lock hash. The example is fully reproducible from</w:t>
      </w:r>
      <w:r>
        <w:t xml:space="preserve"> </w:t>
      </w:r>
      <w:r>
        <w:t xml:space="preserve">the bundled</w:t>
      </w:r>
      <w:r>
        <w:t xml:space="preserve"> </w:t>
      </w:r>
      <w:r>
        <w:rPr>
          <w:rStyle w:val="VerbatimChar"/>
        </w:rPr>
        <w:t xml:space="preserve">rescueCo/</w:t>
      </w:r>
      <w:r>
        <w:t xml:space="preserve"> </w:t>
      </w:r>
      <w:r>
        <w:t xml:space="preserve">directory in the companion repository.</w:t>
      </w:r>
      <w:r>
        <w:t xml:space="preserve"> </w:t>
      </w:r>
      <w:r>
        <w:t xml:space="preserve">The DQ stress test in this run was executed at low replication</w:t>
      </w:r>
      <w:r>
        <w:t xml:space="preserve"> </w:t>
      </w:r>
      <w:r>
        <w:t xml:space="preserve">(see §</w:t>
      </w:r>
      <w:r>
        <w:t xml:space="preserve">), so the Rescue.Co example is not</w:t>
      </w:r>
      <w:r>
        <w:t xml:space="preserve"> </w:t>
      </w:r>
      <w:r>
        <w:t xml:space="preserve">used as primary evidence of DQ-stress validity; it is presented</w:t>
      </w:r>
      <w:r>
        <w:t xml:space="preserve"> </w:t>
      </w:r>
      <w:r>
        <w:t xml:space="preserve">as a real-registry execution example.</w:t>
      </w:r>
    </w:p>
    <w:p>
      <w:pPr>
        <w:pStyle w:val="BodyText"/>
      </w:pPr>
      <w:r>
        <w:t xml:space="preserve">The example is interesting for four reasons that the simulation</w:t>
      </w:r>
      <w:r>
        <w:t xml:space="preserve"> </w:t>
      </w:r>
      <w:r>
        <w:t xml:space="preserve">does not exercise: (a) the primary outcome (Glasgow Outcome Scale</w:t>
      </w:r>
      <w:r>
        <w:t xml:space="preserve"> </w:t>
      </w:r>
      <w:r>
        <w:t xml:space="preserve">Extended, GOSE 1–8) has 24.6 % missing values from loss to</w:t>
      </w:r>
      <w:r>
        <w:t xml:space="preserve"> </w:t>
      </w:r>
      <w:r>
        <w:t xml:space="preserve">6-month follow-up; (b) 492 ambulance arrivals were inter-facility</w:t>
      </w:r>
      <w:r>
        <w:t xml:space="preserve"> </w:t>
      </w:r>
      <w:r>
        <w:t xml:space="preserve">transfers and were excluded from the primary cohort, leaving the</w:t>
      </w:r>
      <w:r>
        <w:t xml:space="preserve"> </w:t>
      </w:r>
      <w:r>
        <w:t xml:space="preserve">direct-from-scene 1,693; (c) an 8-week healthcare-worker strike</w:t>
      </w:r>
      <w:r>
        <w:t xml:space="preserve"> </w:t>
      </w:r>
      <w:r>
        <w:t xml:space="preserve">(15 March 2024 to 8 May 2024) acts as a quasi-natural-experiment</w:t>
      </w:r>
      <w:r>
        <w:t xml:space="preserve"> </w:t>
      </w:r>
      <w:r>
        <w:t xml:space="preserve">confounder that is not part of either SPIFD2 or the four threats</w:t>
      </w:r>
      <w:r>
        <w:t xml:space="preserve"> </w:t>
      </w:r>
      <w:r>
        <w:t xml:space="preserve">encoded by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; and (d) two prespecified</w:t>
      </w:r>
      <w:r>
        <w:t xml:space="preserve"> </w:t>
      </w:r>
      <w:r>
        <w:t xml:space="preserve">socioeconomic negative controls (urban household, primary cooking</w:t>
      </w:r>
      <w:r>
        <w:t xml:space="preserve"> </w:t>
      </w:r>
      <w:r>
        <w:t xml:space="preserve">fuel) screen for residual SES confounding.</w:t>
      </w:r>
    </w:p>
    <w:bookmarkEnd w:id="91"/>
    <w:bookmarkStart w:id="92" w:name="superlearner-library-specification"/>
    <w:p>
      <w:pPr>
        <w:pStyle w:val="Heading2"/>
      </w:pPr>
      <w:r>
        <w:t xml:space="preserve">9.2 SuperLearner library specification</w:t>
      </w:r>
    </w:p>
    <w:p>
      <w:pPr>
        <w:pStyle w:val="FirstParagraph"/>
      </w:pPr>
      <w:r>
        <w:t xml:space="preserve">We follow</w:t>
      </w:r>
      <w:r>
        <w:t xml:space="preserve"> </w:t>
      </w:r>
      <w:r>
        <w:t xml:space="preserve">Phillips et al. (2023)</w:t>
      </w:r>
      <w:r>
        <w:t xml:space="preserve"> </w:t>
      </w:r>
      <w:r>
        <w:t xml:space="preserve">on SuperLearner library composition.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277</m:t>
        </m:r>
      </m:oMath>
      <w:r>
        <w:t xml:space="preserve"> </w:t>
      </w:r>
      <w:r>
        <w:t xml:space="preserve">complete-outcome observations, the</w:t>
      </w:r>
      <w:r>
        <w:t xml:space="preserve"> </w:t>
      </w:r>
      <w:r>
        <w:t xml:space="preserve">recommended cross-validation count is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10</m:t>
        </m:r>
      </m:oMath>
      <w:r>
        <w:t xml:space="preserve">, and the recommended</w:t>
      </w:r>
      <w:r>
        <w:t xml:space="preserve"> </w:t>
      </w:r>
      <w:r>
        <w:t xml:space="preserve">library is a screened mixture of a parametric base learner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SL.glm</w:t>
      </w:r>
      <w:r>
        <w:t xml:space="preserve">), a regularised learner (</w:t>
      </w:r>
      <w:r>
        <w:rPr>
          <w:rStyle w:val="VerbatimChar"/>
        </w:rPr>
        <w:t xml:space="preserve">SL.glmnet</w:t>
      </w:r>
      <w:r>
        <w:t xml:space="preserve">), and a generalised-</w:t>
      </w:r>
      <w:r>
        <w:t xml:space="preserve"> </w:t>
      </w:r>
      <w:r>
        <w:t xml:space="preserve">additive learner (</w:t>
      </w:r>
      <w:r>
        <w:rPr>
          <w:rStyle w:val="VerbatimChar"/>
        </w:rPr>
        <w:t xml:space="preserve">SL.gam</w:t>
      </w:r>
      <w:r>
        <w:t xml:space="preserve">). The cleanTMLE helper</w:t>
      </w:r>
      <w:r>
        <w:t xml:space="preserve"> </w:t>
      </w:r>
      <w:r>
        <w:rPr>
          <w:rStyle w:val="VerbatimChar"/>
        </w:rPr>
        <w:t xml:space="preserve">validate_superlearner_spec(n_eff, library = ...)</w:t>
      </w:r>
      <w:r>
        <w:t xml:space="preserve"> </w:t>
      </w:r>
      <w:r>
        <w:t xml:space="preserve">records this</w:t>
      </w:r>
      <w:r>
        <w:t xml:space="preserve"> </w:t>
      </w:r>
      <w:r>
        <w:t xml:space="preserve">recommendation in the lock and warns when the user-supplied library</w:t>
      </w:r>
      <w:r>
        <w:t xml:space="preserve"> </w:t>
      </w:r>
      <w:r>
        <w:t xml:space="preserve">is degenerate. The rescueCo lock uses the same recommended library.</w:t>
      </w:r>
    </w:p>
    <w:bookmarkEnd w:id="92"/>
    <w:bookmarkStart w:id="93" w:name="cohort-estimand-and-pre-specification"/>
    <w:p>
      <w:pPr>
        <w:pStyle w:val="Heading2"/>
      </w:pPr>
      <w:r>
        <w:t xml:space="preserve">9.3 Cohort, estimand, and pre-specification</w:t>
      </w:r>
    </w:p>
    <w:p>
      <w:pPr>
        <w:pStyle w:val="FirstParagraph"/>
      </w:pPr>
      <w:r>
        <w:t xml:space="preserve">The lock fixes the binary version of GOSE (</w:t>
      </w:r>
      <w:r>
        <w:rPr>
          <w:rStyle w:val="VerbatimChar"/>
        </w:rPr>
        <w:t xml:space="preserve">gose_good = 1</w:t>
      </w:r>
      <w:r>
        <w:t xml:space="preserve"> </w:t>
      </w:r>
      <w:r>
        <w:t xml:space="preserve">if GOSE</w:t>
      </w:r>
      <w:r>
        <w:t xml:space="preserve"> </w:t>
      </w:r>
      <w:r>
        <w:t xml:space="preserve">&gt; 4) as the primary outcome, treating ambulance arrival of any kind</w:t>
      </w:r>
      <w:r>
        <w:t xml:space="preserve"> </w:t>
      </w:r>
      <w:r>
        <w:t xml:space="preserve">as in-scope and excluding inter-facility transfers. After</w:t>
      </w:r>
      <w:r>
        <w:t xml:space="preserve"> </w:t>
      </w:r>
      <w:r>
        <w:t xml:space="preserve">exclusions the analytic cohort is</w:t>
      </w:r>
      <w:r>
        <w:t xml:space="preserve"> </w:t>
      </w:r>
      <w:r>
        <w:rPr>
          <w:b/>
          <w:bCs/>
        </w:rPr>
        <w:t xml:space="preserve">n = 1,693 (1,013 Rescue.Co; 680</w:t>
      </w:r>
      <w:r>
        <w:rPr>
          <w:b/>
          <w:bCs/>
        </w:rPr>
        <w:t xml:space="preserve"> </w:t>
      </w:r>
      <w:r>
        <w:rPr>
          <w:b/>
          <w:bCs/>
        </w:rPr>
        <w:t xml:space="preserve">other ambulance)</w:t>
      </w:r>
      <w:r>
        <w:t xml:space="preserve">; n = 1,277 have non-missing 6-month GOSE.</w:t>
      </w:r>
      <w:r>
        <w:t xml:space="preserve"> </w:t>
      </w:r>
      <w:r>
        <w:t xml:space="preserve">Twenty-one covariates enter the propensity-score model after a</w:t>
      </w:r>
      <w:r>
        <w:t xml:space="preserve"> </w:t>
      </w:r>
      <w:r>
        <w:t xml:space="preserve">near-zero-variance filter drops nine of the originally selected</w:t>
      </w:r>
      <w:r>
        <w:t xml:space="preserve"> </w:t>
      </w:r>
      <w:r>
        <w:t xml:space="preserve">thirty (combined prevalence below 1 % in the analytic cohort): the</w:t>
      </w:r>
      <w:r>
        <w:t xml:space="preserve"> </w:t>
      </w:r>
      <w:r>
        <w:t xml:space="preserve">retained set covers demographics (age, sex, marital, education),</w:t>
      </w:r>
      <w:r>
        <w:t xml:space="preserve"> </w:t>
      </w:r>
      <w:r>
        <w:t xml:space="preserve">distance, mechanism of injury (a subset of indicators), the</w:t>
      </w:r>
      <w:r>
        <w:t xml:space="preserve"> </w:t>
      </w:r>
      <w:r>
        <w:t xml:space="preserve">chronic-illness panel (the higher-prevalence conditions), SES</w:t>
      </w:r>
      <w:r>
        <w:t xml:space="preserve"> </w:t>
      </w:r>
      <w:r>
        <w:t xml:space="preserve">proxies (urban household, occupation), payment, GCS, ISS, arrival</w:t>
      </w:r>
      <w:r>
        <w:t xml:space="preserve"> </w:t>
      </w:r>
      <w:r>
        <w:t xml:space="preserve">month, alcohol use at injury, and assault intent.</w:t>
      </w:r>
    </w:p>
    <w:p>
      <w:pPr>
        <w:pStyle w:val="BodyText"/>
      </w:pPr>
      <w:r>
        <w:t xml:space="preserve">The lock declares two prespecified sensitivity plans (a 4-point PS</w:t>
      </w:r>
      <w:r>
        <w:t xml:space="preserve"> </w:t>
      </w:r>
      <w:r>
        <w:t xml:space="preserve">truncation grid and a transfer-inclusion rerun) and five negative</w:t>
      </w:r>
      <w:r>
        <w:t xml:space="preserve"> </w:t>
      </w:r>
      <w:r>
        <w:t xml:space="preserve">controls, each tagged with its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confounding</w:t>
      </w:r>
      <w:r>
        <w:t xml:space="preserve"> </w:t>
      </w:r>
      <w:r>
        <w:t xml:space="preserve">domain:</w:t>
      </w:r>
      <w:r>
        <w:t xml:space="preserve"> </w:t>
      </w:r>
      <w:r>
        <w:rPr>
          <w:rStyle w:val="VerbatimChar"/>
        </w:rPr>
        <w:t xml:space="preserve">chronic_hypertension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chronic_diabetes_insulin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chronic_hiv_art</w:t>
      </w:r>
      <w:r>
        <w:t xml:space="preserve"> </w:t>
      </w:r>
      <w:r>
        <w:t xml:space="preserve">cover</w:t>
      </w:r>
      <w:r>
        <w:t xml:space="preserve"> </w:t>
      </w:r>
      <w:r>
        <w:rPr>
          <w:i/>
          <w:iCs/>
        </w:rPr>
        <w:t xml:space="preserve">confounding by indication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functional 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household_urban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fuel_wood</w:t>
      </w:r>
      <w:r>
        <w:t xml:space="preserve"> </w:t>
      </w:r>
      <w:r>
        <w:t xml:space="preserve">cover</w:t>
      </w:r>
      <w:r>
        <w:t xml:space="preserve"> </w:t>
      </w:r>
      <w:r>
        <w:rPr>
          <w:i/>
          <w:iCs/>
        </w:rPr>
        <w:t xml:space="preserve">health-seeking behaviour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access to healthcare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define_negative_control(..., domain = ...)</w:t>
      </w:r>
      <w:r>
        <w:t xml:space="preserve"> </w:t>
      </w:r>
      <w:r>
        <w:t xml:space="preserve">argument added in</w:t>
      </w:r>
      <w:r>
        <w:t xml:space="preserve"> </w:t>
      </w:r>
      <w:r>
        <w:t xml:space="preserve">cleanTMLE 0.1.1 records the domain in the lock and the audit log so</w:t>
      </w:r>
      <w:r>
        <w:t xml:space="preserve"> </w:t>
      </w:r>
      <w:r>
        <w:t xml:space="preserve">a reviewer can verify that the NC set spans the four domains rather</w:t>
      </w:r>
      <w:r>
        <w:t xml:space="preserve"> </w:t>
      </w:r>
      <w:r>
        <w:t xml:space="preserve">than concentrating in one. Three of the five NCs</w:t>
      </w:r>
      <w:r>
        <w:t xml:space="preserve"> </w:t>
      </w:r>
      <w:r>
        <w:t xml:space="preserve">(</w:t>
      </w:r>
      <w:r>
        <w:rPr>
          <w:rStyle w:val="VerbatimChar"/>
        </w:rPr>
        <w:t xml:space="preserve">chronic_diabetes_insulin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chronic_hiv_art</w:t>
      </w:r>
      <w:r>
        <w:t xml:space="preserve">,</w:t>
      </w:r>
      <w:r>
        <w:t xml:space="preserve"> </w:t>
      </w:r>
      <w:r>
        <w:rPr>
          <w:rStyle w:val="VerbatimChar"/>
        </w:rPr>
        <w:t xml:space="preserve">fuel_wood</w:t>
      </w:r>
      <w:r>
        <w:t xml:space="preserve">) are</w:t>
      </w:r>
      <w:r>
        <w:t xml:space="preserve"> </w:t>
      </w:r>
      <w:r>
        <w:t xml:space="preserve">dropped before fitting by the same near-zero-variance filter that</w:t>
      </w:r>
      <w:r>
        <w:t xml:space="preserve"> </w:t>
      </w:r>
      <w:r>
        <w:t xml:space="preserve">trims the PS-covariate set, and the bundle’s Stage 1 script logs the</w:t>
      </w:r>
      <w:r>
        <w:t xml:space="preserve"> </w:t>
      </w:r>
      <w:r>
        <w:t xml:space="preserve">drops to the pipeline log (the cleanTMLE 0.1.1 audit-log capture for</w:t>
      </w:r>
      <w:r>
        <w:t xml:space="preserve"> </w:t>
      </w:r>
      <w:r>
        <w:t xml:space="preserve">NC failures applies at fit time, not at sanitisation time, so these</w:t>
      </w:r>
      <w:r>
        <w:t xml:space="preserve"> </w:t>
      </w:r>
      <w:r>
        <w:t xml:space="preserve">drops surface in the run log rather than in the structured audit).</w:t>
      </w:r>
      <w:r>
        <w:t xml:space="preserve"> </w:t>
      </w:r>
      <w:r>
        <w:t xml:space="preserve">The remaining two NCs are fit at Stage 3. The estimand is attached via</w:t>
      </w:r>
      <w:r>
        <w:t xml:space="preserve"> </w:t>
      </w:r>
      <w:r>
        <w:rPr>
          <w:rStyle w:val="VerbatimChar"/>
        </w:rPr>
        <w:t xml:space="preserve">attach_estimand()</w:t>
      </w:r>
      <w:r>
        <w:t xml:space="preserve"> </w:t>
      </w:r>
      <w:r>
        <w:t xml:space="preserve">and the lock is</w:t>
      </w:r>
      <w:r>
        <w:t xml:space="preserve"> </w:t>
      </w:r>
      <w:r>
        <w:t xml:space="preserve">fingerprinted with SHA-256. Stage 2b runs the baseline</w:t>
      </w:r>
      <w:r>
        <w:t xml:space="preserve"> </w:t>
      </w:r>
      <w:r>
        <w:rPr>
          <w:rStyle w:val="VerbatimChar"/>
        </w:rPr>
        <w:t xml:space="preserve">run_plasmode_feasibility()</w:t>
      </w:r>
      <w:r>
        <w:t xml:space="preserve"> </w:t>
      </w:r>
      <w:r>
        <w:t xml:space="preserve">on two GLM-PS truncation candidates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glm_t01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glm_t05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0.05</m:t>
        </m:r>
      </m:oMath>
      <w:r>
        <w:t xml:space="preserve">) for 50</w:t>
      </w:r>
      <w:r>
        <w:t xml:space="preserve"> </w:t>
      </w:r>
      <w:r>
        <w:t xml:space="preserve">replicates each, and Stage 3 runs the full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over the four threats on a wider</w:t>
      </w:r>
      <w:r>
        <w:t xml:space="preserve"> </w:t>
      </w:r>
      <w:r>
        <w:t xml:space="preserve">candidate set (</w:t>
      </w:r>
      <w:r>
        <w:rPr>
          <w:rStyle w:val="VerbatimChar"/>
        </w:rPr>
        <w:t xml:space="preserve">glm_t01</w:t>
      </w:r>
      <w:r>
        <w:t xml:space="preserve">,</w:t>
      </w:r>
      <w:r>
        <w:t xml:space="preserve"> </w:t>
      </w:r>
      <w:r>
        <w:rPr>
          <w:rStyle w:val="VerbatimChar"/>
        </w:rPr>
        <w:t xml:space="preserve">glmnet_t01</w:t>
      </w:r>
      <w:r>
        <w:t xml:space="preserve">,</w:t>
      </w:r>
      <w:r>
        <w:t xml:space="preserve"> </w:t>
      </w:r>
      <w:r>
        <w:rPr>
          <w:rStyle w:val="VerbatimChar"/>
        </w:rPr>
        <w:t xml:space="preserve">ensemble_t01</w:t>
      </w:r>
      <w:r>
        <w:t xml:space="preserve">,</w:t>
      </w:r>
      <w:r>
        <w:t xml:space="preserve"> </w:t>
      </w:r>
      <w:r>
        <w:rPr>
          <w:rStyle w:val="VerbatimChar"/>
        </w:rPr>
        <w:t xml:space="preserve">ensemble_t05</w:t>
      </w:r>
      <w:r>
        <w:t xml:space="preserve">). The locked candidate is selected via</w:t>
      </w:r>
      <w:r>
        <w:t xml:space="preserve"> </w:t>
      </w:r>
      <w:r>
        <w:rPr>
          <w:rStyle w:val="VerbatimChar"/>
        </w:rPr>
        <w:t xml:space="preserve">select_tmle_candidate(rule = "min_max_rmse", dq_results = ...)</w:t>
      </w:r>
      <w:r>
        <w:t xml:space="preserve">,</w:t>
      </w:r>
      <w:r>
        <w:t xml:space="preserve"> </w:t>
      </w:r>
      <w:r>
        <w:t xml:space="preserve">the manuscript’s recommended minimax rule.</w:t>
      </w:r>
    </w:p>
    <w:bookmarkEnd w:id="93"/>
    <w:bookmarkStart w:id="94" w:name="sec-casestudy-dq"/>
    <w:p>
      <w:pPr>
        <w:pStyle w:val="Heading2"/>
      </w:pPr>
      <w:r>
        <w:t xml:space="preserve">9.4 Pre-outcome gate and plasmode results</w:t>
      </w:r>
    </w:p>
    <w:p>
      <w:pPr>
        <w:pStyle w:val="FirstParagraph"/>
      </w:pPr>
      <w:r>
        <w:t xml:space="preserve">The Stage 2b feasibility plasmode metrics on the locked DGP are:</w:t>
      </w:r>
    </w:p>
    <w:p>
      <w:pPr>
        <w:pStyle w:val="TableCaption"/>
      </w:pPr>
      <w:r>
        <w:t xml:space="preserve">Stage 2b feasibility plasmode metrics (rescueCo lock, 50</w:t>
      </w:r>
      <w:r>
        <w:t xml:space="preserve"> </w:t>
      </w:r>
      <w:r>
        <w:t xml:space="preserve">replicates per candidate, additive risk-difference effect of 0.05).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ge 2b feasibility plasmode metrics (rescueCo lock, 50 replicates per candidate, additive risk-difference effect of 0.05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SE/SD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glm_t01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glm_t05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</w:tbl>
    <w:p>
      <w:pPr>
        <w:pStyle w:val="BodyText"/>
      </w:pPr>
      <w:r>
        <w:t xml:space="preserve">Both candidates pass the prespecified gate targets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max_abs_bias = 0.01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min_coverage = 0.90</w:t>
      </w:r>
      <w:r>
        <w:t xml:space="preserve">,</w:t>
      </w:r>
      <w:r>
        <w:t xml:space="preserve"> </w:t>
      </w:r>
      <w:r>
        <w:rPr>
          <w:rStyle w:val="VerbatimChar"/>
        </w:rPr>
        <w:t xml:space="preserve">se_sd_window = (0.8, 1.2)</w:t>
      </w:r>
      <w:r>
        <w:t xml:space="preserve">); the two truncation thresholds</w:t>
      </w:r>
      <w:r>
        <w:t xml:space="preserve"> </w:t>
      </w:r>
      <w:r>
        <w:t xml:space="preserve">produce indistinguishable performance because the propensity</w:t>
      </w:r>
      <w:r>
        <w:t xml:space="preserve"> </w:t>
      </w:r>
      <w:r>
        <w:t xml:space="preserve">scores stay well inside the [0.01, 0.99] bounds (range</w:t>
      </w:r>
      <w:r>
        <w:t xml:space="preserve"> </w:t>
      </w:r>
      <w:r>
        <w:t xml:space="preserve">0.21–0.81). The Stage 3 DQ stress test sweeps the four threats</w:t>
      </w:r>
      <w:r>
        <w:t xml:space="preserve"> </w:t>
      </w:r>
      <w:r>
        <w:t xml:space="preserve">over four candidates and 3 replicates per cell (the bundled</w:t>
      </w:r>
      <w:r>
        <w:t xml:space="preserve"> </w:t>
      </w:r>
      <w:r>
        <w:rPr>
          <w:rStyle w:val="VerbatimChar"/>
        </w:rPr>
        <w:t xml:space="preserve">config/clean_room_config.yml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simulation.n_sims = 3</w:t>
      </w:r>
      <w:r>
        <w:t xml:space="preserve">, low</w:t>
      </w:r>
      <w:r>
        <w:t xml:space="preserve"> </w:t>
      </w:r>
      <w:r>
        <w:t xml:space="preserve">enough that coverage estimates are noisy; we recommend re-running</w:t>
      </w:r>
      <w:r>
        <w:t xml:space="preserve"> </w:t>
      </w:r>
      <w:r>
        <w:t xml:space="preserve">with at least 50 replicates for inference); the minimax rule</w:t>
      </w:r>
      <w:r>
        <w:t xml:space="preserve"> </w:t>
      </w:r>
      <w:r>
        <w:t xml:space="preserve">locks</w:t>
      </w:r>
      <w:r>
        <w:t xml:space="preserve"> </w:t>
      </w:r>
      <w:r>
        <w:rPr>
          <w:rStyle w:val="VerbatimChar"/>
        </w:rPr>
        <w:t xml:space="preserve">glm_t01</w:t>
      </w:r>
      <w:r>
        <w:t xml:space="preserve"> </w:t>
      </w:r>
      <w:r>
        <w:t xml:space="preserve">as the primary specification. Negative controls</w:t>
      </w:r>
      <w:r>
        <w:t xml:space="preserve"> </w:t>
      </w:r>
      <w:r>
        <w:t xml:space="preserve">run at Stage 3 on the locked PS:</w:t>
      </w:r>
    </w:p>
    <w:p>
      <w:pPr>
        <w:pStyle w:val="TableCaption"/>
      </w:pPr>
      <w:r>
        <w:t xml:space="preserve">Stage 3 negative-control TMLE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ge 3 negative-control TMLE result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Negative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hypertension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 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At the pre-outcome decision point (</w:t>
      </w:r>
      <w:r>
        <w:rPr>
          <w:rStyle w:val="VerbatimChar"/>
        </w:rPr>
        <w:t xml:space="preserve">authorize_outcome_analysis()</w:t>
      </w:r>
      <w:r>
        <w:t xml:space="preserve">),</w:t>
      </w:r>
      <w:r>
        <w:t xml:space="preserve"> </w:t>
      </w:r>
      <w:r>
        <w:t xml:space="preserve">the two passing negative controls and the plasmode metrics support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proceed</w:t>
      </w:r>
      <w:r>
        <w:t xml:space="preserve"> </w:t>
      </w:r>
      <w:r>
        <w:t xml:space="preserve">classification. The audit log records the three NC</w:t>
      </w:r>
      <w:r>
        <w:t xml:space="preserve"> </w:t>
      </w:r>
      <w:r>
        <w:t xml:space="preserve">drops alongside the two passing checkpoints, so a reviewer can see</w:t>
      </w:r>
      <w:r>
        <w:t xml:space="preserve"> </w:t>
      </w:r>
      <w:r>
        <w:t xml:space="preserve">at a glance that the negative-control coverage is partial. The</w:t>
      </w:r>
      <w:r>
        <w:t xml:space="preserve"> </w:t>
      </w:r>
      <w:r>
        <w:t xml:space="preserve">analysis is then unmasked and the outcome-analysis functions run.</w:t>
      </w:r>
    </w:p>
    <w:bookmarkEnd w:id="94"/>
    <w:bookmarkStart w:id="95" w:name="effect-estimates"/>
    <w:p>
      <w:pPr>
        <w:pStyle w:val="Heading2"/>
      </w:pPr>
      <w:r>
        <w:t xml:space="preserve">9.5 Effect estimates</w:t>
      </w:r>
    </w:p>
    <w:p>
      <w:pPr>
        <w:pStyle w:val="TableCaption"/>
      </w:pPr>
      <w:r>
        <w:t xml:space="preserve">rescueCo binary-outcome estimates (good functional outcome at 6 months, GOSE &gt; 4) with the target population for each estimator. All six estimates produced by cleanTMLE 0.1.1 following the staged-analysis vignette.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cueCo binary-outcome estimates (good functional outcome at 6 months, GOSE &gt; 4) with the target population for each estimator. All six estimates produced by cleanTMLE 0.1.1 following the staged-analysis vignette."/>
      </w:tblPr>
      <w:tblGrid>
        <w:gridCol w:w="1760"/>
        <w:gridCol w:w="3784"/>
        <w:gridCol w:w="440"/>
        <w:gridCol w:w="616"/>
        <w:gridCol w:w="704"/>
        <w:gridCol w:w="6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Crude (unadjusted)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Complete-outcome 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subset (overlap)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IPTW (stabilised)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eligible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Full-cohort TMLE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eligible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Matched-cohort TMLE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subset (overlap)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IPCW-weighted TMLE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eligible cohort under censoring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0.0656</w:t>
            </w:r>
          </w:p>
        </w:tc>
      </w:tr>
    </w:tbl>
    <w:p>
      <w:pPr>
        <w:pStyle w:val="BodyText"/>
      </w:pPr>
      <w:r>
        <w:t xml:space="preserve">The six estimators agree on direction. The crude unadjusted</w:t>
      </w:r>
      <w:r>
        <w:t xml:space="preserve"> </w:t>
      </w:r>
      <w:r>
        <w:t xml:space="preserve">contrast (RD = 0.037) and the stabilised IPTW (RD = 0.037) sit at</w:t>
      </w:r>
      <w:r>
        <w:t xml:space="preserve"> </w:t>
      </w:r>
      <w:r>
        <w:t xml:space="preserve">the upper end of the range, with 95 % confidence intervals that</w:t>
      </w:r>
      <w:r>
        <w:t xml:space="preserve"> </w:t>
      </w:r>
      <w:r>
        <w:t xml:space="preserve">exclude zero. The simulation-locked full-cohort TMLE (the</w:t>
      </w:r>
      <w:r>
        <w:t xml:space="preserve"> </w:t>
      </w:r>
      <w:r>
        <w:t xml:space="preserve">prespecified primary estimator) returns RD = 0.031 with a 95 % CI</w:t>
      </w:r>
      <w:r>
        <w:t xml:space="preserve"> </w:t>
      </w:r>
      <w:r>
        <w:t xml:space="preserve">that just crosses zero (−0.001, 0.062). The IPCW-weighted TMLE,</w:t>
      </w:r>
      <w:r>
        <w:t xml:space="preserve"> </w:t>
      </w:r>
      <w:r>
        <w:t xml:space="preserve">which uses inverse-probability-of-censoring weights to address the</w:t>
      </w:r>
      <w:r>
        <w:t xml:space="preserve"> </w:t>
      </w:r>
      <w:r>
        <w:t xml:space="preserve">24.6 % outcome missingness, returns RD = 0.033 with a CI that just</w:t>
      </w:r>
      <w:r>
        <w:t xml:space="preserve"> </w:t>
      </w:r>
      <w:r>
        <w:t xml:space="preserve">crosses zero (−0.0004, 0.066). The two matching-based estimators</w:t>
      </w:r>
      <w:r>
        <w:t xml:space="preserve"> </w:t>
      </w:r>
      <w:r>
        <w:t xml:space="preserve">give the smallest point estimates (RD = 0.027 for matched RD</w:t>
      </w:r>
      <w:r>
        <w:t xml:space="preserve"> </w:t>
      </w:r>
      <w:r>
        <w:t xml:space="preserve">without further adjustment; RD = 0.026 for matched-cohort TMLE) and</w:t>
      </w:r>
      <w:r>
        <w:t xml:space="preserve"> </w:t>
      </w:r>
      <w:r>
        <w:t xml:space="preserve">the widest CIs, reflecting the smaller matched-pair samples</w:t>
      </w:r>
      <w:r>
        <w:t xml:space="preserve"> </w:t>
      </w:r>
      <w:r>
        <w:t xml:space="preserve">(n = 615 and n = 1230). The full-cohort TMLE remains the</w:t>
      </w:r>
      <w:r>
        <w:t xml:space="preserve"> </w:t>
      </w:r>
      <w:r>
        <w:t xml:space="preserve">prespecified primary because it is doubly robust and uses the</w:t>
      </w:r>
      <w:r>
        <w:t xml:space="preserve"> </w:t>
      </w:r>
      <w:r>
        <w:t xml:space="preserve">locked propensity-score truncation chosen at Stage 2b on the full</w:t>
      </w:r>
      <w:r>
        <w:t xml:space="preserve"> </w:t>
      </w:r>
      <w:r>
        <w:t xml:space="preserve">cohort; the IPCW-TMLE is the prespecified missing-outcome</w:t>
      </w:r>
      <w:r>
        <w:t xml:space="preserve"> </w:t>
      </w:r>
      <w:r>
        <w:t xml:space="preserve">sensitivity row.</w:t>
      </w:r>
    </w:p>
    <w:p>
      <w:pPr>
        <w:pStyle w:val="BodyText"/>
      </w:pPr>
      <w:r>
        <w:t xml:space="preserve">Following</w:t>
      </w:r>
      <w:r>
        <w:t xml:space="preserve"> </w:t>
      </w:r>
      <w:r>
        <w:t xml:space="preserve">Gruber, Lee, et al. (2024)</w:t>
      </w:r>
      <w:r>
        <w:t xml:space="preserve"> </w:t>
      </w:r>
      <w:r>
        <w:t xml:space="preserve">(Step 5) and</w:t>
      </w:r>
      <w:r>
        <w:t xml:space="preserve"> </w:t>
      </w:r>
      <w:r>
        <w:t xml:space="preserve">Dı́az and Laan (2013)</w:t>
      </w:r>
      <w:r>
        <w:t xml:space="preserve">, we</w:t>
      </w:r>
      <w:r>
        <w:t xml:space="preserve"> </w:t>
      </w:r>
      <w:r>
        <w:t xml:space="preserve">report a tipping-point bound on the simulation-locked full-cohort</w:t>
      </w:r>
      <w:r>
        <w:t xml:space="preserve"> </w:t>
      </w:r>
      <w:r>
        <w:t xml:space="preserve">TMLE estimate via</w:t>
      </w:r>
      <w:r>
        <w:t xml:space="preserve"> </w:t>
      </w:r>
      <w:r>
        <w:rPr>
          <w:rStyle w:val="VerbatimChar"/>
        </w:rPr>
        <w:t xml:space="preserve">tipping_point_sensitivity()</w:t>
      </w:r>
      <w:r>
        <w:t xml:space="preserve">. The lower CI bound</w:t>
      </w:r>
      <w:r>
        <w:t xml:space="preserve"> </w:t>
      </w:r>
      <w:r>
        <w:t xml:space="preserve">sits 0.0012 below zero, so the qualitative conclusion is already</w:t>
      </w:r>
      <w:r>
        <w:t xml:space="preserve"> </w:t>
      </w:r>
      <w:r>
        <w:t xml:space="preserve">that the data are consistent with no effect; the function returns</w:t>
      </w:r>
      <w:r>
        <w:t xml:space="preserve"> </w:t>
      </w:r>
      <w:r>
        <w:t xml:space="preserve">0.0012 as the distance from zero. The IPTW estimate, whose lower</w:t>
      </w:r>
      <w:r>
        <w:t xml:space="preserve"> </w:t>
      </w:r>
      <w:r>
        <w:t xml:space="preserve">bound is 0.0017 above zero, would be flipped through zero by a</w:t>
      </w:r>
      <w:r>
        <w:t xml:space="preserve"> </w:t>
      </w:r>
      <w:r>
        <w:t xml:space="preserve">residual bias of 0.0017 (4.6 % of the IPTW point estimate). The</w:t>
      </w:r>
      <w:r>
        <w:t xml:space="preserve"> </w:t>
      </w:r>
      <w:r>
        <w:t xml:space="preserve">E-value</w:t>
      </w:r>
      <w:r>
        <w:t xml:space="preserve"> </w:t>
      </w:r>
      <w:r>
        <w:t xml:space="preserve">(VanderWeele and Ding 2017)</w:t>
      </w:r>
      <w:r>
        <w:t xml:space="preserve"> </w:t>
      </w:r>
      <w:r>
        <w:t xml:space="preserve">for the full-cohort TMLE is 1.22</w:t>
      </w:r>
      <w:r>
        <w:t xml:space="preserve"> </w:t>
      </w:r>
      <w:r>
        <w:t xml:space="preserve">(CI bound 1.00), small in either case. The qualitative reading is</w:t>
      </w:r>
      <w:r>
        <w:t xml:space="preserve"> </w:t>
      </w:r>
      <w:r>
        <w:t xml:space="preserve">“Rescue.Co transport is consistent with a small favourable shift</w:t>
      </w:r>
      <w:r>
        <w:t xml:space="preserve"> </w:t>
      </w:r>
      <w:r>
        <w:t xml:space="preserve">in functional outcome that the prespecified primary estimator</w:t>
      </w:r>
      <w:r>
        <w:t xml:space="preserve"> </w:t>
      </w:r>
      <w:r>
        <w:t xml:space="preserve">cannot distinguish from null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.”</w:t>
      </w:r>
      <w:r>
        <w:t xml:space="preserve"> </w:t>
      </w:r>
      <w:r>
        <w:t xml:space="preserve">An unmeasured</w:t>
      </w:r>
      <w:r>
        <w:t xml:space="preserve"> </w:t>
      </w:r>
      <w:r>
        <w:t xml:space="preserve">confounder of the strength suggested by the healthcare-worker</w:t>
      </w:r>
      <w:r>
        <w:t xml:space="preserve"> </w:t>
      </w:r>
      <w:r>
        <w:t xml:space="preserve">strike, or by the inter-facility transfer imbalance (40.7 % of</w:t>
      </w:r>
      <w:r>
        <w:t xml:space="preserve"> </w:t>
      </w:r>
      <w:r>
        <w:t xml:space="preserve">non-Rescue.Co versus 2.5 % of Rescue.Co ambulance arrivals were</w:t>
      </w:r>
      <w:r>
        <w:t xml:space="preserve"> </w:t>
      </w:r>
      <w:r>
        <w:t xml:space="preserve">transfers, all excluded from the analytic cohort), would push any</w:t>
      </w:r>
      <w:r>
        <w:t xml:space="preserve"> </w:t>
      </w:r>
      <w:r>
        <w:t xml:space="preserve">of the six estimates further toward null.</w:t>
      </w:r>
    </w:p>
    <w:bookmarkEnd w:id="95"/>
    <w:bookmarkStart w:id="99" w:name="Xc7557c3308f3f2c598231e06131cd13238ac1eb"/>
    <w:p>
      <w:pPr>
        <w:pStyle w:val="Heading2"/>
      </w:pPr>
      <w:r>
        <w:t xml:space="preserve">9.6 What the case study tells us about the workflow</w:t>
      </w:r>
    </w:p>
    <w:bookmarkStart w:id="96" w:name="X4a7de7fd9cca2a3eb7ce1d9546acd05cc50d75c"/>
    <w:p>
      <w:pPr>
        <w:pStyle w:val="Heading3"/>
      </w:pPr>
      <w:r>
        <w:t xml:space="preserve">9.6.1 Prespecification, audit, and the pre-outcome decision</w:t>
      </w:r>
    </w:p>
    <w:p>
      <w:pPr>
        <w:pStyle w:val="FirstParagraph"/>
      </w:pPr>
      <w:r>
        <w:t xml:space="preserve">The decision log captured every prespecified analytic choice</w:t>
      </w:r>
      <w:r>
        <w:t xml:space="preserve"> </w:t>
      </w:r>
      <w:r>
        <w:t xml:space="preserve">(transfer exclusion, GOSE construction, truncation thresholds)</w:t>
      </w:r>
      <w:r>
        <w:t xml:space="preserve"> </w:t>
      </w:r>
      <w:r>
        <w:t xml:space="preserve">with timestamps. Outcome-analysis functions did not run until the</w:t>
      </w:r>
      <w:r>
        <w:t xml:space="preserve"> </w:t>
      </w:r>
      <w:r>
        <w:t xml:space="preserve">prespecified workflow had been completed, and the analysis-lock</w:t>
      </w:r>
      <w:r>
        <w:t xml:space="preserve"> </w:t>
      </w:r>
      <w:r>
        <w:t xml:space="preserve">fingerprint reconciled on every reload. One real gap surfaced: the</w:t>
      </w:r>
      <w:r>
        <w:t xml:space="preserve"> </w:t>
      </w:r>
      <w:r>
        <w:t xml:space="preserve">audit trail did not capture covariates dropped for near-zero</w:t>
      </w:r>
      <w:r>
        <w:t xml:space="preserve"> </w:t>
      </w:r>
      <w:r>
        <w:t xml:space="preserve">variance during data sanitisation, because those drops occurred</w:t>
      </w:r>
      <w:r>
        <w:t xml:space="preserve"> </w:t>
      </w:r>
      <w:r>
        <w:t xml:space="preserve">upstream of the negative-control fits rather than at fit time.</w:t>
      </w:r>
      <w:r>
        <w:t xml:space="preserve"> </w:t>
      </w:r>
      <w:r>
        <w:t xml:space="preserve">The cleanTMLE 0.1.1 fix only partially closes that gap. With that</w:t>
      </w:r>
      <w:r>
        <w:t xml:space="preserve"> </w:t>
      </w:r>
      <w:r>
        <w:t xml:space="preserve">caveat, the prespecification and audit functions performed as</w:t>
      </w:r>
      <w:r>
        <w:t xml:space="preserve"> </w:t>
      </w:r>
      <w:r>
        <w:t xml:space="preserve">described in §</w:t>
      </w:r>
      <w:r>
        <w:t xml:space="preserve">.</w:t>
      </w:r>
    </w:p>
    <w:bookmarkEnd w:id="96"/>
    <w:bookmarkStart w:id="97" w:name="outcome-blind-plasmode"/>
    <w:p>
      <w:pPr>
        <w:pStyle w:val="Heading3"/>
      </w:pPr>
      <w:r>
        <w:t xml:space="preserve">9.6.2 Outcome-blind plasmode</w:t>
      </w:r>
    </w:p>
    <w:p>
      <w:pPr>
        <w:pStyle w:val="FirstParagraph"/>
      </w:pPr>
      <w:r>
        <w:t xml:space="preserve">Stage 2b feasibility coverage of 0.94 with bias below 0.001 across</w:t>
      </w:r>
      <w:r>
        <w:t xml:space="preserve"> </w:t>
      </w:r>
      <w:r>
        <w:t xml:space="preserve">50 replicates is the kind of validation a reviewer would want.</w:t>
      </w:r>
      <w:r>
        <w:t xml:space="preserve"> </w:t>
      </w:r>
      <w:r>
        <w:t xml:space="preserve">Stage 3 then runs the full DQ stress test (</w:t>
      </w:r>
      <w:r>
        <w:rPr>
          <w:rStyle w:val="VerbatimChar"/>
        </w:rPr>
        <w:t xml:space="preserve">run_plasmode_dq_stress()</w:t>
      </w:r>
      <w:r>
        <w:t xml:space="preserve">)</w:t>
      </w:r>
      <w:r>
        <w:t xml:space="preserve"> </w:t>
      </w:r>
      <w:r>
        <w:t xml:space="preserve">over the four threats; the bundled configuration uses 3 replicates</w:t>
      </w:r>
      <w:r>
        <w:t xml:space="preserve"> </w:t>
      </w:r>
      <w:r>
        <w:t xml:space="preserve">per scenario × severity cell, which is low enough that the coverage</w:t>
      </w:r>
      <w:r>
        <w:t xml:space="preserve"> </w:t>
      </w:r>
      <w:r>
        <w:t xml:space="preserve">estimates are noisy (the baseline coverage rounds to 1.00 because</w:t>
      </w:r>
      <w:r>
        <w:t xml:space="preserve"> </w:t>
      </w:r>
      <w:r>
        <w:t xml:space="preserve">all 3 CIs happened to cover), and we treat the DQ run as a</w:t>
      </w:r>
      <w:r>
        <w:t xml:space="preserve"> </w:t>
      </w:r>
      <w:r>
        <w:t xml:space="preserve">structural smoke test rather than a calibration measurement until</w:t>
      </w:r>
      <w:r>
        <w:t xml:space="preserve"> </w:t>
      </w:r>
      <w:r>
        <w:t xml:space="preserve">it is rerun with more replicates. The four threats encoded by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(covariate MCAR, exposure misclassification,</w:t>
      </w:r>
      <w:r>
        <w:t xml:space="preserve"> </w:t>
      </w:r>
      <w:r>
        <w:t xml:space="preserve">outcome misclassification, latent</w:t>
      </w:r>
      <w:r>
        <w:t xml:space="preserve"> </w:t>
      </w:r>
      <m:oMath>
        <m:r>
          <m:t>U</m:t>
        </m:r>
      </m:oMath>
      <w:r>
        <w:t xml:space="preserve">) do not cover two design</w:t>
      </w:r>
      <w:r>
        <w:t xml:space="preserve"> </w:t>
      </w:r>
      <w:r>
        <w:t xml:space="preserve">challenges that mattered in the rescueCo study, the strike-window</w:t>
      </w:r>
      <w:r>
        <w:t xml:space="preserve"> </w:t>
      </w:r>
      <w:r>
        <w:t xml:space="preserve">confounder and the inter-facility transfer imbalance, which</w:t>
      </w:r>
      <w:r>
        <w:t xml:space="preserve"> </w:t>
      </w:r>
      <w:r>
        <w:t xml:space="preserve">motivates the time-window and MAR / MNAR extensions planned for</w:t>
      </w:r>
      <w:r>
        <w:t xml:space="preserve"> </w:t>
      </w:r>
      <w:r>
        <w:t xml:space="preserve">cleanTMLE 0.2.</w:t>
      </w:r>
    </w:p>
    <w:bookmarkEnd w:id="97"/>
    <w:bookmarkStart w:id="98" w:name="X11b03251d4243965818c23e078e2e7dfe52b4c9"/>
    <w:p>
      <w:pPr>
        <w:pStyle w:val="Heading3"/>
      </w:pPr>
      <w:r>
        <w:t xml:space="preserve">9.6.3 Estimator functions and real-data robustness</w:t>
      </w:r>
    </w:p>
    <w:p>
      <w:pPr>
        <w:pStyle w:val="FirstParagraph"/>
      </w:pPr>
      <w:r>
        <w:t xml:space="preserve">Applying cleanTMLE 0.1.0 to the rescueCo lock surfaced more than a</w:t>
      </w:r>
      <w:r>
        <w:t xml:space="preserve"> </w:t>
      </w:r>
      <w:r>
        <w:t xml:space="preserve">dozen distinct issues, six of them blocking, which the companion</w:t>
      </w:r>
      <w:r>
        <w:t xml:space="preserve"> </w:t>
      </w:r>
      <w:r>
        <w:t xml:space="preserve">0.1.1 release addresses. The marquee problem was that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failed with</w:t>
      </w:r>
      <w:r>
        <w:t xml:space="preserve"> </w:t>
      </w:r>
      <w:r>
        <w:rPr>
          <w:rStyle w:val="VerbatimChar"/>
        </w:rPr>
        <w:t xml:space="preserve">"mu must be a nonempty numeric vector"</w:t>
      </w:r>
      <w:r>
        <w:t xml:space="preserve"> </w:t>
      </w:r>
      <w:r>
        <w:t xml:space="preserve">on a lock with NA in the</w:t>
      </w:r>
      <w:r>
        <w:t xml:space="preserve"> </w:t>
      </w:r>
      <w:r>
        <w:t xml:space="preserve">outcome (now guarded). The step-by-step TMLE functions also refused</w:t>
      </w:r>
      <w:r>
        <w:t xml:space="preserve"> </w:t>
      </w:r>
      <w:r>
        <w:t xml:space="preserve">to fit on NA outcomes (now subset to complete cases with an MCAR</w:t>
      </w:r>
      <w:r>
        <w:t xml:space="preserve"> </w:t>
      </w:r>
      <w:r>
        <w:t xml:space="preserve">warning);</w:t>
      </w:r>
      <w:r>
        <w:t xml:space="preserve"> </w:t>
      </w:r>
      <w:r>
        <w:rPr>
          <w:rStyle w:val="VerbatimChar"/>
        </w:rPr>
        <w:t xml:space="preserve">fit_ps_superlearner()</w:t>
      </w:r>
      <w:r>
        <w:t xml:space="preserve"> </w:t>
      </w:r>
      <w:r>
        <w:t xml:space="preserve">crashed on stale parallel</w:t>
      </w:r>
      <w:r>
        <w:t xml:space="preserve"> </w:t>
      </w:r>
      <w:r>
        <w:t xml:space="preserve">backends (now defaults to plain sequential evaluation);</w:t>
      </w:r>
      <w:r>
        <w:t xml:space="preserve"> </w:t>
      </w:r>
      <w:r>
        <w:rPr>
          <w:rStyle w:val="VerbatimChar"/>
        </w:rPr>
        <w:t xml:space="preserve">make_table1()</w:t>
      </w:r>
      <w:r>
        <w:t xml:space="preserve"> </w:t>
      </w:r>
      <w:r>
        <w:t xml:space="preserve">rejected a lock object (now accepts it); and</w:t>
      </w:r>
      <w:r>
        <w:t xml:space="preserve"> </w:t>
      </w:r>
      <w:r>
        <w:rPr>
          <w:rStyle w:val="VerbatimChar"/>
        </w:rPr>
        <w:t xml:space="preserve">run_residual_confounding_stage()</w:t>
      </w:r>
      <w:r>
        <w:t xml:space="preserve"> </w:t>
      </w:r>
      <w:r>
        <w:t xml:space="preserve">silently dropped failed NC fits</w:t>
      </w:r>
      <w:r>
        <w:t xml:space="preserve"> </w:t>
      </w:r>
      <w:r>
        <w:t xml:space="preserve">(now records each failure in the audit log). We document these</w:t>
      </w:r>
      <w:r>
        <w:t xml:space="preserve"> </w:t>
      </w:r>
      <w:r>
        <w:t xml:space="preserve">candidly because the working theory of the framework is that the</w:t>
      </w:r>
      <w:r>
        <w:t xml:space="preserve"> </w:t>
      </w:r>
      <w:r>
        <w:t xml:space="preserve">prespecification and audit functions should make problems visible,</w:t>
      </w:r>
      <w:r>
        <w:t xml:space="preserve"> </w:t>
      </w:r>
      <w:r>
        <w:t xml:space="preserve">including problems with the package itself, rather than absorb</w:t>
      </w:r>
      <w:r>
        <w:t xml:space="preserve"> </w:t>
      </w:r>
      <w:r>
        <w:t xml:space="preserve">them into a hand-edited final table.</w:t>
      </w:r>
    </w:p>
    <w:p>
      <w:pPr>
        <w:pStyle w:val="BodyText"/>
      </w:pPr>
      <w:r>
        <w:t xml:space="preserve">The full release notes are in</w:t>
      </w:r>
      <w:r>
        <w:t xml:space="preserve"> </w:t>
      </w:r>
      <w:r>
        <w:rPr>
          <w:rStyle w:val="VerbatimChar"/>
        </w:rPr>
        <w:t xml:space="preserve">cleanTMLE/NEWS.md</w:t>
      </w:r>
      <w:r>
        <w:t xml:space="preserve">, and the</w:t>
      </w:r>
      <w:r>
        <w:t xml:space="preserve"> </w:t>
      </w:r>
      <w:r>
        <w:t xml:space="preserve">rescueCo companion repository’s</w:t>
      </w:r>
      <w:r>
        <w:t xml:space="preserve"> </w:t>
      </w:r>
      <w:r>
        <w:rPr>
          <w:rStyle w:val="VerbatimChar"/>
        </w:rPr>
        <w:t xml:space="preserve">clean_room/results/manuscript_artifacts/</w:t>
      </w:r>
      <w:r>
        <w:t xml:space="preserve"> </w:t>
      </w:r>
      <w:r>
        <w:t xml:space="preserve">directory contains the data behind the tables above.</w:t>
      </w:r>
    </w:p>
    <w:bookmarkEnd w:id="98"/>
    <w:bookmarkEnd w:id="99"/>
    <w:bookmarkEnd w:id="100"/>
    <w:bookmarkStart w:id="114" w:name="sec-discussion"/>
    <w:p>
      <w:pPr>
        <w:pStyle w:val="Heading1"/>
      </w:pPr>
      <w:r>
        <w:t xml:space="preserve">10. Discussion</w:t>
      </w:r>
    </w:p>
    <w:bookmarkStart w:id="101" w:name="what-is-genuinely-novel"/>
    <w:p>
      <w:pPr>
        <w:pStyle w:val="Heading2"/>
      </w:pPr>
      <w:r>
        <w:t xml:space="preserve">10.1 What is genuinely novel</w:t>
      </w:r>
    </w:p>
    <w:p>
      <w:pPr>
        <w:pStyle w:val="FirstParagraph"/>
      </w:pPr>
      <w:r>
        <w:t xml:space="preserve">The novelty in this paper is not that cleanTMLE solves causal</w:t>
      </w:r>
      <w:r>
        <w:t xml:space="preserve"> </w:t>
      </w:r>
      <w:r>
        <w:t xml:space="preserve">identification. The roadmap and target-trial literature</w:t>
      </w:r>
      <w:r>
        <w:t xml:space="preserve"> </w:t>
      </w:r>
      <w:r>
        <w:t xml:space="preserve">(Dang et al. 2023; Petersen and Laan 2014; M. A. Hernán and Robins 2016)</w:t>
      </w:r>
      <w:r>
        <w:t xml:space="preserve"> </w:t>
      </w:r>
      <w:r>
        <w:t xml:space="preserve">already provides that frame, and the package operates inside its</w:t>
      </w:r>
      <w:r>
        <w:t xml:space="preserve"> </w:t>
      </w:r>
      <w:r>
        <w:t xml:space="preserve">estimation and pre-outcome diagnostics steps rather than around</w:t>
      </w:r>
      <w:r>
        <w:t xml:space="preserve"> </w:t>
      </w:r>
      <w:r>
        <w:t xml:space="preserve">them. The novelty is that staged prespecification, estimator</w:t>
      </w:r>
      <w:r>
        <w:t xml:space="preserve"> </w:t>
      </w:r>
      <w:r>
        <w:t xml:space="preserve">locking, and the pre-outcome decision rule become explicit in</w:t>
      </w:r>
      <w:r>
        <w:t xml:space="preserve"> </w:t>
      </w:r>
      <w:r>
        <w:t xml:space="preserve">code: an analysis-lock object, an audit trail, a decision log, and</w:t>
      </w:r>
      <w:r>
        <w:t xml:space="preserve"> </w:t>
      </w:r>
      <w:r>
        <w:t xml:space="preserve">a proceed / review / stop classification of the analysis before</w:t>
      </w:r>
      <w:r>
        <w:t xml:space="preserve"> </w:t>
      </w:r>
      <w:r>
        <w:t xml:space="preserve">the outcome is examined. The DQ stress test then adds a</w:t>
      </w:r>
      <w:r>
        <w:t xml:space="preserve"> </w:t>
      </w:r>
      <w:r>
        <w:t xml:space="preserve">candidate-specific pre-outcome robustness screen on top of the</w:t>
      </w:r>
      <w:r>
        <w:t xml:space="preserve"> </w:t>
      </w:r>
      <w:r>
        <w:t xml:space="preserve">standard plasmode loop. Together, these features support</w:t>
      </w:r>
      <w:r>
        <w:t xml:space="preserve"> </w:t>
      </w:r>
      <w:r>
        <w:t xml:space="preserve">transparent reconstruction of paper-only prespecification</w:t>
      </w:r>
      <w:r>
        <w:t xml:space="preserve"> </w:t>
      </w:r>
      <w:r>
        <w:t xml:space="preserve">checklists</w:t>
      </w:r>
      <w:r>
        <w:t xml:space="preserve"> </w:t>
      </w:r>
      <w:r>
        <w:t xml:space="preserve">(Gruber, Lee, et al. 2024; Cashin et al. 2024)</w:t>
      </w:r>
      <w:r>
        <w:t xml:space="preserve"> </w:t>
      </w:r>
      <w:r>
        <w:t xml:space="preserve">by an external</w:t>
      </w:r>
      <w:r>
        <w:t xml:space="preserve"> </w:t>
      </w:r>
      <w:r>
        <w:t xml:space="preserve">reviewer.</w:t>
      </w:r>
    </w:p>
    <w:bookmarkEnd w:id="101"/>
    <w:bookmarkStart w:id="102" w:name="Xe8fe9eed3aca8891054d00f72c49520182244a2"/>
    <w:p>
      <w:pPr>
        <w:pStyle w:val="Heading2"/>
      </w:pPr>
      <w:r>
        <w:t xml:space="preserve">10.2 Why the contribution is mainly operational</w:t>
      </w:r>
    </w:p>
    <w:p>
      <w:pPr>
        <w:pStyle w:val="FirstParagraph"/>
      </w:pPr>
      <w:r>
        <w:t xml:space="preserve">A useful test is to ask what kind of evidence the package can and</w:t>
      </w:r>
      <w:r>
        <w:t xml:space="preserve"> </w:t>
      </w:r>
      <w:r>
        <w:t xml:space="preserve">cannot produce. cleanTMLE can document that the analyst</w:t>
      </w:r>
      <w:r>
        <w:t xml:space="preserve"> </w:t>
      </w:r>
      <w:r>
        <w:t xml:space="preserve">prespecified the estimand, the set of candidate estimators, the</w:t>
      </w:r>
      <w:r>
        <w:t xml:space="preserve"> </w:t>
      </w:r>
      <w:r>
        <w:t xml:space="preserve">decision thresholds, and the severity ranges; that the pre-outcome</w:t>
      </w:r>
      <w:r>
        <w:t xml:space="preserve"> </w:t>
      </w:r>
      <w:r>
        <w:t xml:space="preserve">decision was made before unblinding; that the locked candidate</w:t>
      </w:r>
      <w:r>
        <w:t xml:space="preserve"> </w:t>
      </w:r>
      <w:r>
        <w:t xml:space="preserve">was the one that ran on the real outcome; and that an audit trail</w:t>
      </w:r>
      <w:r>
        <w:t xml:space="preserve"> </w:t>
      </w:r>
      <w:r>
        <w:t xml:space="preserve">with a fingerprint records the sequence. cleanTMLE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demonstrate that the data source is fit for the regulatory</w:t>
      </w:r>
      <w:r>
        <w:t xml:space="preserve"> </w:t>
      </w:r>
      <w:r>
        <w:t xml:space="preserve">question, that the exposure or outcome phenotypes have been</w:t>
      </w:r>
      <w:r>
        <w:t xml:space="preserve"> </w:t>
      </w:r>
      <w:r>
        <w:t xml:space="preserve">validated, that the target population is the regulatory decision</w:t>
      </w:r>
      <w:r>
        <w:t xml:space="preserve"> </w:t>
      </w:r>
      <w:r>
        <w:t xml:space="preserve">population, or that the unmeasured-confounder bound is</w:t>
      </w:r>
      <w:r>
        <w:t xml:space="preserve"> </w:t>
      </w:r>
      <w:r>
        <w:t xml:space="preserve">defensible. Those remain study-level activities, anchored in</w:t>
      </w:r>
      <w:r>
        <w:t xml:space="preserve"> </w:t>
      </w:r>
      <w:r>
        <w:t xml:space="preserve">target-trial protocols</w:t>
      </w:r>
      <w:r>
        <w:t xml:space="preserve"> </w:t>
      </w:r>
      <w:r>
        <w:t xml:space="preserve">(M. A. Hernán and Robins 2016; Cashin et al. 2024)</w:t>
      </w:r>
      <w:r>
        <w:t xml:space="preserve">,</w:t>
      </w:r>
      <w:r>
        <w:t xml:space="preserve"> </w:t>
      </w:r>
      <w:r>
        <w:t xml:space="preserve">source-specific guidance</w:t>
      </w:r>
      <w:r>
        <w:t xml:space="preserve"> </w:t>
      </w:r>
      <w:r>
        <w:t xml:space="preserve">(U.S. Food and Drug Administration 2024a, 2024b, 2021; European Medicines Agency 2024, 2026)</w:t>
      </w:r>
      <w:r>
        <w:t xml:space="preserve">, and post-outcome</w:t>
      </w:r>
      <w:r>
        <w:t xml:space="preserve"> </w:t>
      </w:r>
      <w:r>
        <w:t xml:space="preserve">sensitivity analyses</w:t>
      </w:r>
      <w:r>
        <w:t xml:space="preserve"> </w:t>
      </w:r>
      <w:r>
        <w:t xml:space="preserve">(VanderWeele and Ding 2017; Lash et al. 2014; Dı́az and Laan 2013)</w:t>
      </w:r>
      <w:r>
        <w:t xml:space="preserve">.</w:t>
      </w:r>
    </w:p>
    <w:bookmarkEnd w:id="102"/>
    <w:bookmarkStart w:id="103" w:name="X77d575563b1a1946325af71eab48d1c62a6f8a8"/>
    <w:p>
      <w:pPr>
        <w:pStyle w:val="Heading2"/>
      </w:pPr>
      <w:r>
        <w:t xml:space="preserve">10.3 How the workflow aligns with regulatory expectations</w:t>
      </w:r>
    </w:p>
    <w:p>
      <w:pPr>
        <w:pStyle w:val="FirstParagraph"/>
      </w:pPr>
      <w:r>
        <w:t xml:space="preserve">For regulatory-grade RWE, cleanTMLE is best used as one layer in a</w:t>
      </w:r>
      <w:r>
        <w:t xml:space="preserve"> </w:t>
      </w:r>
      <w:r>
        <w:t xml:space="preserve">broader governed workflow. The lock and audit machinery track the</w:t>
      </w:r>
      <w:r>
        <w:t xml:space="preserve"> </w:t>
      </w:r>
      <w:r>
        <w:t xml:space="preserve">prespecification and traceability that FDA RWE program guidance</w:t>
      </w:r>
      <w:r>
        <w:t xml:space="preserve"> </w:t>
      </w:r>
      <w:r>
        <w:t xml:space="preserve">expects</w:t>
      </w:r>
      <w:r>
        <w:t xml:space="preserve"> </w:t>
      </w:r>
      <w:r>
        <w:t xml:space="preserve">(U.S. Food and Drug Administration 2018, 2024a, 2024c)</w:t>
      </w:r>
      <w:r>
        <w:t xml:space="preserve"> </w:t>
      </w:r>
      <w:r>
        <w:t xml:space="preserve">and match the data-quality dimensions</w:t>
      </w:r>
      <w:r>
        <w:t xml:space="preserve"> </w:t>
      </w:r>
      <w:r>
        <w:t xml:space="preserve">in the EMA RWD framework</w:t>
      </w:r>
      <w:r>
        <w:t xml:space="preserve"> </w:t>
      </w:r>
      <w:r>
        <w:t xml:space="preserve">(European Medicines Agency 2026)</w:t>
      </w:r>
      <w:r>
        <w:t xml:space="preserve"> </w:t>
      </w:r>
      <w:r>
        <w:t xml:space="preserve">and ICH M14 (March 2026)</w:t>
      </w:r>
      <w:r>
        <w:t xml:space="preserve"> </w:t>
      </w:r>
      <w:r>
        <w:t xml:space="preserve">(International Council for Harmonisation 2026)</w:t>
      </w:r>
      <w:r>
        <w:t xml:space="preserve">, as summarised in Table</w:t>
      </w:r>
      <w:r>
        <w:t xml:space="preserve"> </w:t>
      </w:r>
      <w:r>
        <w:t xml:space="preserve">. The</w:t>
      </w:r>
      <w:r>
        <w:t xml:space="preserve"> </w:t>
      </w:r>
      <w:r>
        <w:t xml:space="preserve">software-mediated workflow can complement, but does not replace,</w:t>
      </w:r>
      <w:r>
        <w:t xml:space="preserve"> </w:t>
      </w:r>
      <w:r>
        <w:t xml:space="preserve">personnel-based access controls and independent oversight.</w:t>
      </w:r>
      <w:r>
        <w:t xml:space="preserve"> </w:t>
      </w:r>
      <w:r>
        <w:t xml:space="preserve">Documented source assessment, role-based access where feasible,</w:t>
      </w:r>
      <w:r>
        <w:t xml:space="preserve"> </w:t>
      </w:r>
      <w:r>
        <w:t xml:space="preserve">and structured protocol records remain the regulatory backbone,</w:t>
      </w:r>
      <w:r>
        <w:t xml:space="preserve"> </w:t>
      </w:r>
      <w:r>
        <w:t xml:space="preserve">with the software arrangement sitting inside that backbone rather</w:t>
      </w:r>
      <w:r>
        <w:t xml:space="preserve"> </w:t>
      </w:r>
      <w:r>
        <w:t xml:space="preserve">than substituting for it.</w:t>
      </w:r>
    </w:p>
    <w:bookmarkEnd w:id="103"/>
    <w:bookmarkStart w:id="104" w:name="what-the-dq-stress-test-adds"/>
    <w:p>
      <w:pPr>
        <w:pStyle w:val="Heading2"/>
      </w:pPr>
      <w:r>
        <w:t xml:space="preserve">10.4 What the DQ stress test adds</w:t>
      </w:r>
    </w:p>
    <w:p>
      <w:pPr>
        <w:pStyle w:val="FirstParagraph"/>
      </w:pPr>
      <w:r>
        <w:t xml:space="preserve">The baseline plasmode asks which candidate has the lowest RMSE</w:t>
      </w:r>
      <w:r>
        <w:t xml:space="preserve"> </w:t>
      </w:r>
      <w:r>
        <w:t xml:space="preserve">under the locked data-generating process. The DQ-augmented</w:t>
      </w:r>
      <w:r>
        <w:t xml:space="preserve"> </w:t>
      </w:r>
      <w:r>
        <w:t xml:space="preserve">plasmode asks the larger question: which candidate has the lowest</w:t>
      </w:r>
      <w:r>
        <w:t xml:space="preserve"> </w:t>
      </w:r>
      <w:r>
        <w:t xml:space="preserve">RMSE and also stays inside the prespecified gate thresholds across</w:t>
      </w:r>
      <w:r>
        <w:t xml:space="preserve"> </w:t>
      </w:r>
      <w:r>
        <w:t xml:space="preserve">the plausible range of each threat documented in the</w:t>
      </w:r>
      <w:r>
        <w:t xml:space="preserve"> </w:t>
      </w:r>
      <w:r>
        <w:t xml:space="preserve">fit-for-purpose review.</w:t>
      </w:r>
    </w:p>
    <w:bookmarkEnd w:id="104"/>
    <w:bookmarkStart w:id="105" w:name="comparison-with-adjacent-tools"/>
    <w:p>
      <w:pPr>
        <w:pStyle w:val="Heading2"/>
      </w:pPr>
      <w:r>
        <w:t xml:space="preserve">10.5 Comparison with adjacent tools</w:t>
      </w:r>
    </w:p>
    <w:p>
      <w:pPr>
        <w:pStyle w:val="FirstParagraph"/>
      </w:pPr>
      <w:r>
        <w:t xml:space="preserve">E-values</w:t>
      </w:r>
      <w:r>
        <w:t xml:space="preserve"> </w:t>
      </w:r>
      <w:r>
        <w:t xml:space="preserve">(VanderWeele and Ding 2017)</w:t>
      </w:r>
      <w:r>
        <w:t xml:space="preserve"> </w:t>
      </w:r>
      <w:r>
        <w:t xml:space="preserve">are post-hoc and not candidate-</w:t>
      </w:r>
      <w:r>
        <w:t xml:space="preserve"> </w:t>
      </w:r>
      <w:r>
        <w:t xml:space="preserve">specific. They tell the reader how strong an unmeasured confounder</w:t>
      </w:r>
      <w:r>
        <w:t xml:space="preserve"> </w:t>
      </w:r>
      <w:r>
        <w:t xml:space="preserve">would have to be to nullify the observed effect. The plasmode DQ</w:t>
      </w:r>
      <w:r>
        <w:t xml:space="preserve"> </w:t>
      </w:r>
      <w:r>
        <w:t xml:space="preserve">stress test is pre-hoc and candidate-specific: it tells the</w:t>
      </w:r>
      <w:r>
        <w:t xml:space="preserve"> </w:t>
      </w:r>
      <w:r>
        <w:t xml:space="preserve">reviewer how biased each candidate becomes under each hypothesised</w:t>
      </w:r>
      <w:r>
        <w:t xml:space="preserve"> </w:t>
      </w:r>
      <w:r>
        <w:t xml:space="preserve">strength of confounding, on the same bias / RMSE / coverage scale</w:t>
      </w:r>
      <w:r>
        <w:t xml:space="preserve"> </w:t>
      </w:r>
      <w:r>
        <w:t xml:space="preserve">as the other pre-outcome diagnostics. The two are answering</w:t>
      </w:r>
      <w:r>
        <w:t xml:space="preserve"> </w:t>
      </w:r>
      <w:r>
        <w:t xml:space="preserve">different questions and should both be reported.</w:t>
      </w:r>
    </w:p>
    <w:p>
      <w:pPr>
        <w:pStyle w:val="BodyText"/>
      </w:pPr>
      <w:r>
        <w:t xml:space="preserve">Quantitative bias analysis</w:t>
      </w:r>
      <w:r>
        <w:t xml:space="preserve"> </w:t>
      </w:r>
      <w:r>
        <w:t xml:space="preserve">(Lash et al. 2014)</w:t>
      </w:r>
      <w:r>
        <w:t xml:space="preserve"> </w:t>
      </w:r>
      <w:r>
        <w:t xml:space="preserve">adjusts the final</w:t>
      </w:r>
      <w:r>
        <w:t xml:space="preserve"> </w:t>
      </w:r>
      <w:r>
        <w:t xml:space="preserve">estimate for postulated biases. Like the E-value, QBA is an</w:t>
      </w:r>
      <w:r>
        <w:t xml:space="preserve"> </w:t>
      </w:r>
      <w:r>
        <w:t xml:space="preserve">unblinding-stage tool. The DQ stress test does not adjust the</w:t>
      </w:r>
      <w:r>
        <w:t xml:space="preserve"> </w:t>
      </w:r>
      <w:r>
        <w:t xml:space="preserve">estimate; it asks whether the estimator continues to meet the</w:t>
      </w:r>
      <w:r>
        <w:t xml:space="preserve"> </w:t>
      </w:r>
      <w:r>
        <w:t xml:space="preserve">prespecified performance criteria when the biases are present. We</w:t>
      </w:r>
      <w:r>
        <w:t xml:space="preserve"> </w:t>
      </w:r>
      <w:r>
        <w:t xml:space="preserve">therefore recommend QBA at the analysis stage and the DQ stress</w:t>
      </w:r>
      <w:r>
        <w:t xml:space="preserve"> </w:t>
      </w:r>
      <w:r>
        <w:t xml:space="preserve">test at the prespecification stage.</w:t>
      </w:r>
    </w:p>
    <w:p>
      <w:pPr>
        <w:pStyle w:val="BodyText"/>
      </w:pPr>
      <w:r>
        <w:t xml:space="preserve">The targeted-learning causal-gap sensitivity analysis</w:t>
      </w:r>
      <w:r>
        <w:t xml:space="preserve"> </w:t>
      </w:r>
      <w:r>
        <w:t xml:space="preserve">(Dı́az and Laan 2013)</w:t>
      </w:r>
      <w:r>
        <w:t xml:space="preserve"> </w:t>
      </w:r>
      <w:r>
        <w:t xml:space="preserve">characterises the change in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unmeasured-confounder bound varies. Causal-gap is unblinding-stage</w:t>
      </w:r>
      <w:r>
        <w:t xml:space="preserve"> </w:t>
      </w:r>
      <w:r>
        <w:t xml:space="preserve">and characterises one threat (unmeasured confounding) in a TL-</w:t>
      </w:r>
      <w:r>
        <w:t xml:space="preserve"> </w:t>
      </w:r>
      <w:r>
        <w:t xml:space="preserve">specific way. The DQ stress test is broader (it covers four</w:t>
      </w:r>
      <w:r>
        <w:t xml:space="preserve"> </w:t>
      </w:r>
      <w:r>
        <w:t xml:space="preserve">threats) but cruder (it does not adjust the estimate). Both are</w:t>
      </w:r>
      <w:r>
        <w:t xml:space="preserve"> </w:t>
      </w:r>
      <w:r>
        <w:t xml:space="preserve">useful and complementary.</w:t>
      </w:r>
    </w:p>
    <w:p>
      <w:pPr>
        <w:pStyle w:val="BodyText"/>
      </w:pPr>
      <w:r>
        <w:t xml:space="preserve">Negative-control outcomes</w:t>
      </w:r>
      <w:r>
        <w:t xml:space="preserve"> </w:t>
      </w:r>
      <w:r>
        <w:t xml:space="preserve">(Lipsitch, Tchetgen Tchetgen, and Cohen 2010)</w:t>
      </w:r>
      <w:r>
        <w:t xml:space="preserve"> </w:t>
      </w:r>
      <w:r>
        <w:t xml:space="preserve">test for</w:t>
      </w:r>
      <w:r>
        <w:t xml:space="preserve"> </w:t>
      </w:r>
      <w:r>
        <w:t xml:space="preserve">residual confounding in the realised data. Because they use real</w:t>
      </w:r>
      <w:r>
        <w:t xml:space="preserve"> </w:t>
      </w:r>
      <w:r>
        <w:t xml:space="preserve">data, they are at-outcome rather than pre-outcome. The DQ stress</w:t>
      </w:r>
      <w:r>
        <w:t xml:space="preserve"> </w:t>
      </w:r>
      <w:r>
        <w:t xml:space="preserve">test cannot detect residual confounding; the NCO check cannot</w:t>
      </w:r>
      <w:r>
        <w:t xml:space="preserve"> </w:t>
      </w:r>
      <w:r>
        <w:t xml:space="preserve">detect covariate missingness or exposure misclassification. They</w:t>
      </w:r>
      <w:r>
        <w:t xml:space="preserve"> </w:t>
      </w:r>
      <w:r>
        <w:t xml:space="preserve">target different threats.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recommend selecting</w:t>
      </w:r>
      <w:r>
        <w:t xml:space="preserve"> </w:t>
      </w:r>
      <w:r>
        <w:t xml:space="preserve">NCOs across four domains (confounding by indication, functional</w:t>
      </w:r>
      <w:r>
        <w:t xml:space="preserve"> </w:t>
      </w:r>
      <w:r>
        <w:t xml:space="preserve">status, health-seeking behaviour, and access to healthcare) and</w:t>
      </w:r>
      <w:r>
        <w:t xml:space="preserve"> </w:t>
      </w:r>
      <w:r>
        <w:t xml:space="preserve">Levintow et al. (2023)</w:t>
      </w:r>
      <w:r>
        <w:t xml:space="preserve"> </w:t>
      </w:r>
      <w:r>
        <w:t xml:space="preserve">give pragmatic guidance for choosing them; the</w:t>
      </w:r>
      <w:r>
        <w:t xml:space="preserve"> </w:t>
      </w:r>
      <w:r>
        <w:t xml:space="preserve">cleanTMLE workflow records each declared NCO in the lock so the</w:t>
      </w:r>
      <w:r>
        <w:t xml:space="preserve"> </w:t>
      </w:r>
      <w:r>
        <w:t xml:space="preserve">chosen domains are part of the audit trail.</w:t>
      </w:r>
    </w:p>
    <w:p>
      <w:pPr>
        <w:pStyle w:val="BodyText"/>
      </w:pPr>
      <w:r>
        <w:t xml:space="preserve">Kent (2026)</w:t>
      </w:r>
      <w:r>
        <w:t xml:space="preserve"> </w:t>
      </w:r>
      <w:r>
        <w:t xml:space="preserve">reports a worked applied use of the staging</w:t>
      </w:r>
      <w:r>
        <w:t xml:space="preserve"> </w:t>
      </w:r>
      <w:r>
        <w:t xml:space="preserve">framework for a comparative-effectiveness study of evolocumab</w:t>
      </w:r>
      <w:r>
        <w:t xml:space="preserve"> </w:t>
      </w:r>
      <w:r>
        <w:t xml:space="preserve">versus non-treatment for major adverse cardiovascular events in</w:t>
      </w:r>
      <w:r>
        <w:t xml:space="preserve"> </w:t>
      </w:r>
      <w:r>
        <w:t xml:space="preserve">the Komodo Healthcare Map: negative-control outcomes flagged</w:t>
      </w:r>
      <w:r>
        <w:t xml:space="preserve"> </w:t>
      </w:r>
      <w:r>
        <w:t xml:space="preserve">residual bias in the health-seeking-behaviour domain, the review</w:t>
      </w:r>
      <w:r>
        <w:t xml:space="preserve"> </w:t>
      </w:r>
      <w:r>
        <w:t xml:space="preserve">team allowed the study to proceed conditional on a pre-specified</w:t>
      </w:r>
      <w:r>
        <w:t xml:space="preserve"> </w:t>
      </w:r>
      <w:r>
        <w:t xml:space="preserve">E-value quantitative-bias-analysis plan, and the final risk</w:t>
      </w:r>
      <w:r>
        <w:t xml:space="preserve"> </w:t>
      </w:r>
      <w:r>
        <w:t xml:space="preserve">difference at four years was reported as roughly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%</m:t>
        </m:r>
      </m:oMath>
      <w:r>
        <w:t xml:space="preserve">. The</w:t>
      </w:r>
      <w:r>
        <w:t xml:space="preserve"> </w:t>
      </w:r>
      <w:r>
        <w:t xml:space="preserve">example illustrates both the staged decision rule and the role of</w:t>
      </w:r>
      <w:r>
        <w:t xml:space="preserve"> </w:t>
      </w:r>
      <w:r>
        <w:t xml:space="preserve">negative-control domains in practice.</w:t>
      </w:r>
    </w:p>
    <w:bookmarkEnd w:id="105"/>
    <w:bookmarkStart w:id="106" w:name="Xd4386ded9fe315f7b6aa405cc5d873a8cd07254"/>
    <w:p>
      <w:pPr>
        <w:pStyle w:val="Heading2"/>
      </w:pPr>
      <w:r>
        <w:t xml:space="preserve">10.6 Limitations of plasmode data-quality stress testing</w:t>
      </w:r>
    </w:p>
    <w:p>
      <w:pPr>
        <w:pStyle w:val="FirstParagraph"/>
      </w:pPr>
      <w:r>
        <w:t xml:space="preserve">A plasmode data-quality stress test is only as informative as the</w:t>
      </w:r>
      <w:r>
        <w:t xml:space="preserve"> </w:t>
      </w:r>
      <w:r>
        <w:t xml:space="preserve">synthetic outcome model and degradation mechanisms used to</w:t>
      </w:r>
      <w:r>
        <w:t xml:space="preserve"> </w:t>
      </w:r>
      <w:r>
        <w:t xml:space="preserve">generate it. Passing the pre-outcome decision rule does not</w:t>
      </w:r>
      <w:r>
        <w:t xml:space="preserve"> </w:t>
      </w:r>
      <w:r>
        <w:t xml:space="preserve">establish identification, remove unmeasured confounding, validate</w:t>
      </w:r>
      <w:r>
        <w:t xml:space="preserve"> </w:t>
      </w:r>
      <w:r>
        <w:t xml:space="preserve">the data source, or demonstrate that the target population matches</w:t>
      </w:r>
      <w:r>
        <w:t xml:space="preserve"> </w:t>
      </w:r>
      <w:r>
        <w:t xml:space="preserve">the regulatory decision population. It shows only that, under the</w:t>
      </w:r>
      <w:r>
        <w:t xml:space="preserve"> </w:t>
      </w:r>
      <w:r>
        <w:t xml:space="preserve">prespecified outcome-generating mechanism and degradation ranges,</w:t>
      </w:r>
      <w:r>
        <w:t xml:space="preserve"> </w:t>
      </w:r>
      <w:r>
        <w:t xml:space="preserve">a candidate estimator maintained acceptable finite-sample</w:t>
      </w:r>
      <w:r>
        <w:t xml:space="preserve"> </w:t>
      </w:r>
      <w:r>
        <w:t xml:space="preserve">performance according to the chosen criteria. Severity ranges</w:t>
      </w:r>
      <w:r>
        <w:t xml:space="preserve"> </w:t>
      </w:r>
      <w:r>
        <w:t xml:space="preserve">should therefore be justified from external validation studies,</w:t>
      </w:r>
      <w:r>
        <w:t xml:space="preserve"> </w:t>
      </w:r>
      <w:r>
        <w:t xml:space="preserve">data profiling, subject-matter knowledge, expert elicitation, or</w:t>
      </w:r>
      <w:r>
        <w:t xml:space="preserve"> </w:t>
      </w:r>
      <w:r>
        <w:t xml:space="preserve">formal sensitivity-analysis bounds. When such evidence is weak,</w:t>
      </w:r>
      <w:r>
        <w:t xml:space="preserve"> </w:t>
      </w:r>
      <w:r>
        <w:t xml:space="preserve">the stress test should be interpreted as exploratory rather than</w:t>
      </w:r>
      <w:r>
        <w:t xml:space="preserve"> </w:t>
      </w:r>
      <w:r>
        <w:t xml:space="preserve">confirmatory.</w:t>
      </w:r>
    </w:p>
    <w:p>
      <w:pPr>
        <w:pStyle w:val="BodyText"/>
      </w:pPr>
      <w:r>
        <w:t xml:space="preserve">The DQ stress test also depends on the same parametric</w:t>
      </w:r>
      <w:r>
        <w:t xml:space="preserve"> </w:t>
      </w:r>
      <w:r>
        <w:t xml:space="preserve">synthetic-outcome model used by the baseline plasmode. If that</w:t>
      </w:r>
      <w:r>
        <w:t xml:space="preserve"> </w:t>
      </w:r>
      <w:r>
        <w:t xml:space="preserve">model misrepresents the joint covariate–treatment–outcome</w:t>
      </w:r>
      <w:r>
        <w:t xml:space="preserve"> </w:t>
      </w:r>
      <w:r>
        <w:t xml:space="preserve">distribution (for example by omitting effect modification or</w:t>
      </w:r>
      <w:r>
        <w:t xml:space="preserve"> </w:t>
      </w:r>
      <w:r>
        <w:t xml:space="preserve">mis-specifying functional form), the simulated bias and coverage</w:t>
      </w:r>
      <w:r>
        <w:t xml:space="preserve"> </w:t>
      </w:r>
      <w:r>
        <w:t xml:space="preserve">under stressed scenarios may be optimistic or pessimistic in ways</w:t>
      </w:r>
      <w:r>
        <w:t xml:space="preserve"> </w:t>
      </w:r>
      <w:r>
        <w:t xml:space="preserve">that no amount of replication can correct.</w:t>
      </w:r>
    </w:p>
    <w:bookmarkEnd w:id="106"/>
    <w:bookmarkStart w:id="110" w:name="other-limitations"/>
    <w:p>
      <w:pPr>
        <w:pStyle w:val="Heading2"/>
      </w:pPr>
      <w:r>
        <w:t xml:space="preserve">10.7 Other limitations</w:t>
      </w:r>
    </w:p>
    <w:p>
      <w:pPr>
        <w:pStyle w:val="FirstParagraph"/>
      </w:pPr>
      <w:r>
        <w:t xml:space="preserve">The current implementation has six additional limitations the</w:t>
      </w:r>
      <w:r>
        <w:t xml:space="preserve"> </w:t>
      </w:r>
      <w:r>
        <w:t xml:space="preserve">analyst should keep in mind, grouped into model assumptions,</w:t>
      </w:r>
      <w:r>
        <w:t xml:space="preserve"> </w:t>
      </w:r>
      <w:r>
        <w:t xml:space="preserve">computational cost, and estimand scope.</w:t>
      </w:r>
    </w:p>
    <w:bookmarkStart w:id="107" w:name="model-assumptions"/>
    <w:p>
      <w:pPr>
        <w:pStyle w:val="Heading3"/>
      </w:pPr>
      <w:r>
        <w:t xml:space="preserve">10.7.1 Model assumptions</w:t>
      </w:r>
    </w:p>
    <w:p>
      <w:pPr>
        <w:pStyle w:val="FirstParagraph"/>
      </w:pPr>
      <w:r>
        <w:t xml:space="preserve">The covariate-missingness scenario assumes MCAR. MAR and MNAR</w:t>
      </w:r>
      <w:r>
        <w:t xml:space="preserve"> </w:t>
      </w:r>
      <w:r>
        <w:t xml:space="preserve">mechanisms require an explicit missingness model and are not yet</w:t>
      </w:r>
      <w:r>
        <w:t xml:space="preserve"> </w:t>
      </w:r>
      <w:r>
        <w:t xml:space="preserve">supported. The principled alternative is inverse-probability-of-</w:t>
      </w:r>
      <w:r>
        <w:t xml:space="preserve"> </w:t>
      </w:r>
      <w:r>
        <w:t xml:space="preserve">missingness weighting, which weakens the assumption to stratified</w:t>
      </w:r>
      <w:r>
        <w:t xml:space="preserve"> </w:t>
      </w:r>
      <w:r>
        <w:t xml:space="preserve">MCAR; we plan to add a native cleanTMLE implementation in a future</w:t>
      </w:r>
      <w:r>
        <w:t xml:space="preserve"> </w:t>
      </w:r>
      <w:r>
        <w:t xml:space="preserve">release.</w:t>
      </w:r>
    </w:p>
    <w:p>
      <w:pPr>
        <w:pStyle w:val="BodyText"/>
      </w:pPr>
      <w:r>
        <w:t xml:space="preserve">The plasmode DGP itself is parametric. The outcome is generated</w:t>
      </w:r>
      <w:r>
        <w:t xml:space="preserve"> </w:t>
      </w:r>
      <w:r>
        <w:t xml:space="preserve">from a logistic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fitted to the lock data,</w:t>
      </w:r>
      <w:r>
        <w:t xml:space="preserve"> </w:t>
      </w:r>
      <w:r>
        <w:t xml:space="preserve">and the synthetic effect is constant on the risk-difference scale</w:t>
      </w:r>
      <w:r>
        <w:t xml:space="preserve"> </w:t>
      </w:r>
      <w:r>
        <w:t xml:space="preserve">(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nor/>
                <m:sty m:val="p"/>
              </m:rPr>
              <m:t>sim</m:t>
            </m:r>
          </m:sup>
        </m:sSubSup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0</m:t>
            </m:r>
          </m:sub>
          <m:sup>
            <m:r>
              <m:rPr>
                <m:nor/>
                <m:sty m:val="p"/>
              </m:rPr>
              <m:t>sim</m:t>
            </m:r>
          </m:sup>
        </m:sSubSup>
        <m:r>
          <m:rPr>
            <m:sty m:val="p"/>
          </m:rPr>
          <m:t>+</m:t>
        </m:r>
        <m:r>
          <m:t>Δ</m:t>
        </m:r>
      </m:oMath>
      <w:r>
        <w:t xml:space="preserve">). Effect</w:t>
      </w:r>
      <w:r>
        <w:t xml:space="preserve"> </w:t>
      </w:r>
      <w:r>
        <w:t xml:space="preserve">modification, time-varying treatment, and competing risks would</w:t>
      </w:r>
      <w:r>
        <w:t xml:space="preserve"> </w:t>
      </w:r>
      <w:r>
        <w:t xml:space="preserve">need a richer DGP. The package architecture permits these</w:t>
      </w:r>
      <w:r>
        <w:t xml:space="preserve"> </w:t>
      </w:r>
      <w:r>
        <w:t xml:space="preserve">extensions; the simulation reported here does not exercise them.</w:t>
      </w:r>
    </w:p>
    <w:p>
      <w:pPr>
        <w:pStyle w:val="BodyText"/>
      </w:pPr>
      <w:r>
        <w:t xml:space="preserve">The plausible degradation ranges have to come from external</w:t>
      </w:r>
      <w:r>
        <w:t xml:space="preserve"> </w:t>
      </w:r>
      <w:r>
        <w:t xml:space="preserve">evidence. The software cannot decide whether 5 % or 20 %</w:t>
      </w:r>
      <w:r>
        <w:t xml:space="preserve"> </w:t>
      </w:r>
      <w:r>
        <w:t xml:space="preserve">covariate missingness is realistic for a given data source; the</w:t>
      </w:r>
      <w:r>
        <w:t xml:space="preserve"> </w:t>
      </w:r>
      <w:r>
        <w:t xml:space="preserve">analyst has to cite a profiling or validation study. SPIFD2 makes</w:t>
      </w:r>
      <w:r>
        <w:t xml:space="preserve"> </w:t>
      </w:r>
      <w:r>
        <w:t xml:space="preserve">the same demand qualitatively, and the DQ stress test inherits it.</w:t>
      </w:r>
    </w:p>
    <w:bookmarkEnd w:id="107"/>
    <w:bookmarkStart w:id="108" w:name="computational-cost"/>
    <w:p>
      <w:pPr>
        <w:pStyle w:val="Heading3"/>
      </w:pPr>
      <w:r>
        <w:t xml:space="preserve">10.7.2 Computational cost</w:t>
      </w:r>
    </w:p>
    <w:p>
      <w:pPr>
        <w:pStyle w:val="FirstParagraph"/>
      </w:pPr>
      <w:r>
        <w:t xml:space="preserve">Each scenario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severity adds a full set of plasmode</w:t>
      </w:r>
      <w:r>
        <w:t xml:space="preserve"> </w:t>
      </w:r>
      <w:r>
        <w:t xml:space="preserve">replicates. With the configuration of §</w:t>
      </w:r>
      <w:r>
        <w:t xml:space="preserve"> </w:t>
      </w:r>
      <w:r>
        <w:t xml:space="preserve">(50</w:t>
      </w:r>
      <w:r>
        <w:t xml:space="preserve"> </w:t>
      </w:r>
      <w:r>
        <w:t xml:space="preserve">replicates per cell, fifteen scenario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severity cells, and</w:t>
      </w:r>
      <w:r>
        <w:t xml:space="preserve"> </w:t>
      </w:r>
      <w:r>
        <w:t xml:space="preserve">four candidates) the test fits 3,000 TMLE models per Monte Carlo</w:t>
      </w:r>
      <w:r>
        <w:t xml:space="preserve"> </w:t>
      </w:r>
      <w:r>
        <w:t xml:space="preserve">scenario. The default settings already use fewer replicates than</w:t>
      </w:r>
      <w:r>
        <w:t xml:space="preserve"> </w:t>
      </w:r>
      <w:r>
        <w:t xml:space="preserve">the baseline plasmode (50 versus 200); for larger candidate grids,</w:t>
      </w:r>
      <w:r>
        <w:t xml:space="preserve"> </w:t>
      </w:r>
      <w:r>
        <w:t xml:space="preserve">parallelising the outer loop over scenarios is the right next step.</w:t>
      </w:r>
    </w:p>
    <w:bookmarkEnd w:id="108"/>
    <w:bookmarkStart w:id="109" w:name="estimand-scope"/>
    <w:p>
      <w:pPr>
        <w:pStyle w:val="Heading3"/>
      </w:pPr>
      <w:r>
        <w:t xml:space="preserve">10.7.3 Estimand scope</w:t>
      </w:r>
    </w:p>
    <w:p>
      <w:pPr>
        <w:pStyle w:val="FirstParagraph"/>
      </w:pPr>
      <w:r>
        <w:t xml:space="preserve">The running estimand in this paper is the marginal risk difference</w:t>
      </w:r>
      <w:r>
        <w:t xml:space="preserve"> </w:t>
      </w:r>
      <w:r>
        <w:t xml:space="preserve">for a binary point exposure. Counterfactual hazard ratios are</w:t>
      </w:r>
      <w:r>
        <w:t xml:space="preserve"> </w:t>
      </w:r>
      <w:r>
        <w:t xml:space="preserve">available in</w:t>
      </w:r>
      <w:r>
        <w:t xml:space="preserve"> </w:t>
      </w:r>
      <w:r>
        <w:rPr>
          <w:rStyle w:val="VerbatimChar"/>
        </w:rPr>
        <w:t xml:space="preserve">survtmle</w:t>
      </w:r>
      <w:r>
        <w:t xml:space="preserve"> </w:t>
      </w:r>
      <w:r>
        <w:t xml:space="preserve">(Benkeser and Hejazi 2018)</w:t>
      </w:r>
      <w:r>
        <w:t xml:space="preserve"> </w:t>
      </w:r>
      <w:r>
        <w:t xml:space="preserve">but are not yet</w:t>
      </w:r>
      <w:r>
        <w:t xml:space="preserve"> </w:t>
      </w:r>
      <w:r>
        <w:t xml:space="preserve">wrapped into the cleanTMLE staged workflow. Sites that need</w:t>
      </w:r>
      <w:r>
        <w:t xml:space="preserve"> </w:t>
      </w:r>
      <w:r>
        <w:t xml:space="preserve">hazard-ratio estimation can call that package directly and feed</w:t>
      </w:r>
      <w:r>
        <w:t xml:space="preserve"> </w:t>
      </w:r>
      <w:r>
        <w:t xml:space="preserve">the output through the same lock and audit trail.</w:t>
      </w:r>
    </w:p>
    <w:p>
      <w:pPr>
        <w:pStyle w:val="BodyText"/>
      </w:pPr>
      <w:r>
        <w:t xml:space="preserve">Several other estimand families sit outside cleanTMLE’s current</w:t>
      </w:r>
      <w:r>
        <w:t xml:space="preserve"> </w:t>
      </w:r>
      <w:r>
        <w:t xml:space="preserve">scope: counterfactual cumulative-incidence curves with competing</w:t>
      </w:r>
      <w:r>
        <w:t xml:space="preserve"> </w:t>
      </w:r>
      <w:r>
        <w:t xml:space="preserve">risks, cumulative-count IPW, multinomial treatments, and the</w:t>
      </w:r>
      <w:r>
        <w:t xml:space="preserve"> </w:t>
      </w:r>
      <w:r>
        <w:t xml:space="preserve">SMR / overlap / normalised / stabilised weight families. cleanTMLE</w:t>
      </w:r>
      <w:r>
        <w:t xml:space="preserve"> </w:t>
      </w:r>
      <w:r>
        <w:t xml:space="preserve">in this release narrows to binary-treatment risk-difference TMLE;</w:t>
      </w:r>
      <w:r>
        <w:t xml:space="preserve"> </w:t>
      </w:r>
      <w:r>
        <w:t xml:space="preserve">analysts who need the broader estimand surface have access to</w:t>
      </w:r>
      <w:r>
        <w:t xml:space="preserve"> </w:t>
      </w:r>
      <w:r>
        <w:rPr>
          <w:rStyle w:val="VerbatimChar"/>
        </w:rPr>
        <w:t xml:space="preserve">survtmle</w:t>
      </w:r>
      <w:r>
        <w:t xml:space="preserve">,</w:t>
      </w:r>
      <w:r>
        <w:t xml:space="preserve"> </w:t>
      </w:r>
      <w:r>
        <w:rPr>
          <w:rStyle w:val="VerbatimChar"/>
        </w:rPr>
        <w:t xml:space="preserve">lmtp</w:t>
      </w:r>
      <w:r>
        <w:t xml:space="preserve"> </w:t>
      </w:r>
      <w:r>
        <w:t xml:space="preserve">(Williams and Dı́az 2021)</w:t>
      </w:r>
      <w:r>
        <w:t xml:space="preserve">, or the proprietary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package as alternative implementations.</w:t>
      </w:r>
    </w:p>
    <w:bookmarkEnd w:id="109"/>
    <w:bookmarkEnd w:id="110"/>
    <w:bookmarkStart w:id="111" w:name="future-extensions"/>
    <w:p>
      <w:pPr>
        <w:pStyle w:val="Heading2"/>
      </w:pPr>
      <w:r>
        <w:t xml:space="preserve">10.8 Future extensions</w:t>
      </w:r>
    </w:p>
    <w:p>
      <w:pPr>
        <w:pStyle w:val="FirstParagraph"/>
      </w:pPr>
      <w:r>
        <w:t xml:space="preserve">The most consequential extensions, in priority order, are: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Richer synthetic-outcome models:</w:t>
      </w:r>
      <w:r>
        <w:t xml:space="preserve"> </w:t>
      </w:r>
      <w:r>
        <w:t xml:space="preserve">effect modification, time-</w:t>
      </w:r>
      <w:r>
        <w:t xml:space="preserve"> </w:t>
      </w:r>
      <w:r>
        <w:t xml:space="preserve">varying treatment, and competing risks (the current DGP is a</w:t>
      </w:r>
      <w:r>
        <w:t xml:space="preserve"> </w:t>
      </w:r>
      <w:r>
        <w:t xml:space="preserve">logistic regression with a constant additive effect on the</w:t>
      </w:r>
      <w:r>
        <w:t xml:space="preserve"> </w:t>
      </w:r>
      <w:r>
        <w:t xml:space="preserve">risk-difference scale).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 / MNAR missingness:</w:t>
      </w:r>
      <w:r>
        <w:t xml:space="preserve"> </w:t>
      </w:r>
      <w:r>
        <w:t xml:space="preserve">a native inverse-probability-of-</w:t>
      </w:r>
      <w:r>
        <w:t xml:space="preserve"> </w:t>
      </w:r>
      <w:r>
        <w:t xml:space="preserve">missingness weighting path that does not require a structural</w:t>
      </w:r>
      <w:r>
        <w:t xml:space="preserve"> </w:t>
      </w:r>
      <w:r>
        <w:t xml:space="preserve">missingness 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Survival and competing-risk estimands:</w:t>
      </w:r>
      <w:r>
        <w:t xml:space="preserve"> </w:t>
      </w:r>
      <w:r>
        <w:t xml:space="preserve">wrapping</w:t>
      </w:r>
      <w:r>
        <w:t xml:space="preserve"> </w:t>
      </w:r>
      <w:r>
        <w:rPr>
          <w:rStyle w:val="VerbatimChar"/>
        </w:rPr>
        <w:t xml:space="preserve">survtmle</w:t>
      </w:r>
      <w:r>
        <w:t xml:space="preserve"> </w:t>
      </w:r>
      <w:r>
        <w:t xml:space="preserve">(Benkeser and Hejazi 2018)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lmtp</w:t>
      </w:r>
      <w:r>
        <w:t xml:space="preserve"> </w:t>
      </w:r>
      <w:r>
        <w:t xml:space="preserve">(Williams and Dı́az 2021)</w:t>
      </w:r>
      <w:r>
        <w:t xml:space="preserve"> </w:t>
      </w:r>
      <w:r>
        <w:t xml:space="preserve">inside the</w:t>
      </w:r>
      <w:r>
        <w:t xml:space="preserve"> </w:t>
      </w:r>
      <w:r>
        <w:t xml:space="preserve">lock and audit machinery so that hazard-ratio and cumulative-</w:t>
      </w:r>
      <w:r>
        <w:t xml:space="preserve"> </w:t>
      </w:r>
      <w:r>
        <w:t xml:space="preserve">incidence estimands inherit the same governance.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Transportability and decision-population shift:</w:t>
      </w:r>
      <w:r>
        <w:t xml:space="preserve"> </w:t>
      </w:r>
      <w:r>
        <w:t xml:space="preserve">the</w:t>
      </w:r>
      <w:r>
        <w:t xml:space="preserve"> </w:t>
      </w:r>
      <w:r>
        <w:t xml:space="preserve">plasmode framework can in principle simulate covariate-</w:t>
      </w:r>
      <w:r>
        <w:t xml:space="preserve"> </w:t>
      </w:r>
      <w:r>
        <w:t xml:space="preserve">distribution shift between the analytic cohort and the target</w:t>
      </w:r>
      <w:r>
        <w:t xml:space="preserve"> </w:t>
      </w:r>
      <w:r>
        <w:t xml:space="preserve">population, but the package does not yet expose this scenario.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Calibration helpers for severity ranges:</w:t>
      </w:r>
      <w:r>
        <w:t xml:space="preserve"> </w:t>
      </w:r>
      <w:r>
        <w:t xml:space="preserve">small helpers that</w:t>
      </w:r>
      <w:r>
        <w:t xml:space="preserve"> </w:t>
      </w:r>
      <w:r>
        <w:t xml:space="preserve">read validation-literature parameters (PPV, sensitivity, claims-</w:t>
      </w:r>
      <w:r>
        <w:t xml:space="preserve"> </w:t>
      </w:r>
      <w:r>
        <w:t xml:space="preserve">accuracy ranges) from a YAML file and translate them into</w:t>
      </w:r>
      <w:r>
        <w:t xml:space="preserve"> </w:t>
      </w:r>
      <w:r>
        <w:rPr>
          <w:rStyle w:val="VerbatimChar"/>
        </w:rPr>
        <w:t xml:space="preserve">data_quality_scenarios</w:t>
      </w:r>
      <w:r>
        <w:t xml:space="preserve"> </w:t>
      </w:r>
      <w:r>
        <w:t xml:space="preserve">lists, with the citations attached to</w:t>
      </w:r>
      <w:r>
        <w:t xml:space="preserve"> </w:t>
      </w:r>
      <w:r>
        <w:t xml:space="preserve">the audit log.</w:t>
      </w:r>
    </w:p>
    <w:bookmarkEnd w:id="111"/>
    <w:bookmarkStart w:id="112" w:name="X50c0ac7ab0120ffdf0ea28dfe97e2979a8971f5"/>
    <w:p>
      <w:pPr>
        <w:pStyle w:val="Heading2"/>
      </w:pPr>
      <w:r>
        <w:t xml:space="preserve">10.9 When to use cleanTMLE inside a broader governed clean-room process</w:t>
      </w:r>
    </w:p>
    <w:p>
      <w:pPr>
        <w:pStyle w:val="FirstParagraph"/>
      </w:pPr>
      <w:r>
        <w:t xml:space="preserve">For routine pharmacoepidemiology and most academic RWE studies,</w:t>
      </w:r>
      <w:r>
        <w:t xml:space="preserve"> </w:t>
      </w:r>
      <w:r>
        <w:t xml:space="preserve">cleanTMLE used on its own provides an adequate prespecification</w:t>
      </w:r>
      <w:r>
        <w:t xml:space="preserve"> </w:t>
      </w:r>
      <w:r>
        <w:t xml:space="preserve">record: the analyst prespecifies the analytic plan, runs the</w:t>
      </w:r>
      <w:r>
        <w:t xml:space="preserve"> </w:t>
      </w:r>
      <w:r>
        <w:t xml:space="preserve">workflow inside a single R session, and archives the analysis</w:t>
      </w:r>
      <w:r>
        <w:t xml:space="preserve"> </w:t>
      </w:r>
      <w:r>
        <w:t xml:space="preserve">lock together with the audit and decision logs. For</w:t>
      </w:r>
      <w:r>
        <w:t xml:space="preserve"> </w:t>
      </w:r>
      <w:r>
        <w:t xml:space="preserve">submission-oriented RWE (FDA, EMA, or HTA contexts), the</w:t>
      </w:r>
      <w:r>
        <w:t xml:space="preserve"> </w:t>
      </w:r>
      <w:r>
        <w:t xml:space="preserve">recommended deployment places cleanTMLE inside a broader governed</w:t>
      </w:r>
      <w:r>
        <w:t xml:space="preserve"> </w:t>
      </w:r>
      <w:r>
        <w:t xml:space="preserve">process with separate study-level work items: source-data audit</w:t>
      </w:r>
      <w:r>
        <w:t xml:space="preserve"> </w:t>
      </w:r>
      <w:r>
        <w:t xml:space="preserve">and provenance, exposure and outcome phenotype validation,</w:t>
      </w:r>
      <w:r>
        <w:t xml:space="preserve"> </w:t>
      </w:r>
      <w:r>
        <w:t xml:space="preserve">role-separated analyst and reviewer access, and an independent</w:t>
      </w:r>
      <w:r>
        <w:t xml:space="preserve"> </w:t>
      </w:r>
      <w:r>
        <w:t xml:space="preserve">review of the pre-outcome decision by personnel who did not</w:t>
      </w:r>
      <w:r>
        <w:t xml:space="preserve"> </w:t>
      </w:r>
      <w:r>
        <w:t xml:space="preserve">author the analytic plan. The software-mediated workflow records</w:t>
      </w:r>
      <w:r>
        <w:t xml:space="preserve"> </w:t>
      </w:r>
      <w:r>
        <w:t xml:space="preserve">that the prespecified contract has been followed; the governed</w:t>
      </w:r>
      <w:r>
        <w:t xml:space="preserve"> </w:t>
      </w:r>
      <w:r>
        <w:t xml:space="preserve">process establishes that the contract is the right one</w:t>
      </w:r>
      <w:r>
        <w:t xml:space="preserve"> </w:t>
      </w:r>
      <w:r>
        <w:t xml:space="preserve">(Muntner et al. 2024; U.S. Food and Drug Administration 2018; European Medicines Agency 2024)</w:t>
      </w:r>
      <w:r>
        <w:t xml:space="preserve">.</w:t>
      </w:r>
    </w:p>
    <w:bookmarkEnd w:id="112"/>
    <w:bookmarkStart w:id="113" w:name="recommendations-for-practice"/>
    <w:p>
      <w:pPr>
        <w:pStyle w:val="Heading2"/>
      </w:pPr>
      <w:r>
        <w:t xml:space="preserve">10.10 Recommendations for practice</w:t>
      </w:r>
    </w:p>
    <w:p>
      <w:pPr>
        <w:pStyle w:val="FirstParagraph"/>
      </w:pPr>
      <w:r>
        <w:t xml:space="preserve">A fillable SAP template aligned with the prespecification checklist</w:t>
      </w:r>
      <w:r>
        <w:t xml:space="preserve"> </w:t>
      </w:r>
      <w:r>
        <w:t xml:space="preserve">of</w:t>
      </w:r>
      <w:r>
        <w:t xml:space="preserve"> </w:t>
      </w:r>
      <w:r>
        <w:t xml:space="preserve">Gruber, Lee, et al. (2024)</w:t>
      </w:r>
      <w:r>
        <w:t xml:space="preserve"> </w:t>
      </w:r>
      <w:r>
        <w:t xml:space="preserve">and the staging construct of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is shipped with the package as</w:t>
      </w:r>
      <w:r>
        <w:t xml:space="preserve"> </w:t>
      </w:r>
      <w:r>
        <w:rPr>
          <w:rStyle w:val="VerbatimChar"/>
        </w:rPr>
        <w:t xml:space="preserve">system.file("templates", "sap_template.qmd", package = "cleanTMLE")</w:t>
      </w:r>
      <w:r>
        <w:t xml:space="preserve">.</w:t>
      </w:r>
      <w:r>
        <w:t xml:space="preserve"> </w:t>
      </w:r>
      <w:r>
        <w:t xml:space="preserve">The template walks the analyst through the eight-section structure</w:t>
      </w:r>
      <w:r>
        <w:t xml:space="preserve"> </w:t>
      </w:r>
      <w:r>
        <w:t xml:space="preserve">(estimand under ICH E9(R1), identifiability assumptions and DQ</w:t>
      </w:r>
      <w:r>
        <w:t xml:space="preserve"> </w:t>
      </w:r>
      <w:r>
        <w:t xml:space="preserve">mappings, candidate grid, gate thresholds, NC domain coverage,</w:t>
      </w:r>
      <w:r>
        <w:t xml:space="preserve"> </w:t>
      </w:r>
      <w:r>
        <w:t xml:space="preserve">sensitivity plan, decision log, reporting checklist) so that the</w:t>
      </w:r>
      <w:r>
        <w:t xml:space="preserve"> </w:t>
      </w:r>
      <w:r>
        <w:t xml:space="preserve">prespecification is filed in the same form that the audit log will</w:t>
      </w:r>
      <w:r>
        <w:t xml:space="preserve"> </w:t>
      </w:r>
      <w:r>
        <w:t xml:space="preserve">later reference.</w:t>
      </w:r>
    </w:p>
    <w:p>
      <w:pPr>
        <w:pStyle w:val="BodyText"/>
      </w:pPr>
      <w:r>
        <w:t xml:space="preserve">We recommend a four-step pre-outcome workflow when the analyst is</w:t>
      </w:r>
      <w:r>
        <w:t xml:space="preserve"> </w:t>
      </w:r>
      <w:r>
        <w:t xml:space="preserve">preparing a TL-RWE study.</w:t>
      </w:r>
    </w:p>
    <w:p>
      <w:pPr>
        <w:pStyle w:val="Compact"/>
        <w:numPr>
          <w:ilvl w:val="0"/>
          <w:numId w:val="1006"/>
        </w:numPr>
      </w:pPr>
      <w:r>
        <w:t xml:space="preserve">Document the SPIFD2 template, citing validation studies or data</w:t>
      </w:r>
      <w:r>
        <w:t xml:space="preserve"> </w:t>
      </w:r>
      <w:r>
        <w:t xml:space="preserve">profiling for each plausible range.</w:t>
      </w:r>
    </w:p>
    <w:p>
      <w:pPr>
        <w:pStyle w:val="Compact"/>
        <w:numPr>
          <w:ilvl w:val="0"/>
          <w:numId w:val="1006"/>
        </w:numPr>
      </w:pPr>
      <w:r>
        <w:t xml:space="preserve">Lock the candidate grid and the gate thresholds before any</w:t>
      </w:r>
      <w:r>
        <w:t xml:space="preserve"> </w:t>
      </w:r>
      <w:r>
        <w:t xml:space="preserve">simulation runs.</w:t>
      </w:r>
    </w:p>
    <w:p>
      <w:pPr>
        <w:pStyle w:val="Compact"/>
        <w:numPr>
          <w:ilvl w:val="0"/>
          <w:numId w:val="100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run_plasmode_feasibility()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in the same prespecified Stage 2b. Use the SPIFD2-derived ranges</w:t>
      </w:r>
      <w:r>
        <w:t xml:space="preserve"> </w:t>
      </w:r>
      <w:r>
        <w:t xml:space="preserve">as the inputs to</w:t>
      </w:r>
      <w:r>
        <w:t xml:space="preserve"> </w:t>
      </w:r>
      <w:r>
        <w:rPr>
          <w:rStyle w:val="VerbatimChar"/>
        </w:rPr>
        <w:t xml:space="preserve">data_quality_scenarios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Score the gate. If a candidate is robust to the SPIFD2</w:t>
      </w:r>
      <w:r>
        <w:t xml:space="preserve"> </w:t>
      </w:r>
      <w:r>
        <w:t xml:space="preserve">plausible ranges, lock it. If no candidate is robust, the</w:t>
      </w:r>
      <w:r>
        <w:t xml:space="preserve"> </w:t>
      </w:r>
      <w:r>
        <w:t xml:space="preserve">correct decision is STOP, and the analyst should reconsider</w:t>
      </w:r>
      <w:r>
        <w:t xml:space="preserve"> </w:t>
      </w:r>
      <w:r>
        <w:t xml:space="preserve">either the data source, the estimand, or the gate thresholds</w:t>
      </w:r>
      <w:r>
        <w:t xml:space="preserve"> </w:t>
      </w:r>
      <w:r>
        <w:t xml:space="preserve">before unblinding.</w:t>
      </w:r>
    </w:p>
    <w:p>
      <w:pPr>
        <w:pStyle w:val="FirstParagraph"/>
      </w:pPr>
      <w:r>
        <w:t xml:space="preserve">The audit log preserves all of the above. The final paper or</w:t>
      </w:r>
      <w:r>
        <w:t xml:space="preserve"> </w:t>
      </w:r>
      <w:r>
        <w:t xml:space="preserve">regulatory submission can be reconstructed from the lock and the</w:t>
      </w:r>
      <w:r>
        <w:t xml:space="preserve"> </w:t>
      </w:r>
      <w:r>
        <w:t xml:space="preserve">audit, including the SPIFD2 ranges, the plasmode and DQ stress</w:t>
      </w:r>
      <w:r>
        <w:t xml:space="preserve"> </w:t>
      </w:r>
      <w:r>
        <w:t xml:space="preserve">metrics, the pre-outcome decision, and the post-outcome estimate.</w:t>
      </w:r>
    </w:p>
    <w:bookmarkEnd w:id="113"/>
    <w:bookmarkEnd w:id="114"/>
    <w:bookmarkStart w:id="117" w:name="sec-summary"/>
    <w:p>
      <w:pPr>
        <w:pStyle w:val="Heading1"/>
      </w:pPr>
      <w:r>
        <w:t xml:space="preserve">11. Summary</w:t>
      </w:r>
    </w:p>
    <w:p>
      <w:pPr>
        <w:pStyle w:val="FirstParagraph"/>
      </w:pPr>
      <w:r>
        <w:t xml:space="preserve">cleanTMLE is an R package for staged, outcome-blind targeted</w:t>
      </w:r>
      <w:r>
        <w:t xml:space="preserve"> </w:t>
      </w:r>
      <w:r>
        <w:t xml:space="preserve">learning that produces reproducible prespecification records. It</w:t>
      </w:r>
      <w:r>
        <w:t xml:space="preserve"> </w:t>
      </w:r>
      <w:r>
        <w:t xml:space="preserve">extends the outcome-blind plasmode loop of</w:t>
      </w:r>
      <w:r>
        <w:t xml:space="preserve"> </w:t>
      </w:r>
      <w:r>
        <w:t xml:space="preserve">Dang et al. (2023)</w:t>
      </w:r>
      <w:r>
        <w:t xml:space="preserve"> </w:t>
      </w:r>
      <w:r>
        <w:t xml:space="preserve">and</w:t>
      </w:r>
      <w:r>
        <w:t xml:space="preserve"> </w:t>
      </w:r>
      <w:r>
        <w:t xml:space="preserve">Gruber, Lee, et al. (2024)</w:t>
      </w:r>
      <w:r>
        <w:t xml:space="preserve"> </w:t>
      </w:r>
      <w:r>
        <w:t xml:space="preserve">with four data-quality degradation mechanisms,</w:t>
      </w:r>
      <w:r>
        <w:t xml:space="preserve"> </w:t>
      </w:r>
      <w:r>
        <w:t xml:space="preserve">producing per-candidate degradation gradients on the same bias /</w:t>
      </w:r>
      <w:r>
        <w:t xml:space="preserve"> </w:t>
      </w:r>
      <w:r>
        <w:t xml:space="preserve">RMSE / coverage scale as the baseline plasmode so the prespecified</w:t>
      </w:r>
      <w:r>
        <w:t xml:space="preserve"> </w:t>
      </w:r>
      <w:r>
        <w:t xml:space="preserve">decision rule can be applied uniformly to both. cleanTMLE</w:t>
      </w:r>
      <w:r>
        <w:t xml:space="preserve"> </w:t>
      </w:r>
      <w:r>
        <w:t xml:space="preserve">operationalises a quantitative bridge from qualitative</w:t>
      </w:r>
      <w:r>
        <w:t xml:space="preserve"> </w:t>
      </w:r>
      <w:r>
        <w:t xml:space="preserve">data-fitness concerns to prespecified outcome-blind plasmode</w:t>
      </w:r>
      <w:r>
        <w:t xml:space="preserve"> </w:t>
      </w:r>
      <w:r>
        <w:t xml:space="preserve">stress-test scenarios; it does not itself determine whether a data</w:t>
      </w:r>
      <w:r>
        <w:t xml:space="preserve"> </w:t>
      </w:r>
      <w:r>
        <w:t xml:space="preserve">source is fit for purpose, and the severity ranges entered into the</w:t>
      </w:r>
      <w:r>
        <w:t xml:space="preserve"> </w:t>
      </w:r>
      <w:r>
        <w:t xml:space="preserve">stress test must come from prior validation studies, data</w:t>
      </w:r>
      <w:r>
        <w:t xml:space="preserve"> </w:t>
      </w:r>
      <w:r>
        <w:t xml:space="preserve">profiling, or expert elicitation. The analysis-lock object, audit</w:t>
      </w:r>
      <w:r>
        <w:t xml:space="preserve"> </w:t>
      </w:r>
      <w:r>
        <w:t xml:space="preserve">log, and decision log persist the prespecification as reproducible</w:t>
      </w:r>
      <w:r>
        <w:t xml:space="preserve"> </w:t>
      </w:r>
      <w:r>
        <w:t xml:space="preserve">records that downstream estimation functions check before</w:t>
      </w:r>
      <w:r>
        <w:t xml:space="preserve"> </w:t>
      </w:r>
      <w:r>
        <w:t xml:space="preserve">running. The proprietary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package</w:t>
      </w:r>
      <w:r>
        <w:t xml:space="preserve"> </w:t>
      </w:r>
      <w:r>
        <w:t xml:space="preserve">(Brookhart, Breskin, and Eledath 2024)</w:t>
      </w:r>
      <w:r>
        <w:t xml:space="preserve"> </w:t>
      </w:r>
      <w:r>
        <w:t xml:space="preserve">is an alternative implementation of</w:t>
      </w:r>
      <w:r>
        <w:t xml:space="preserve"> </w:t>
      </w:r>
      <w:r>
        <w:t xml:space="preserve">related cumulative-risk estimators and is referenced as such; the</w:t>
      </w:r>
      <w:r>
        <w:t xml:space="preserve"> </w:t>
      </w:r>
      <w:r>
        <w:t xml:space="preserve">two packages do not share code. The package is available at</w:t>
      </w:r>
      <w:r>
        <w:t xml:space="preserve"> </w:t>
      </w:r>
      <w:hyperlink r:id="rId115">
        <w:r>
          <w:rPr>
            <w:rStyle w:val="Hyperlink"/>
          </w:rPr>
          <w:t xml:space="preserve">https://github.com/amertens/cleanTMLE</w:t>
        </w:r>
      </w:hyperlink>
      <w:r>
        <w:t xml:space="preserve">;</w:t>
      </w:r>
      <w:r>
        <w:t xml:space="preserve"> </w:t>
      </w:r>
      <w:r>
        <w:t xml:space="preserve">the simulation code for the results in §</w:t>
      </w:r>
      <w:r>
        <w:t xml:space="preserve"> </w:t>
      </w:r>
      <w:r>
        <w:t xml:space="preserve">is in</w:t>
      </w:r>
      <w:r>
        <w:t xml:space="preserve"> </w:t>
      </w:r>
      <w:r>
        <w:t xml:space="preserve">the companion repository</w:t>
      </w:r>
      <w:r>
        <w:t xml:space="preserve"> </w:t>
      </w:r>
      <w:hyperlink r:id="rId116">
        <w:r>
          <w:rPr>
            <w:rStyle w:val="Hyperlink"/>
          </w:rPr>
          <w:t xml:space="preserve">https://github.com/amertens/clean-room-sim</w:t>
        </w:r>
      </w:hyperlink>
      <w:r>
        <w:t xml:space="preserve">.</w:t>
      </w:r>
    </w:p>
    <w:bookmarkEnd w:id="117"/>
    <w:bookmarkStart w:id="118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We thank the targeted-learning RWE roadmap authors (Dang, Gruber,</w:t>
      </w:r>
      <w:r>
        <w:t xml:space="preserve"> </w:t>
      </w:r>
      <w:r>
        <w:t xml:space="preserve">Phillips, Lee, Ho, van der Laan, Petersen, and colleagues) whose</w:t>
      </w:r>
      <w:r>
        <w:t xml:space="preserve"> </w:t>
      </w:r>
      <w:r>
        <w:t xml:space="preserve">published frameworks cleanTMLE operationalises in software, and</w:t>
      </w:r>
      <w:r>
        <w:t xml:space="preserve"> </w:t>
      </w:r>
      <w:r>
        <w:t xml:space="preserve">the authors of the proprietary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package (M. Alan</w:t>
      </w:r>
      <w:r>
        <w:t xml:space="preserve"> </w:t>
      </w:r>
      <w:r>
        <w:t xml:space="preserve">Brookhart, Alexander Breskin, and Bassim Eledath) for surfacing</w:t>
      </w:r>
      <w:r>
        <w:t xml:space="preserve"> </w:t>
      </w:r>
      <w:r>
        <w:t xml:space="preserve">the cumulative-risk-estimand framing that motivated several of</w:t>
      </w:r>
      <w:r>
        <w:t xml:space="preserve"> </w:t>
      </w:r>
      <w:r>
        <w:t xml:space="preserve">our diagnostic helpers. Any errors are ours.</w:t>
      </w:r>
    </w:p>
    <w:bookmarkEnd w:id="118"/>
    <w:bookmarkStart w:id="200" w:name="references"/>
    <w:p>
      <w:pPr>
        <w:pStyle w:val="Heading1"/>
      </w:pPr>
      <w:r>
        <w:t xml:space="preserve">References</w:t>
      </w:r>
    </w:p>
    <w:bookmarkStart w:id="199" w:name="refs"/>
    <w:bookmarkStart w:id="119" w:name="ref-survtmlepackage2018"/>
    <w:p>
      <w:pPr>
        <w:pStyle w:val="Bibliography"/>
      </w:pPr>
      <w:r>
        <w:t xml:space="preserve">Benkeser, David, and Nima S. Hejazi. 2018.</w:t>
      </w:r>
      <w:r>
        <w:t xml:space="preserve"> </w:t>
      </w:r>
      <w:r>
        <w:t xml:space="preserve">“Survtmle: Compute Targeted Minimum Loss-Based Estimates in Right-Censored Survival Settings.”</w:t>
      </w:r>
    </w:p>
    <w:bookmarkEnd w:id="119"/>
    <w:bookmarkStart w:id="120" w:name="ref-brookhart2024causalrisk"/>
    <w:p>
      <w:pPr>
        <w:pStyle w:val="Bibliography"/>
      </w:pPr>
      <w:r>
        <w:t xml:space="preserve">Brookhart, M. Alan, Alexander Breskin, and Bassim Eledath. 2024.</w:t>
      </w:r>
      <w:r>
        <w:t xml:space="preserve"> </w:t>
      </w:r>
      <w:r>
        <w:t xml:space="preserve">“</w:t>
      </w:r>
      <w:r>
        <w:t xml:space="preserve">causalRisk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Estimating Cumulative Risks Under Counterfactual Treatment Strategies.”</w:t>
      </w:r>
    </w:p>
    <w:bookmarkEnd w:id="120"/>
    <w:bookmarkStart w:id="122" w:name="ref-cashin2024target"/>
    <w:p>
      <w:pPr>
        <w:pStyle w:val="Bibliography"/>
      </w:pPr>
      <w:r>
        <w:t xml:space="preserve">Cashin, A. G., H. J. Hansford, T. R. Stanton, et al. 2024.</w:t>
      </w:r>
      <w:r>
        <w:t xml:space="preserve"> </w:t>
      </w:r>
      <w:r>
        <w:t xml:space="preserve">“</w:t>
      </w:r>
      <w:r>
        <w:t xml:space="preserve">TARGET</w:t>
      </w:r>
      <w:r>
        <w:t xml:space="preserve">: Target Trial Reporting Tool for Observational Studies.”</w:t>
      </w:r>
      <w:r>
        <w:t xml:space="preserve"> </w:t>
      </w:r>
      <w:r>
        <w:rPr>
          <w:i/>
          <w:iCs/>
        </w:rPr>
        <w:t xml:space="preserve">BMJ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https://doi.org/10.1136/bmj-2024-080483</w:t>
        </w:r>
      </w:hyperlink>
      <w:r>
        <w:t xml:space="preserve">.</w:t>
      </w:r>
    </w:p>
    <w:bookmarkEnd w:id="122"/>
    <w:bookmarkStart w:id="124" w:name="ref-chernozhukov2018dml"/>
    <w:p>
      <w:pPr>
        <w:pStyle w:val="Bibliography"/>
      </w:pPr>
      <w:r>
        <w:t xml:space="preserve">Chernozhukov, Victor, Denis Chetverikov, Mert Demirer, Esther Duflo, Christian Hansen, Whitney Newey, and James Robins. 2018.</w:t>
      </w:r>
      <w:r>
        <w:t xml:space="preserve"> </w:t>
      </w:r>
      <w:r>
        <w:t xml:space="preserve">“Double/Debiased Machine Learning for Treatment and Structural Parameters.”</w:t>
      </w:r>
      <w:r>
        <w:t xml:space="preserve"> </w:t>
      </w:r>
      <w:r>
        <w:rPr>
          <w:i/>
          <w:iCs/>
        </w:rPr>
        <w:t xml:space="preserve">The Econometrics Journal</w:t>
      </w:r>
      <w:r>
        <w:t xml:space="preserve"> </w:t>
      </w:r>
      <w:r>
        <w:t xml:space="preserve">21 (1): C1–68.</w:t>
      </w:r>
      <w:r>
        <w:t xml:space="preserve"> </w:t>
      </w:r>
      <w:hyperlink r:id="rId123">
        <w:r>
          <w:rPr>
            <w:rStyle w:val="Hyperlink"/>
          </w:rPr>
          <w:t xml:space="preserve">https://doi.org/10.1111/ectj.12097</w:t>
        </w:r>
      </w:hyperlink>
      <w:r>
        <w:t xml:space="preserve">.</w:t>
      </w:r>
    </w:p>
    <w:bookmarkEnd w:id="124"/>
    <w:bookmarkStart w:id="126" w:name="ref-dang2023roadmap"/>
    <w:p>
      <w:pPr>
        <w:pStyle w:val="Bibliography"/>
      </w:pPr>
      <w:r>
        <w:t xml:space="preserve">Dang, Lauren E., Susan Gruber, Hana Lee, Issa J. Dahabreh, Elizabeth A. Stuart, Brian D. Williamson, Richard Wyss, et al. 2023.</w:t>
      </w:r>
      <w:r>
        <w:t xml:space="preserve"> </w:t>
      </w:r>
      <w:r>
        <w:t xml:space="preserve">“A Causal Roadmap for Generating High-Quality Real-World Evidence.”</w:t>
      </w:r>
      <w:r>
        <w:t xml:space="preserve"> </w:t>
      </w:r>
      <w:r>
        <w:rPr>
          <w:i/>
          <w:iCs/>
        </w:rPr>
        <w:t xml:space="preserve">Journal of Clinical and Translational Science</w:t>
      </w:r>
      <w:r>
        <w:t xml:space="preserve"> </w:t>
      </w:r>
      <w:r>
        <w:t xml:space="preserve">7 (1): e212.</w:t>
      </w:r>
      <w:r>
        <w:t xml:space="preserve"> </w:t>
      </w:r>
      <w:hyperlink r:id="rId125">
        <w:r>
          <w:rPr>
            <w:rStyle w:val="Hyperlink"/>
          </w:rPr>
          <w:t xml:space="preserve">https://doi.org/10.1017/cts.2023.635</w:t>
        </w:r>
      </w:hyperlink>
      <w:r>
        <w:t xml:space="preserve">.</w:t>
      </w:r>
    </w:p>
    <w:bookmarkEnd w:id="126"/>
    <w:bookmarkStart w:id="128" w:name="ref-diaz2013sensitivity"/>
    <w:p>
      <w:pPr>
        <w:pStyle w:val="Bibliography"/>
      </w:pPr>
      <w:r>
        <w:t xml:space="preserve">Dı́az, Iván, and Mark J. van der Laan. 2013.</w:t>
      </w:r>
      <w:r>
        <w:t xml:space="preserve"> </w:t>
      </w:r>
      <w:r>
        <w:t xml:space="preserve">“Sensitivity Analysis for Causal Inference Under Unmeasured Confounding and Measurement Error Problems.”</w:t>
      </w:r>
      <w:r>
        <w:t xml:space="preserve"> </w:t>
      </w:r>
      <w:r>
        <w:rPr>
          <w:i/>
          <w:iCs/>
        </w:rPr>
        <w:t xml:space="preserve">The International Journal of Biostatistics</w:t>
      </w:r>
      <w:r>
        <w:t xml:space="preserve"> </w:t>
      </w:r>
      <w:r>
        <w:t xml:space="preserve">9 (2): 149–60.</w:t>
      </w:r>
      <w:r>
        <w:t xml:space="preserve"> </w:t>
      </w:r>
      <w:hyperlink r:id="rId127">
        <w:r>
          <w:rPr>
            <w:rStyle w:val="Hyperlink"/>
          </w:rPr>
          <w:t xml:space="preserve">https://doi.org/10.1515/ijb-2013-0004</w:t>
        </w:r>
      </w:hyperlink>
      <w:r>
        <w:t xml:space="preserve">.</w:t>
      </w:r>
    </w:p>
    <w:bookmarkEnd w:id="128"/>
    <w:bookmarkStart w:id="130" w:name="ref-ema2021registry"/>
    <w:p>
      <w:pPr>
        <w:pStyle w:val="Bibliography"/>
      </w:pPr>
      <w:r>
        <w:t xml:space="preserve">European Medicines Agency. 2021.</w:t>
      </w:r>
      <w:r>
        <w:t xml:space="preserve"> </w:t>
      </w:r>
      <w:r>
        <w:t xml:space="preserve">“Guideline on Registry-Based Studies.”</w:t>
      </w:r>
      <w:r>
        <w:t xml:space="preserve"> </w:t>
      </w:r>
      <w:hyperlink r:id="rId129">
        <w:r>
          <w:rPr>
            <w:rStyle w:val="Hyperlink"/>
          </w:rPr>
          <w:t xml:space="preserve">https://www.ema.europa.eu/en/guideline-registry-based-studies-scientific-guideline</w:t>
        </w:r>
      </w:hyperlink>
      <w:r>
        <w:t xml:space="preserve">.</w:t>
      </w:r>
    </w:p>
    <w:bookmarkEnd w:id="130"/>
    <w:bookmarkStart w:id="132" w:name="ref-ema2024guide"/>
    <w:p>
      <w:pPr>
        <w:pStyle w:val="Bibliography"/>
      </w:pPr>
      <w:r>
        <w:t xml:space="preserve">———. 2024.</w:t>
      </w:r>
      <w:r>
        <w:t xml:space="preserve"> </w:t>
      </w:r>
      <w:r>
        <w:t xml:space="preserve">“Guide on Real-World Evidence Provided by</w:t>
      </w:r>
      <w:r>
        <w:t xml:space="preserve"> </w:t>
      </w:r>
      <w:r>
        <w:t xml:space="preserve">EMA</w:t>
      </w:r>
      <w:r>
        <w:t xml:space="preserve"> </w:t>
      </w:r>
      <w:r>
        <w:t xml:space="preserve">to Support Regulatory Decision-Making.”</w:t>
      </w:r>
      <w:r>
        <w:t xml:space="preserve"> </w:t>
      </w:r>
      <w:hyperlink r:id="rId131">
        <w:r>
          <w:rPr>
            <w:rStyle w:val="Hyperlink"/>
          </w:rPr>
          <w:t xml:space="preserve">https://www.ema.europa.eu/en/about-us/how-we-work/big-data/real-world-evidence</w:t>
        </w:r>
      </w:hyperlink>
      <w:r>
        <w:t xml:space="preserve">.</w:t>
      </w:r>
    </w:p>
    <w:bookmarkEnd w:id="132"/>
    <w:bookmarkStart w:id="133" w:name="ref-ema2026rwd"/>
    <w:p>
      <w:pPr>
        <w:pStyle w:val="Bibliography"/>
      </w:pPr>
      <w:r>
        <w:t xml:space="preserve">———. 2026.</w:t>
      </w:r>
      <w:r>
        <w:t xml:space="preserve"> </w:t>
      </w:r>
      <w:r>
        <w:t xml:space="preserve">“Real-World Data Data-Quality Framework for</w:t>
      </w:r>
      <w:r>
        <w:t xml:space="preserve"> </w:t>
      </w:r>
      <w:r>
        <w:t xml:space="preserve">EU</w:t>
      </w:r>
      <w:r>
        <w:t xml:space="preserve"> </w:t>
      </w:r>
      <w:r>
        <w:t xml:space="preserve">Medicines Regulation.”</w:t>
      </w:r>
    </w:p>
    <w:bookmarkEnd w:id="133"/>
    <w:bookmarkStart w:id="135" w:name="ref-franklin2014plasmode"/>
    <w:p>
      <w:pPr>
        <w:pStyle w:val="Bibliography"/>
      </w:pPr>
      <w:r>
        <w:t xml:space="preserve">Franklin, Jessica M., Sebastian Schneeweiss, Jennifer M. Polinski, and Jeremy A. Rassen. 2014.</w:t>
      </w:r>
      <w:r>
        <w:t xml:space="preserve"> </w:t>
      </w:r>
      <w:r>
        <w:t xml:space="preserve">“Plasmode Simulation for the Evaluation of Pharmacoepidemiologic Methods in Complex Healthcare Databases.”</w:t>
      </w:r>
      <w:r>
        <w:t xml:space="preserve"> </w:t>
      </w:r>
      <w:r>
        <w:rPr>
          <w:i/>
          <w:iCs/>
        </w:rPr>
        <w:t xml:space="preserve">Computational Statistics &amp; Data Analysis</w:t>
      </w:r>
      <w:r>
        <w:t xml:space="preserve"> </w:t>
      </w:r>
      <w:r>
        <w:t xml:space="preserve">72: 219–26.</w:t>
      </w:r>
      <w:r>
        <w:t xml:space="preserve"> </w:t>
      </w:r>
      <w:hyperlink r:id="rId134">
        <w:r>
          <w:rPr>
            <w:rStyle w:val="Hyperlink"/>
          </w:rPr>
          <w:t xml:space="preserve">https://doi.org/10.1016/j.csda.2013.10.018</w:t>
        </w:r>
      </w:hyperlink>
      <w:r>
        <w:t xml:space="preserve">.</w:t>
      </w:r>
    </w:p>
    <w:bookmarkEnd w:id="135"/>
    <w:bookmarkStart w:id="137" w:name="ref-gatto2022spifd"/>
    <w:p>
      <w:pPr>
        <w:pStyle w:val="Bibliography"/>
      </w:pPr>
      <w:r>
        <w:t xml:space="preserve">Gatto, Nicolle M., Robert F. Reynolds, and Ulka B. Campbell. 2022.</w:t>
      </w:r>
      <w:r>
        <w:t xml:space="preserve"> </w:t>
      </w:r>
      <w:r>
        <w:t xml:space="preserve">“The Structured Process to Identify Fit-for-Purpose Data: A Data Feasibility Assessment Framework.”</w:t>
      </w:r>
      <w:r>
        <w:t xml:space="preserve"> </w:t>
      </w:r>
      <w:r>
        <w:rPr>
          <w:i/>
          <w:iCs/>
        </w:rPr>
        <w:t xml:space="preserve">Clinical Pharmacology &amp; Therapeutics</w:t>
      </w:r>
      <w:r>
        <w:t xml:space="preserve"> </w:t>
      </w:r>
      <w:r>
        <w:t xml:space="preserve">111 (1): 122–34.</w:t>
      </w:r>
      <w:r>
        <w:t xml:space="preserve"> </w:t>
      </w:r>
      <w:hyperlink r:id="rId136">
        <w:r>
          <w:rPr>
            <w:rStyle w:val="Hyperlink"/>
          </w:rPr>
          <w:t xml:space="preserve">https://doi.org/10.1002/cpt.2466</w:t>
        </w:r>
      </w:hyperlink>
      <w:r>
        <w:t xml:space="preserve">.</w:t>
      </w:r>
    </w:p>
    <w:bookmarkEnd w:id="137"/>
    <w:bookmarkStart w:id="139" w:name="ref-gatto2023spifd2"/>
    <w:p>
      <w:pPr>
        <w:pStyle w:val="Bibliography"/>
      </w:pPr>
      <w:r>
        <w:t xml:space="preserve">Gatto, Nicolle M., Sarah E. Vititoe, Emily Rubinstein, Robert F. Reynolds, and Ulka B. Campbell. 2023.</w:t>
      </w:r>
      <w:r>
        <w:t xml:space="preserve"> </w:t>
      </w:r>
      <w:r>
        <w:t xml:space="preserve">“A Structured Process to Identify Fit-for-Purpose Study Design and Data to Generate Valid and Transparent Real-World Evidence for Regulatory Uses.”</w:t>
      </w:r>
      <w:r>
        <w:t xml:space="preserve"> </w:t>
      </w:r>
      <w:r>
        <w:rPr>
          <w:i/>
          <w:iCs/>
        </w:rPr>
        <w:t xml:space="preserve">Clinical Pharmacology &amp; Therapeutics</w:t>
      </w:r>
      <w:r>
        <w:t xml:space="preserve"> </w:t>
      </w:r>
      <w:r>
        <w:t xml:space="preserve">113 (6): 1235–39.</w:t>
      </w:r>
      <w:r>
        <w:t xml:space="preserve"> </w:t>
      </w:r>
      <w:hyperlink r:id="rId138">
        <w:r>
          <w:rPr>
            <w:rStyle w:val="Hyperlink"/>
          </w:rPr>
          <w:t xml:space="preserve">https://doi.org/10.1002/cpt.2883</w:t>
        </w:r>
      </w:hyperlink>
      <w:r>
        <w:t xml:space="preserve">.</w:t>
      </w:r>
    </w:p>
    <w:bookmarkEnd w:id="139"/>
    <w:bookmarkStart w:id="141" w:name="ref-gruber2022sap"/>
    <w:p>
      <w:pPr>
        <w:pStyle w:val="Bibliography"/>
      </w:pPr>
      <w:r>
        <w:t xml:space="preserve">Gruber, Susan, Hana Lee, Rachael V. Phillips, Martin Ho, and Mark J. van der Laan. 2024.</w:t>
      </w:r>
      <w:r>
        <w:t xml:space="preserve"> </w:t>
      </w:r>
      <w:r>
        <w:t xml:space="preserve">“Developing a Targeted Learning-Based Statistical Analysis Plan.”</w:t>
      </w:r>
      <w:r>
        <w:t xml:space="preserve"> </w:t>
      </w:r>
      <w:r>
        <w:rPr>
          <w:i/>
          <w:iCs/>
        </w:rPr>
        <w:t xml:space="preserve">Statistics in Biopharmaceutical Research</w:t>
      </w:r>
      <w:r>
        <w:t xml:space="preserve"> </w:t>
      </w:r>
      <w:r>
        <w:t xml:space="preserve">16 (1): 1–15.</w:t>
      </w:r>
      <w:r>
        <w:t xml:space="preserve"> </w:t>
      </w:r>
      <w:hyperlink r:id="rId140">
        <w:r>
          <w:rPr>
            <w:rStyle w:val="Hyperlink"/>
          </w:rPr>
          <w:t xml:space="preserve">https://doi.org/10.1080/19466315.2022.2116104</w:t>
        </w:r>
      </w:hyperlink>
      <w:r>
        <w:t xml:space="preserve">.</w:t>
      </w:r>
    </w:p>
    <w:bookmarkEnd w:id="141"/>
    <w:bookmarkStart w:id="143" w:name="ref-gruber2024evaluating"/>
    <w:p>
      <w:pPr>
        <w:pStyle w:val="Bibliography"/>
      </w:pPr>
      <w:r>
        <w:t xml:space="preserve">Gruber, Susan, Rachael V. Phillips, Hana Lee, John Concato, and Mark J. van der Laan. 2024.</w:t>
      </w:r>
      <w:r>
        <w:t xml:space="preserve"> </w:t>
      </w:r>
      <w:r>
        <w:t xml:space="preserve">“Evaluating and Improving Real-World Evidence with Targeted Learning.”</w:t>
      </w:r>
      <w:r>
        <w:t xml:space="preserve"> </w:t>
      </w:r>
      <w:r>
        <w:rPr>
          <w:i/>
          <w:iCs/>
        </w:rPr>
        <w:t xml:space="preserve">BMC Medical Research Methodology</w:t>
      </w:r>
      <w:r>
        <w:t xml:space="preserve"> </w:t>
      </w:r>
      <w:r>
        <w:t xml:space="preserve">24 (1): 1–14.</w:t>
      </w:r>
      <w:r>
        <w:t xml:space="preserve"> </w:t>
      </w:r>
      <w:hyperlink r:id="rId142">
        <w:r>
          <w:rPr>
            <w:rStyle w:val="Hyperlink"/>
          </w:rPr>
          <w:t xml:space="preserve">https://doi.org/10.1186/s12874-024-02244-z</w:t>
        </w:r>
      </w:hyperlink>
      <w:r>
        <w:t xml:space="preserve">.</w:t>
      </w:r>
    </w:p>
    <w:bookmarkEnd w:id="143"/>
    <w:bookmarkStart w:id="145" w:name="ref-hernan2016targettrial"/>
    <w:p>
      <w:pPr>
        <w:pStyle w:val="Bibliography"/>
      </w:pPr>
      <w:r>
        <w:t xml:space="preserve">Hernán, M. A., and J. M.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144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145"/>
    <w:bookmarkStart w:id="146" w:name="ref-hernan2016target"/>
    <w:p>
      <w:pPr>
        <w:pStyle w:val="Bibliography"/>
      </w:pPr>
      <w:r>
        <w:t xml:space="preserve">Hernán, Miguel A., and James M.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144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146"/>
    <w:bookmarkStart w:id="147" w:name="ref-hernan2020causal"/>
    <w:p>
      <w:pPr>
        <w:pStyle w:val="Bibliography"/>
      </w:pPr>
      <w:r>
        <w:t xml:space="preserve">———.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</w:p>
    <w:bookmarkEnd w:id="147"/>
    <w:bookmarkStart w:id="148" w:name="ref-ich2019e9r1"/>
    <w:p>
      <w:pPr>
        <w:pStyle w:val="Bibliography"/>
      </w:pPr>
      <w:r>
        <w:t xml:space="preserve">International Council for Harmonisation. 2019.</w:t>
      </w:r>
      <w:r>
        <w:t xml:space="preserve"> </w:t>
      </w:r>
      <w:r>
        <w:t xml:space="preserve">“</w:t>
      </w:r>
      <w:r>
        <w:t xml:space="preserve">ICH E9(R1)</w:t>
      </w:r>
      <w:r>
        <w:t xml:space="preserve"> </w:t>
      </w:r>
      <w:r>
        <w:t xml:space="preserve">Addendum on Estimands and Sensitivity Analysis in Clinical Trials.”</w:t>
      </w:r>
    </w:p>
    <w:bookmarkEnd w:id="148"/>
    <w:bookmarkStart w:id="149" w:name="ref-ich2024m14"/>
    <w:p>
      <w:pPr>
        <w:pStyle w:val="Bibliography"/>
      </w:pPr>
      <w:r>
        <w:t xml:space="preserve">———. 2026.</w:t>
      </w:r>
      <w:r>
        <w:t xml:space="preserve"> </w:t>
      </w:r>
      <w:r>
        <w:t xml:space="preserve">“</w:t>
      </w:r>
      <w:r>
        <w:t xml:space="preserve">ICH M14</w:t>
      </w:r>
      <w:r>
        <w:t xml:space="preserve"> </w:t>
      </w:r>
      <w:r>
        <w:t xml:space="preserve">Guidance for Industry: General Principles on Planning, Designing, and Analyzing Non-Interventional Studies Using Real-World Data for Safety Assessment of Medicines.”</w:t>
      </w:r>
    </w:p>
    <w:bookmarkEnd w:id="149"/>
    <w:bookmarkStart w:id="151" w:name="ref-kahn2016data"/>
    <w:p>
      <w:pPr>
        <w:pStyle w:val="Bibliography"/>
      </w:pPr>
      <w:r>
        <w:t xml:space="preserve">Kahn, Michael G., Tiffany J. Callahan, Juliana Barnard, Alan E. Bauck, Jeffrey Brown, Bruce N. Davidson, Hossein Estiri, et al. 2016.</w:t>
      </w:r>
      <w:r>
        <w:t xml:space="preserve"> </w:t>
      </w:r>
      <w:r>
        <w:t xml:space="preserve">“A Harmonized Data Quality Assessment Terminology and Framework for the Secondary Use of Electronic Health Record Data.”</w:t>
      </w:r>
      <w:r>
        <w:t xml:space="preserve"> </w:t>
      </w:r>
      <w:r>
        <w:rPr>
          <w:i/>
          <w:iCs/>
        </w:rPr>
        <w:t xml:space="preserve">EGEMS (Washington, DC)</w:t>
      </w:r>
      <w:r>
        <w:t xml:space="preserve"> </w:t>
      </w:r>
      <w:r>
        <w:t xml:space="preserve">4 (1): 1244.</w:t>
      </w:r>
      <w:r>
        <w:t xml:space="preserve"> </w:t>
      </w:r>
      <w:hyperlink r:id="rId150">
        <w:r>
          <w:rPr>
            <w:rStyle w:val="Hyperlink"/>
          </w:rPr>
          <w:t xml:space="preserve">https://doi.org/10.13063/2327-9214.1244</w:t>
        </w:r>
      </w:hyperlink>
      <w:r>
        <w:t xml:space="preserve">.</w:t>
      </w:r>
    </w:p>
    <w:bookmarkEnd w:id="151"/>
    <w:bookmarkStart w:id="152" w:name="ref-kent2026fiord"/>
    <w:p>
      <w:pPr>
        <w:pStyle w:val="Bibliography"/>
      </w:pPr>
      <w:r>
        <w:t xml:space="preserve">Kent, Shia T. 2026.</w:t>
      </w:r>
      <w:r>
        <w:t xml:space="preserve"> </w:t>
      </w:r>
      <w:r>
        <w:t xml:space="preserve">“A Staging Framework to Facilitate Transparency and Reduce Bias in Comparative Analyses of Real-World Data.”</w:t>
      </w:r>
      <w:r>
        <w:t xml:space="preserve"> </w:t>
      </w:r>
      <w:r>
        <w:t xml:space="preserve">Conference presentation, 4th Annual Forum on the Integration of Observational and Randomized Data (FIORD), Day 1 Lunch session.</w:t>
      </w:r>
    </w:p>
    <w:bookmarkEnd w:id="152"/>
    <w:bookmarkStart w:id="154" w:name="ref-vdL2007superlearner"/>
    <w:p>
      <w:pPr>
        <w:pStyle w:val="Bibliography"/>
      </w:pPr>
      <w:r>
        <w:t xml:space="preserve">Laan, Mark J. van der, Eric C. Polley, and Alan E. Hubbard. 2007.</w:t>
      </w:r>
      <w:r>
        <w:t xml:space="preserve"> </w:t>
      </w:r>
      <w:r>
        <w:t xml:space="preserve">“Super Learner.”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6 (1).</w:t>
      </w:r>
      <w:r>
        <w:t xml:space="preserve"> </w:t>
      </w:r>
      <w:hyperlink r:id="rId153">
        <w:r>
          <w:rPr>
            <w:rStyle w:val="Hyperlink"/>
          </w:rPr>
          <w:t xml:space="preserve">https://doi.org/10.2202/1544-6115.1309</w:t>
        </w:r>
      </w:hyperlink>
      <w:r>
        <w:t xml:space="preserve">.</w:t>
      </w:r>
    </w:p>
    <w:bookmarkEnd w:id="154"/>
    <w:bookmarkStart w:id="156" w:name="ref-vdL2011tlbook"/>
    <w:p>
      <w:pPr>
        <w:pStyle w:val="Bibliography"/>
      </w:pPr>
      <w:r>
        <w:t xml:space="preserve">Laan, Mark J. van der, and Sherri Rose. 2011.</w:t>
      </w:r>
      <w:r>
        <w:t xml:space="preserve"> </w:t>
      </w:r>
      <w:r>
        <w:rPr>
          <w:i/>
          <w:iCs/>
        </w:rPr>
        <w:t xml:space="preserve">Targeted Learning: Causal Inference for Observational and Experimental Data</w:t>
      </w:r>
      <w:r>
        <w:t xml:space="preserve">. Springer.</w:t>
      </w:r>
      <w:r>
        <w:t xml:space="preserve"> </w:t>
      </w:r>
      <w:hyperlink r:id="rId155">
        <w:r>
          <w:rPr>
            <w:rStyle w:val="Hyperlink"/>
          </w:rPr>
          <w:t xml:space="preserve">https://doi.org/10.1007/978-1-4419-9782-1</w:t>
        </w:r>
      </w:hyperlink>
      <w:r>
        <w:t xml:space="preserve">.</w:t>
      </w:r>
    </w:p>
    <w:bookmarkEnd w:id="156"/>
    <w:bookmarkStart w:id="158" w:name="ref-vanderLaan2006tmle"/>
    <w:p>
      <w:pPr>
        <w:pStyle w:val="Bibliography"/>
      </w:pPr>
      <w:r>
        <w:t xml:space="preserve">Laan, Mark J. van der, and Daniel Rubin. 2006.</w:t>
      </w:r>
      <w:r>
        <w:t xml:space="preserve"> </w:t>
      </w:r>
      <w:r>
        <w:t xml:space="preserve">“Targeted Maximum Likelihood Learning.”</w:t>
      </w:r>
      <w:r>
        <w:t xml:space="preserve"> </w:t>
      </w:r>
      <w:r>
        <w:rPr>
          <w:i/>
          <w:iCs/>
        </w:rPr>
        <w:t xml:space="preserve">The International Journal of Biostatistics</w:t>
      </w:r>
      <w:r>
        <w:t xml:space="preserve"> </w:t>
      </w:r>
      <w:r>
        <w:t xml:space="preserve">2 (1).</w:t>
      </w:r>
      <w:r>
        <w:t xml:space="preserve"> </w:t>
      </w:r>
      <w:hyperlink r:id="rId157">
        <w:r>
          <w:rPr>
            <w:rStyle w:val="Hyperlink"/>
          </w:rPr>
          <w:t xml:space="preserve">https://doi.org/10.2202/1557-4679.1043</w:t>
        </w:r>
      </w:hyperlink>
      <w:r>
        <w:t xml:space="preserve">.</w:t>
      </w:r>
    </w:p>
    <w:bookmarkEnd w:id="158"/>
    <w:bookmarkStart w:id="160" w:name="ref-lash2014qba"/>
    <w:p>
      <w:pPr>
        <w:pStyle w:val="Bibliography"/>
      </w:pPr>
      <w:r>
        <w:t xml:space="preserve">Lash, Timothy L., Matthew P. Fox, Richard F. MacLehose, George Maldonado, Lawrence C. McCandless, and Sander Greenland. 2014.</w:t>
      </w:r>
      <w:r>
        <w:t xml:space="preserve"> </w:t>
      </w:r>
      <w:r>
        <w:t xml:space="preserve">“Good Practices for Quantitative Bias Analysis.”</w:t>
      </w:r>
      <w:r>
        <w:t xml:space="preserve"> </w:t>
      </w:r>
      <w:r>
        <w:rPr>
          <w:i/>
          <w:iCs/>
        </w:rPr>
        <w:t xml:space="preserve">International Journal of Epidemiology</w:t>
      </w:r>
      <w:r>
        <w:t xml:space="preserve"> </w:t>
      </w:r>
      <w:r>
        <w:t xml:space="preserve">43 (6): 1969–85.</w:t>
      </w:r>
      <w:r>
        <w:t xml:space="preserve"> </w:t>
      </w:r>
      <w:hyperlink r:id="rId159">
        <w:r>
          <w:rPr>
            <w:rStyle w:val="Hyperlink"/>
          </w:rPr>
          <w:t xml:space="preserve">https://doi.org/10.1093/ije/dyu149</w:t>
        </w:r>
      </w:hyperlink>
      <w:r>
        <w:t xml:space="preserve">.</w:t>
      </w:r>
    </w:p>
    <w:bookmarkEnd w:id="160"/>
    <w:bookmarkStart w:id="162" w:name="ref-levintow2023nco"/>
    <w:p>
      <w:pPr>
        <w:pStyle w:val="Bibliography"/>
      </w:pPr>
      <w:r>
        <w:t xml:space="preserve">Levintow, Sara N., Carrie M. Nielson, Rohini K. Hernandez, and M. Alan Brookhart. 2023.</w:t>
      </w:r>
      <w:r>
        <w:t xml:space="preserve"> </w:t>
      </w:r>
      <w:r>
        <w:t xml:space="preserve">“Pragmatic Considerations for Negative Control Outcome Studies to Guide Non-Randomized Comparative Analyses: A Narrative Review.”</w:t>
      </w:r>
      <w:r>
        <w:t xml:space="preserve"> </w:t>
      </w:r>
      <w:r>
        <w:rPr>
          <w:i/>
          <w:iCs/>
        </w:rPr>
        <w:t xml:space="preserve">Pharmacoepidemiology and Drug Safety</w:t>
      </w:r>
      <w:r>
        <w:t xml:space="preserve"> </w:t>
      </w:r>
      <w:r>
        <w:t xml:space="preserve">32 (6): 599–606.</w:t>
      </w:r>
      <w:r>
        <w:t xml:space="preserve"> </w:t>
      </w:r>
      <w:hyperlink r:id="rId161">
        <w:r>
          <w:rPr>
            <w:rStyle w:val="Hyperlink"/>
          </w:rPr>
          <w:t xml:space="preserve">https://doi.org/10.1002/pds.5623</w:t>
        </w:r>
      </w:hyperlink>
      <w:r>
        <w:t xml:space="preserve">.</w:t>
      </w:r>
    </w:p>
    <w:bookmarkEnd w:id="162"/>
    <w:bookmarkStart w:id="164" w:name="ref-lipsitch2010negative"/>
    <w:p>
      <w:pPr>
        <w:pStyle w:val="Bibliography"/>
      </w:pPr>
      <w:r>
        <w:t xml:space="preserve">Lipsitch, Marc, Eric Tchetgen Tchetgen, and Ted Cohen. 2010.</w:t>
      </w:r>
      <w:r>
        <w:t xml:space="preserve"> </w:t>
      </w:r>
      <w:r>
        <w:t xml:space="preserve">“Negative Controls: A Tool for Detecting Confounding and Bias in Observational Studies.”</w:t>
      </w:r>
      <w:r>
        <w:t xml:space="preserve"> </w:t>
      </w:r>
      <w:r>
        <w:rPr>
          <w:i/>
          <w:iCs/>
        </w:rPr>
        <w:t xml:space="preserve">Epidemiology</w:t>
      </w:r>
      <w:r>
        <w:t xml:space="preserve"> </w:t>
      </w:r>
      <w:r>
        <w:t xml:space="preserve">21 (3): 383–88.</w:t>
      </w:r>
      <w:r>
        <w:t xml:space="preserve"> </w:t>
      </w:r>
      <w:hyperlink r:id="rId163">
        <w:r>
          <w:rPr>
            <w:rStyle w:val="Hyperlink"/>
          </w:rPr>
          <w:t xml:space="preserve">https://doi.org/10.1097/EDE.0b013e3181d61eeb</w:t>
        </w:r>
      </w:hyperlink>
      <w:r>
        <w:t xml:space="preserve">.</w:t>
      </w:r>
    </w:p>
    <w:bookmarkEnd w:id="164"/>
    <w:bookmarkStart w:id="166" w:name="ref-mcgrath2021romiplostim"/>
    <w:p>
      <w:pPr>
        <w:pStyle w:val="Bibliography"/>
      </w:pPr>
      <w:r>
        <w:t xml:space="preserve">McGrath, Leah J., Carrie M. Nielson, Bradley Saul, J. Bradley Layton, Kathleen E. Hurwitz, Mary Wernecke, Michele Jonsson Funk, Brian D. Bradbury, and M. Alan Brookhart. 2021.</w:t>
      </w:r>
      <w:r>
        <w:t xml:space="preserve"> </w:t>
      </w:r>
      <w:r>
        <w:t xml:space="preserve">“Lessons Learned Using Real-World Data to Emulate Randomized Trials: An Application in Romiplostim Treatment for Immune Thrombocytopenia.”</w:t>
      </w:r>
      <w:r>
        <w:t xml:space="preserve"> </w:t>
      </w:r>
      <w:r>
        <w:rPr>
          <w:i/>
          <w:iCs/>
        </w:rPr>
        <w:t xml:space="preserve">Clinical Pharmacology &amp; Therapeutics</w:t>
      </w:r>
      <w:r>
        <w:t xml:space="preserve"> </w:t>
      </w:r>
      <w:r>
        <w:t xml:space="preserve">110 (6): 1570–78.</w:t>
      </w:r>
      <w:r>
        <w:t xml:space="preserve"> </w:t>
      </w:r>
      <w:hyperlink r:id="rId165">
        <w:r>
          <w:rPr>
            <w:rStyle w:val="Hyperlink"/>
          </w:rPr>
          <w:t xml:space="preserve">https://doi.org/10.1002/cpt.2399</w:t>
        </w:r>
      </w:hyperlink>
      <w:r>
        <w:t xml:space="preserve">.</w:t>
      </w:r>
    </w:p>
    <w:bookmarkEnd w:id="166"/>
    <w:bookmarkStart w:id="168" w:name="ref-muntner2024staging"/>
    <w:p>
      <w:pPr>
        <w:pStyle w:val="Bibliography"/>
      </w:pPr>
      <w:r>
        <w:t xml:space="preserve">Muntner, Paul, Rohini K. Hernandez, Shia T. Kent, James E. Browning, David T. Gilbertson, Kathleen E. Hurwitz, Susan S. Jick, et al. 2024.</w:t>
      </w:r>
      <w:r>
        <w:t xml:space="preserve"> </w:t>
      </w:r>
      <w:r>
        <w:t xml:space="preserve">“Staging and Clean Room: Constructs Designed to Facilitate Transparency and Reduce Bias in Comparative Analyses of Real-World Data.”</w:t>
      </w:r>
      <w:r>
        <w:t xml:space="preserve"> </w:t>
      </w:r>
      <w:r>
        <w:rPr>
          <w:i/>
          <w:iCs/>
        </w:rPr>
        <w:t xml:space="preserve">Pharmacoepidemiology and Drug Safety</w:t>
      </w:r>
      <w:r>
        <w:t xml:space="preserve"> </w:t>
      </w:r>
      <w:r>
        <w:t xml:space="preserve">33 (3): e5770.</w:t>
      </w:r>
      <w:r>
        <w:t xml:space="preserve"> </w:t>
      </w:r>
      <w:hyperlink r:id="rId167">
        <w:r>
          <w:rPr>
            <w:rStyle w:val="Hyperlink"/>
          </w:rPr>
          <w:t xml:space="preserve">https://doi.org/10.1002/pds.5770</w:t>
        </w:r>
      </w:hyperlink>
      <w:r>
        <w:t xml:space="preserve">.</w:t>
      </w:r>
    </w:p>
    <w:bookmarkEnd w:id="168"/>
    <w:bookmarkStart w:id="170" w:name="ref-petersen2014roadmap"/>
    <w:p>
      <w:pPr>
        <w:pStyle w:val="Bibliography"/>
      </w:pPr>
      <w:r>
        <w:t xml:space="preserve">Petersen, Maya L., and Mark J. van der Laan. 2014.</w:t>
      </w:r>
      <w:r>
        <w:t xml:space="preserve"> </w:t>
      </w:r>
      <w:r>
        <w:t xml:space="preserve">“Causal Models and Learning from Data: Integrating Causal Modeling and Statistical Estimation.”</w:t>
      </w:r>
      <w:r>
        <w:t xml:space="preserve"> </w:t>
      </w:r>
      <w:r>
        <w:rPr>
          <w:i/>
          <w:iCs/>
        </w:rPr>
        <w:t xml:space="preserve">Epidemiology</w:t>
      </w:r>
      <w:r>
        <w:t xml:space="preserve"> </w:t>
      </w:r>
      <w:r>
        <w:t xml:space="preserve">25 (3): 418–26.</w:t>
      </w:r>
      <w:r>
        <w:t xml:space="preserve"> </w:t>
      </w:r>
      <w:hyperlink r:id="rId169">
        <w:r>
          <w:rPr>
            <w:rStyle w:val="Hyperlink"/>
          </w:rPr>
          <w:t xml:space="preserve">https://doi.org/10.1097/EDE.0000000000000078</w:t>
        </w:r>
      </w:hyperlink>
      <w:r>
        <w:t xml:space="preserve">.</w:t>
      </w:r>
    </w:p>
    <w:bookmarkEnd w:id="170"/>
    <w:bookmarkStart w:id="172" w:name="ref-phillips2023sl"/>
    <w:p>
      <w:pPr>
        <w:pStyle w:val="Bibliography"/>
      </w:pPr>
      <w:r>
        <w:t xml:space="preserve">Phillips, Rachael V., Mark J. van der Laan, Hana Lee, and Susan Gruber. 2023.</w:t>
      </w:r>
      <w:r>
        <w:t xml:space="preserve"> </w:t>
      </w:r>
      <w:r>
        <w:t xml:space="preserve">“Practical Considerations for Specifying a Super Learner.”</w:t>
      </w:r>
      <w:r>
        <w:t xml:space="preserve"> </w:t>
      </w:r>
      <w:r>
        <w:rPr>
          <w:i/>
          <w:iCs/>
        </w:rPr>
        <w:t xml:space="preserve">International Journal of Epidemiology</w:t>
      </w:r>
      <w:r>
        <w:t xml:space="preserve"> </w:t>
      </w:r>
      <w:r>
        <w:t xml:space="preserve">52 (4): 1276–85.</w:t>
      </w:r>
      <w:r>
        <w:t xml:space="preserve"> </w:t>
      </w:r>
      <w:hyperlink r:id="rId171">
        <w:r>
          <w:rPr>
            <w:rStyle w:val="Hyperlink"/>
          </w:rPr>
          <w:t xml:space="preserve">https://doi.org/10.1093/ije/dyad023</w:t>
        </w:r>
      </w:hyperlink>
      <w:r>
        <w:t xml:space="preserve">.</w:t>
      </w:r>
    </w:p>
    <w:bookmarkEnd w:id="172"/>
    <w:bookmarkStart w:id="174" w:name="ref-rcoreteam2024"/>
    <w:p>
      <w:pPr>
        <w:pStyle w:val="Bibliography"/>
      </w:pPr>
      <w:r>
        <w:t xml:space="preserve">R Core Team. 2024.</w:t>
      </w:r>
      <w:r>
        <w:t xml:space="preserve"> </w:t>
      </w:r>
      <w:r>
        <w:t xml:space="preserve">“</w:t>
      </w:r>
      <w:r>
        <w:t xml:space="preserve">R</w:t>
      </w:r>
      <w:r>
        <w:t xml:space="preserve">: A Language and Environment for Statistical Computing.”</w:t>
      </w:r>
      <w:r>
        <w:t xml:space="preserve"> </w:t>
      </w:r>
      <w:r>
        <w:t xml:space="preserve">Vienna, Austria: R Foundation for Statistical Computing.</w:t>
      </w:r>
      <w:r>
        <w:t xml:space="preserve"> </w:t>
      </w:r>
      <w:hyperlink r:id="rId17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174"/>
    <w:bookmarkStart w:id="175" w:name="ref-robins1986newapproach"/>
    <w:p>
      <w:pPr>
        <w:pStyle w:val="Bibliography"/>
      </w:pPr>
      <w:r>
        <w:t xml:space="preserve">Robins, James. 1986.</w:t>
      </w:r>
      <w:r>
        <w:t xml:space="preserve"> </w:t>
      </w:r>
      <w:r>
        <w:t xml:space="preserve">“A New Approach to Causal Inference in Mortality Studies with a Sustained Exposure Period.”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 (9-12): 1393–1512.</w:t>
      </w:r>
    </w:p>
    <w:bookmarkEnd w:id="175"/>
    <w:bookmarkStart w:id="176" w:name="ref-robins1992rotnitzky"/>
    <w:p>
      <w:pPr>
        <w:pStyle w:val="Bibliography"/>
      </w:pPr>
      <w:r>
        <w:t xml:space="preserve">Robins, James M., and Andrea Rotnitzky. 1992.</w:t>
      </w:r>
      <w:r>
        <w:t xml:space="preserve"> </w:t>
      </w:r>
      <w:r>
        <w:t xml:space="preserve">“Recovery of Information and Adjustment for Dependent Censoring Using Surrogate Markers,”</w:t>
      </w:r>
      <w:r>
        <w:t xml:space="preserve"> </w:t>
      </w:r>
      <w:r>
        <w:t xml:space="preserve">297–331.</w:t>
      </w:r>
    </w:p>
    <w:bookmarkEnd w:id="176"/>
    <w:bookmarkStart w:id="177" w:name="ref-schreck2024plasmode"/>
    <w:p>
      <w:pPr>
        <w:pStyle w:val="Bibliography"/>
      </w:pPr>
      <w:r>
        <w:t xml:space="preserve">Schreck, N. et al. 2024.</w:t>
      </w:r>
      <w:r>
        <w:t xml:space="preserve"> </w:t>
      </w:r>
      <w:r>
        <w:t xml:space="preserve">“Plasmode Simulation in Pharmacoepidemiology: A Review of Strengths and Pitfalls.”</w:t>
      </w:r>
      <w:r>
        <w:t xml:space="preserve"> </w:t>
      </w:r>
      <w:r>
        <w:rPr>
          <w:i/>
          <w:iCs/>
        </w:rPr>
        <w:t xml:space="preserve">Pharmacoepidemiology and Drug Safety</w:t>
      </w:r>
      <w:r>
        <w:t xml:space="preserve">.</w:t>
      </w:r>
    </w:p>
    <w:bookmarkEnd w:id="177"/>
    <w:bookmarkStart w:id="179" w:name="ref-schuler2017tmle"/>
    <w:p>
      <w:pPr>
        <w:pStyle w:val="Bibliography"/>
      </w:pPr>
      <w:r>
        <w:t xml:space="preserve">Schuler, Megan S., and Sherri Rose. 2017.</w:t>
      </w:r>
      <w:r>
        <w:t xml:space="preserve"> </w:t>
      </w:r>
      <w:r>
        <w:t xml:space="preserve">“Targeted Maximum Likelihood Estimation for Causal Inference in Observational Studies.”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185 (1): 65–73.</w:t>
      </w:r>
      <w:r>
        <w:t xml:space="preserve"> </w:t>
      </w:r>
      <w:hyperlink r:id="rId178">
        <w:r>
          <w:rPr>
            <w:rStyle w:val="Hyperlink"/>
          </w:rPr>
          <w:t xml:space="preserve">https://doi.org/10.1093/aje/kww165</w:t>
        </w:r>
      </w:hyperlink>
      <w:r>
        <w:t xml:space="preserve">.</w:t>
      </w:r>
    </w:p>
    <w:bookmarkEnd w:id="179"/>
    <w:bookmarkStart w:id="181" w:name="ref-fda2018rwe"/>
    <w:p>
      <w:pPr>
        <w:pStyle w:val="Bibliography"/>
      </w:pPr>
      <w:r>
        <w:t xml:space="preserve">U.S. Food and Drug Administration. 2018.</w:t>
      </w:r>
      <w:r>
        <w:t xml:space="preserve"> </w:t>
      </w:r>
      <w:r>
        <w:t xml:space="preserve">“Framework for</w:t>
      </w:r>
      <w:r>
        <w:t xml:space="preserve"> </w:t>
      </w:r>
      <w:r>
        <w:t xml:space="preserve">FDA’s</w:t>
      </w:r>
      <w:r>
        <w:t xml:space="preserve"> </w:t>
      </w:r>
      <w:r>
        <w:t xml:space="preserve">Real-World Evidence Program.”</w:t>
      </w:r>
      <w:r>
        <w:t xml:space="preserve"> </w:t>
      </w:r>
      <w:hyperlink r:id="rId180">
        <w:r>
          <w:rPr>
            <w:rStyle w:val="Hyperlink"/>
          </w:rPr>
          <w:t xml:space="preserve">https://www.fda.gov/media/120060/download</w:t>
        </w:r>
      </w:hyperlink>
      <w:r>
        <w:t xml:space="preserve">.</w:t>
      </w:r>
    </w:p>
    <w:bookmarkEnd w:id="181"/>
    <w:bookmarkStart w:id="183" w:name="ref-fda2021registries"/>
    <w:p>
      <w:pPr>
        <w:pStyle w:val="Bibliography"/>
      </w:pPr>
      <w:r>
        <w:t xml:space="preserve">———. 2021.</w:t>
      </w:r>
      <w:r>
        <w:t xml:space="preserve"> </w:t>
      </w:r>
      <w:r>
        <w:t xml:space="preserve">“Real-World Data: Assessing Registries to Support Regulatory Decision-Making for Drug and Biological Products.”</w:t>
      </w:r>
      <w:r>
        <w:t xml:space="preserve"> </w:t>
      </w:r>
      <w:hyperlink r:id="rId182">
        <w:r>
          <w:rPr>
            <w:rStyle w:val="Hyperlink"/>
          </w:rPr>
          <w:t xml:space="preserve">https://www.fda.gov/regulatory-information/search-fda-guidance-documents/real-world-data-assessing-registries-support-regulatory-decision-making-drug-and-biological-products</w:t>
        </w:r>
      </w:hyperlink>
      <w:r>
        <w:t xml:space="preserve">.</w:t>
      </w:r>
    </w:p>
    <w:bookmarkEnd w:id="183"/>
    <w:bookmarkStart w:id="185" w:name="ref-fda2024considerations"/>
    <w:p>
      <w:pPr>
        <w:pStyle w:val="Bibliography"/>
      </w:pPr>
      <w:r>
        <w:t xml:space="preserve">———. 2024a.</w:t>
      </w:r>
      <w:r>
        <w:t xml:space="preserve"> </w:t>
      </w:r>
      <w:r>
        <w:t xml:space="preserve">“Considerations for the Use of Real-World Data and Real-World Evidence to Support Regulatory Decision-Making for Drug and Biological Products.”</w:t>
      </w:r>
      <w:r>
        <w:t xml:space="preserve"> </w:t>
      </w:r>
      <w:hyperlink r:id="rId184">
        <w:r>
          <w:rPr>
            <w:rStyle w:val="Hyperlink"/>
          </w:rPr>
          <w:t xml:space="preserve">https://www.fda.gov/regulatory-information/search-fda-guidance-documents/considerations-use-real-world-data-and-real-world-evidence-support-regulatory-decision-making-drug</w:t>
        </w:r>
      </w:hyperlink>
      <w:r>
        <w:t xml:space="preserve">.</w:t>
      </w:r>
    </w:p>
    <w:bookmarkEnd w:id="185"/>
    <w:bookmarkStart w:id="187" w:name="ref-fda2024ehrclaims"/>
    <w:p>
      <w:pPr>
        <w:pStyle w:val="Bibliography"/>
      </w:pPr>
      <w:r>
        <w:t xml:space="preserve">———. 2024b.</w:t>
      </w:r>
      <w:r>
        <w:t xml:space="preserve"> </w:t>
      </w:r>
      <w:r>
        <w:t xml:space="preserve">“Real-World Data: Assessing Electronic Health Records and Medical Claims Data to Support Regulatory Decision-Making for Drug and Biological Products.”</w:t>
      </w:r>
      <w:r>
        <w:t xml:space="preserve"> </w:t>
      </w:r>
      <w:hyperlink r:id="rId186">
        <w:r>
          <w:rPr>
            <w:rStyle w:val="Hyperlink"/>
          </w:rPr>
          <w:t xml:space="preserve">https://www.fda.gov/regulatory-information/search-fda-guidance-documents/real-world-data-assessing-electronic-health-records-and-medical-claims-data-support-regulatory</w:t>
        </w:r>
      </w:hyperlink>
      <w:r>
        <w:t xml:space="preserve">.</w:t>
      </w:r>
    </w:p>
    <w:bookmarkEnd w:id="187"/>
    <w:bookmarkStart w:id="189" w:name="ref-fda2024noninterventional"/>
    <w:p>
      <w:pPr>
        <w:pStyle w:val="Bibliography"/>
      </w:pPr>
      <w:r>
        <w:t xml:space="preserve">———. 2024c.</w:t>
      </w:r>
      <w:r>
        <w:t xml:space="preserve"> </w:t>
      </w:r>
      <w:r>
        <w:t xml:space="preserve">“Real-World Evidence: Considerations Regarding Non-Interventional Studies for Drug and Biological Products.”</w:t>
      </w:r>
      <w:r>
        <w:t xml:space="preserve"> </w:t>
      </w:r>
      <w:hyperlink r:id="rId188">
        <w:r>
          <w:rPr>
            <w:rStyle w:val="Hyperlink"/>
          </w:rPr>
          <w:t xml:space="preserve">https://www.fda.gov/regulatory-information/search-fda-guidance-documents/real-world-evidence-considerations-regarding-non-interventional-studies-drug-and-biological-products</w:t>
        </w:r>
      </w:hyperlink>
      <w:r>
        <w:t xml:space="preserve">.</w:t>
      </w:r>
    </w:p>
    <w:bookmarkEnd w:id="189"/>
    <w:bookmarkStart w:id="191" w:name="ref-vanderWeele2017evalue"/>
    <w:p>
      <w:pPr>
        <w:pStyle w:val="Bibliography"/>
      </w:pPr>
      <w:r>
        <w:t xml:space="preserve">VanderWeele, Tyler J., and Peng Ding. 2017.</w:t>
      </w:r>
      <w:r>
        <w:t xml:space="preserve"> </w:t>
      </w:r>
      <w:r>
        <w:t xml:space="preserve">“Sensitivity Analysis in Observational Research: Introducing the</w:t>
      </w:r>
      <w:r>
        <w:t xml:space="preserve"> </w:t>
      </w:r>
      <w:r>
        <w:t xml:space="preserve">E</w:t>
      </w:r>
      <w:r>
        <w:t xml:space="preserve">-Value.”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167 (4): 268–74.</w:t>
      </w:r>
      <w:r>
        <w:t xml:space="preserve"> </w:t>
      </w:r>
      <w:hyperlink r:id="rId190">
        <w:r>
          <w:rPr>
            <w:rStyle w:val="Hyperlink"/>
          </w:rPr>
          <w:t xml:space="preserve">https://doi.org/10.7326/M16-2607</w:t>
        </w:r>
      </w:hyperlink>
      <w:r>
        <w:t xml:space="preserve">.</w:t>
      </w:r>
    </w:p>
    <w:bookmarkEnd w:id="191"/>
    <w:bookmarkStart w:id="193" w:name="ref-wang2021startrwe"/>
    <w:p>
      <w:pPr>
        <w:pStyle w:val="Bibliography"/>
      </w:pPr>
      <w:r>
        <w:t xml:space="preserve">Wang, Shirley V., Sebastian Pinheiro, Wei Hua, Peter Arlett, Yoshiaki Uyama, Jesse A. Berlin, Dorothee B. Bartels, Kristijan H. Kahler, Lily G. Bessette, and Sebastian Schneeweiss. 2021.</w:t>
      </w:r>
      <w:r>
        <w:t xml:space="preserve"> </w:t>
      </w:r>
      <w:r>
        <w:t xml:space="preserve">“</w:t>
      </w:r>
      <w:r>
        <w:t xml:space="preserve">STaRT-RWE</w:t>
      </w:r>
      <w:r>
        <w:t xml:space="preserve">: Structured Template for Planning and Reporting on the Implementation of Real World Evidence Studies.”</w:t>
      </w:r>
      <w:r>
        <w:t xml:space="preserve"> </w:t>
      </w:r>
      <w:r>
        <w:rPr>
          <w:i/>
          <w:iCs/>
        </w:rPr>
        <w:t xml:space="preserve">BMJ</w:t>
      </w:r>
      <w:r>
        <w:t xml:space="preserve"> </w:t>
      </w:r>
      <w:r>
        <w:t xml:space="preserve">372: m4856.</w:t>
      </w:r>
      <w:r>
        <w:t xml:space="preserve"> </w:t>
      </w:r>
      <w:hyperlink r:id="rId192">
        <w:r>
          <w:rPr>
            <w:rStyle w:val="Hyperlink"/>
          </w:rPr>
          <w:t xml:space="preserve">https://doi.org/10.1136/bmj.m4856</w:t>
        </w:r>
      </w:hyperlink>
      <w:r>
        <w:t xml:space="preserve">.</w:t>
      </w:r>
    </w:p>
    <w:bookmarkEnd w:id="193"/>
    <w:bookmarkStart w:id="195" w:name="ref-wang2023harper"/>
    <w:p>
      <w:pPr>
        <w:pStyle w:val="Bibliography"/>
      </w:pPr>
      <w:r>
        <w:t xml:space="preserve">Wang, Shirley V., Sushama Sreedhara, and Sebastian Schneeweiss. 2023.</w:t>
      </w:r>
      <w:r>
        <w:t xml:space="preserve"> </w:t>
      </w:r>
      <w:r>
        <w:t xml:space="preserve">“</w:t>
      </w:r>
      <w:r>
        <w:t xml:space="preserve">HARPER</w:t>
      </w:r>
      <w:r>
        <w:t xml:space="preserve">: Recommendations for the Development and Reporting of Pharmacoepidemiologic Studies Using Real-World Data.”</w:t>
      </w:r>
      <w:r>
        <w:t xml:space="preserve"> </w:t>
      </w:r>
      <w:r>
        <w:rPr>
          <w:i/>
          <w:iCs/>
        </w:rPr>
        <w:t xml:space="preserve">Pharmacoepidemiology and Drug Safety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https://doi.org/10.1002/pds.5642</w:t>
        </w:r>
      </w:hyperlink>
      <w:r>
        <w:t xml:space="preserve">.</w:t>
      </w:r>
    </w:p>
    <w:bookmarkEnd w:id="195"/>
    <w:bookmarkStart w:id="196" w:name="ref-lmtppackage2021"/>
    <w:p>
      <w:pPr>
        <w:pStyle w:val="Bibliography"/>
      </w:pPr>
      <w:r>
        <w:t xml:space="preserve">Williams, Nicholas T., and Iván Dı́az. 2021.</w:t>
      </w:r>
      <w:r>
        <w:t xml:space="preserve"> </w:t>
      </w:r>
      <w:r>
        <w:t xml:space="preserve">“Lmtp: Non-Parametric Causal Effects of Feasible Interventions Based on Modified Treatment Policies.”</w:t>
      </w:r>
    </w:p>
    <w:bookmarkEnd w:id="196"/>
    <w:bookmarkStart w:id="197" w:name="ref-xu2020bootstrap"/>
    <w:p>
      <w:pPr>
        <w:pStyle w:val="Bibliography"/>
      </w:pPr>
      <w:r>
        <w:t xml:space="preserve">Xu, Lin, Chris Gotwalt, Yili Hong, Caleb B. King, and William Q. Meeker. 2020.</w:t>
      </w:r>
      <w:r>
        <w:t xml:space="preserve"> </w:t>
      </w:r>
      <w:r>
        <w:t xml:space="preserve">“Applications of the Fractional-Random-Weight Bootstrap.”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74 (4): 345–58.</w:t>
      </w:r>
    </w:p>
    <w:bookmarkEnd w:id="197"/>
    <w:bookmarkStart w:id="198" w:name="ref-zheng2011crossvalidated"/>
    <w:p>
      <w:pPr>
        <w:pStyle w:val="Bibliography"/>
      </w:pPr>
      <w:r>
        <w:t xml:space="preserve">Zheng, Wenjing, and Mark J. van der Laan. 2011.</w:t>
      </w:r>
      <w:r>
        <w:t xml:space="preserve"> </w:t>
      </w:r>
      <w:r>
        <w:t xml:space="preserve">“Cross-Validated Targeted Minimum-Loss-Based Estimation.”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Targeted Learning: Causal Inference for Observational and Experimental Data</w:t>
      </w:r>
      <w:r>
        <w:t xml:space="preserve">, 459–74. Springer.</w:t>
      </w:r>
    </w:p>
    <w:bookmarkEnd w:id="198"/>
    <w:bookmarkEnd w:id="199"/>
    <w:p>
      <w:pPr>
        <w:pStyle w:val="SourceCode"/>
      </w:pPr>
      <w:r>
        <w:rPr>
          <w:rStyle w:val="VerbatimChar"/>
        </w:rPr>
        <w:t xml:space="preserve">R&gt;  R version 4.4.2 (2024-10-31 ucrt)</w:t>
      </w:r>
      <w:r>
        <w:br/>
      </w:r>
      <w:r>
        <w:rPr>
          <w:rStyle w:val="VerbatimChar"/>
        </w:rPr>
        <w:t xml:space="preserve">R&gt;  Platform: x86_64-w64-mingw32/x64</w:t>
      </w:r>
      <w:r>
        <w:br/>
      </w:r>
      <w:r>
        <w:rPr>
          <w:rStyle w:val="VerbatimChar"/>
        </w:rPr>
        <w:t xml:space="preserve">R&gt;  Running under: Windows 11 x64 (build 26200)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Matrix products: default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locale:</w:t>
      </w:r>
      <w:r>
        <w:br/>
      </w:r>
      <w:r>
        <w:rPr>
          <w:rStyle w:val="VerbatimChar"/>
        </w:rPr>
        <w:t xml:space="preserve">R&gt;  [1] LC_COLLATE=English_United States.utf8 </w:t>
      </w:r>
      <w:r>
        <w:br/>
      </w:r>
      <w:r>
        <w:rPr>
          <w:rStyle w:val="VerbatimChar"/>
        </w:rPr>
        <w:t xml:space="preserve">R&gt;  [2] LC_CTYPE=English_United States.utf8   </w:t>
      </w:r>
      <w:r>
        <w:br/>
      </w:r>
      <w:r>
        <w:rPr>
          <w:rStyle w:val="VerbatimChar"/>
        </w:rPr>
        <w:t xml:space="preserve">R&gt;  [3] LC_MONETARY=English_United States.utf8</w:t>
      </w:r>
      <w:r>
        <w:br/>
      </w:r>
      <w:r>
        <w:rPr>
          <w:rStyle w:val="VerbatimChar"/>
        </w:rPr>
        <w:t xml:space="preserve">R&gt;  [4] LC_NUMERIC=C                          </w:t>
      </w:r>
      <w:r>
        <w:br/>
      </w:r>
      <w:r>
        <w:rPr>
          <w:rStyle w:val="VerbatimChar"/>
        </w:rPr>
        <w:t xml:space="preserve">R&gt;  [5] LC_TIME=English_United States.utf8    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time zone: America/Los_Angeles</w:t>
      </w:r>
      <w:r>
        <w:br/>
      </w:r>
      <w:r>
        <w:rPr>
          <w:rStyle w:val="VerbatimChar"/>
        </w:rPr>
        <w:t xml:space="preserve">R&gt;  tzcode source: internal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attached base packages:</w:t>
      </w:r>
      <w:r>
        <w:br/>
      </w:r>
      <w:r>
        <w:rPr>
          <w:rStyle w:val="VerbatimChar"/>
        </w:rPr>
        <w:t xml:space="preserve">R&gt;  [1] stats     graphics  grDevices utils     datasets  methods   base     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other attached packages:</w:t>
      </w:r>
      <w:r>
        <w:br/>
      </w:r>
      <w:r>
        <w:rPr>
          <w:rStyle w:val="VerbatimChar"/>
        </w:rPr>
        <w:t xml:space="preserve">R&gt;  [1] cleanTMLE_0.1.1 ggplot2_4.0.2  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loaded via a namespace (and not attached):</w:t>
      </w:r>
      <w:r>
        <w:br/>
      </w:r>
      <w:r>
        <w:rPr>
          <w:rStyle w:val="VerbatimChar"/>
        </w:rPr>
        <w:t xml:space="preserve">R&gt;   [1] Matrix_1.7-1       gtable_0.3.6       jsonlite_2.0.0     dplyr_1.1.4       </w:t>
      </w:r>
      <w:r>
        <w:br/>
      </w:r>
      <w:r>
        <w:rPr>
          <w:rStyle w:val="VerbatimChar"/>
        </w:rPr>
        <w:t xml:space="preserve">R&gt;   [5] compiler_4.4.2     tidyselect_1.2.1   gridExtra_2.3      splines_4.4.2     </w:t>
      </w:r>
      <w:r>
        <w:br/>
      </w:r>
      <w:r>
        <w:rPr>
          <w:rStyle w:val="VerbatimChar"/>
        </w:rPr>
        <w:t xml:space="preserve">R&gt;   [9] scales_1.4.0       yaml_2.3.10        fastmap_1.2.0      lattice_0.22-6    </w:t>
      </w:r>
      <w:r>
        <w:br/>
      </w:r>
      <w:r>
        <w:rPr>
          <w:rStyle w:val="VerbatimChar"/>
        </w:rPr>
        <w:t xml:space="preserve">R&gt;  [13] R6_2.6.1           labeling_0.4.3     generics_0.1.3     knitr_1.49        </w:t>
      </w:r>
      <w:r>
        <w:br/>
      </w:r>
      <w:r>
        <w:rPr>
          <w:rStyle w:val="VerbatimChar"/>
        </w:rPr>
        <w:t xml:space="preserve">R&gt;  [17] tibble_3.2.1       pillar_1.9.0       RColorBrewer_1.1-3 rlang_1.1.7       </w:t>
      </w:r>
      <w:r>
        <w:br/>
      </w:r>
      <w:r>
        <w:rPr>
          <w:rStyle w:val="VerbatimChar"/>
        </w:rPr>
        <w:t xml:space="preserve">R&gt;  [21] utf8_1.2.4         xfun_0.49          S7_0.2.1           cli_3.6.5         </w:t>
      </w:r>
      <w:r>
        <w:br/>
      </w:r>
      <w:r>
        <w:rPr>
          <w:rStyle w:val="VerbatimChar"/>
        </w:rPr>
        <w:t xml:space="preserve">R&gt;  [25] withr_3.0.2        magrittr_2.0.3     digest_0.6.37      grid_4.4.2        </w:t>
      </w:r>
      <w:r>
        <w:br/>
      </w:r>
      <w:r>
        <w:rPr>
          <w:rStyle w:val="VerbatimChar"/>
        </w:rPr>
        <w:t xml:space="preserve">R&gt;  [29] sandwich_3.1-1     lifecycle_1.0.5    vctrs_0.7.1        evaluate_1.0.5    </w:t>
      </w:r>
      <w:r>
        <w:br/>
      </w:r>
      <w:r>
        <w:rPr>
          <w:rStyle w:val="VerbatimChar"/>
        </w:rPr>
        <w:t xml:space="preserve">R&gt;  [33] glue_1.8.0         farver_2.1.2       zoo_1.8-15         survival_3.7-0    </w:t>
      </w:r>
      <w:r>
        <w:br/>
      </w:r>
      <w:r>
        <w:rPr>
          <w:rStyle w:val="VerbatimChar"/>
        </w:rPr>
        <w:t xml:space="preserve">R&gt;  [37] fansi_1.0.6        rmarkdown_2.29     tools_4.4.2        pkgconfig_2.0.3   </w:t>
      </w:r>
      <w:r>
        <w:br/>
      </w:r>
      <w:r>
        <w:rPr>
          <w:rStyle w:val="VerbatimChar"/>
        </w:rPr>
        <w:t xml:space="preserve">R&gt;  [41] htmltools_0.5.8.1</w:t>
      </w:r>
    </w:p>
    <w:bookmarkEnd w:id="2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3" Target="media/rId73.png" /><Relationship Type="http://schemas.openxmlformats.org/officeDocument/2006/relationships/image" Id="rId84" Target="media/rId8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165" Target="https://doi.org/10.1002/cpt.2399" TargetMode="External" /><Relationship Type="http://schemas.openxmlformats.org/officeDocument/2006/relationships/hyperlink" Id="rId136" Target="https://doi.org/10.1002/cpt.2466" TargetMode="External" /><Relationship Type="http://schemas.openxmlformats.org/officeDocument/2006/relationships/hyperlink" Id="rId138" Target="https://doi.org/10.1002/cpt.2883" TargetMode="External" /><Relationship Type="http://schemas.openxmlformats.org/officeDocument/2006/relationships/hyperlink" Id="rId161" Target="https://doi.org/10.1002/pds.5623" TargetMode="External" /><Relationship Type="http://schemas.openxmlformats.org/officeDocument/2006/relationships/hyperlink" Id="rId194" Target="https://doi.org/10.1002/pds.5642" TargetMode="External" /><Relationship Type="http://schemas.openxmlformats.org/officeDocument/2006/relationships/hyperlink" Id="rId167" Target="https://doi.org/10.1002/pds.5770" TargetMode="External" /><Relationship Type="http://schemas.openxmlformats.org/officeDocument/2006/relationships/hyperlink" Id="rId155" Target="https://doi.org/10.1007/978-1-4419-9782-1" TargetMode="External" /><Relationship Type="http://schemas.openxmlformats.org/officeDocument/2006/relationships/hyperlink" Id="rId134" Target="https://doi.org/10.1016/j.csda.2013.10.018" TargetMode="External" /><Relationship Type="http://schemas.openxmlformats.org/officeDocument/2006/relationships/hyperlink" Id="rId125" Target="https://doi.org/10.1017/cts.2023.635" TargetMode="External" /><Relationship Type="http://schemas.openxmlformats.org/officeDocument/2006/relationships/hyperlink" Id="rId140" Target="https://doi.org/10.1080/19466315.2022.2116104" TargetMode="External" /><Relationship Type="http://schemas.openxmlformats.org/officeDocument/2006/relationships/hyperlink" Id="rId144" Target="https://doi.org/10.1093/aje/kwv254" TargetMode="External" /><Relationship Type="http://schemas.openxmlformats.org/officeDocument/2006/relationships/hyperlink" Id="rId178" Target="https://doi.org/10.1093/aje/kww165" TargetMode="External" /><Relationship Type="http://schemas.openxmlformats.org/officeDocument/2006/relationships/hyperlink" Id="rId171" Target="https://doi.org/10.1093/ije/dyad023" TargetMode="External" /><Relationship Type="http://schemas.openxmlformats.org/officeDocument/2006/relationships/hyperlink" Id="rId159" Target="https://doi.org/10.1093/ije/dyu149" TargetMode="External" /><Relationship Type="http://schemas.openxmlformats.org/officeDocument/2006/relationships/hyperlink" Id="rId169" Target="https://doi.org/10.1097/EDE.0000000000000078" TargetMode="External" /><Relationship Type="http://schemas.openxmlformats.org/officeDocument/2006/relationships/hyperlink" Id="rId163" Target="https://doi.org/10.1097/EDE.0b013e3181d61eeb" TargetMode="External" /><Relationship Type="http://schemas.openxmlformats.org/officeDocument/2006/relationships/hyperlink" Id="rId123" Target="https://doi.org/10.1111/ectj.12097" TargetMode="External" /><Relationship Type="http://schemas.openxmlformats.org/officeDocument/2006/relationships/hyperlink" Id="rId121" Target="https://doi.org/10.1136/bmj-2024-080483" TargetMode="External" /><Relationship Type="http://schemas.openxmlformats.org/officeDocument/2006/relationships/hyperlink" Id="rId192" Target="https://doi.org/10.1136/bmj.m4856" TargetMode="External" /><Relationship Type="http://schemas.openxmlformats.org/officeDocument/2006/relationships/hyperlink" Id="rId142" Target="https://doi.org/10.1186/s12874-024-02244-z" TargetMode="External" /><Relationship Type="http://schemas.openxmlformats.org/officeDocument/2006/relationships/hyperlink" Id="rId150" Target="https://doi.org/10.13063/2327-9214.1244" TargetMode="External" /><Relationship Type="http://schemas.openxmlformats.org/officeDocument/2006/relationships/hyperlink" Id="rId127" Target="https://doi.org/10.1515/ijb-2013-0004" TargetMode="External" /><Relationship Type="http://schemas.openxmlformats.org/officeDocument/2006/relationships/hyperlink" Id="rId153" Target="https://doi.org/10.2202/1544-6115.1309" TargetMode="External" /><Relationship Type="http://schemas.openxmlformats.org/officeDocument/2006/relationships/hyperlink" Id="rId157" Target="https://doi.org/10.2202/1557-4679.1043" TargetMode="External" /><Relationship Type="http://schemas.openxmlformats.org/officeDocument/2006/relationships/hyperlink" Id="rId190" Target="https://doi.org/10.7326/M16-2607" TargetMode="External" /><Relationship Type="http://schemas.openxmlformats.org/officeDocument/2006/relationships/hyperlink" Id="rId116" Target="https://github.com/amertens/clean-room-sim" TargetMode="External" /><Relationship Type="http://schemas.openxmlformats.org/officeDocument/2006/relationships/hyperlink" Id="rId115" Target="https://github.com/amertens/cleanTMLE" TargetMode="External" /><Relationship Type="http://schemas.openxmlformats.org/officeDocument/2006/relationships/hyperlink" Id="rId173" Target="https://www.R-project.org/" TargetMode="External" /><Relationship Type="http://schemas.openxmlformats.org/officeDocument/2006/relationships/hyperlink" Id="rId131" Target="https://www.ema.europa.eu/en/about-us/how-we-work/big-data/real-world-evidence" TargetMode="External" /><Relationship Type="http://schemas.openxmlformats.org/officeDocument/2006/relationships/hyperlink" Id="rId129" Target="https://www.ema.europa.eu/en/guideline-registry-based-studies-scientific-guideline" TargetMode="External" /><Relationship Type="http://schemas.openxmlformats.org/officeDocument/2006/relationships/hyperlink" Id="rId180" Target="https://www.fda.gov/media/120060/download" TargetMode="External" /><Relationship Type="http://schemas.openxmlformats.org/officeDocument/2006/relationships/hyperlink" Id="rId184" Target="https://www.fda.gov/regulatory-information/search-fda-guidance-documents/considerations-use-real-world-data-and-real-world-evidence-support-regulatory-decision-making-drug" TargetMode="External" /><Relationship Type="http://schemas.openxmlformats.org/officeDocument/2006/relationships/hyperlink" Id="rId186" Target="https://www.fda.gov/regulatory-information/search-fda-guidance-documents/real-world-data-assessing-electronic-health-records-and-medical-claims-data-support-regulatory" TargetMode="External" /><Relationship Type="http://schemas.openxmlformats.org/officeDocument/2006/relationships/hyperlink" Id="rId182" Target="https://www.fda.gov/regulatory-information/search-fda-guidance-documents/real-world-data-assessing-registries-support-regulatory-decision-making-drug-and-biological-products" TargetMode="External" /><Relationship Type="http://schemas.openxmlformats.org/officeDocument/2006/relationships/hyperlink" Id="rId188" Target="https://www.fda.gov/regulatory-information/search-fda-guidance-documents/real-world-evidence-considerations-regarding-non-interventional-studies-drug-and-biological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https://doi.org/10.1002/cpt.2399" TargetMode="External" /><Relationship Type="http://schemas.openxmlformats.org/officeDocument/2006/relationships/hyperlink" Id="rId136" Target="https://doi.org/10.1002/cpt.2466" TargetMode="External" /><Relationship Type="http://schemas.openxmlformats.org/officeDocument/2006/relationships/hyperlink" Id="rId138" Target="https://doi.org/10.1002/cpt.2883" TargetMode="External" /><Relationship Type="http://schemas.openxmlformats.org/officeDocument/2006/relationships/hyperlink" Id="rId161" Target="https://doi.org/10.1002/pds.5623" TargetMode="External" /><Relationship Type="http://schemas.openxmlformats.org/officeDocument/2006/relationships/hyperlink" Id="rId194" Target="https://doi.org/10.1002/pds.5642" TargetMode="External" /><Relationship Type="http://schemas.openxmlformats.org/officeDocument/2006/relationships/hyperlink" Id="rId167" Target="https://doi.org/10.1002/pds.5770" TargetMode="External" /><Relationship Type="http://schemas.openxmlformats.org/officeDocument/2006/relationships/hyperlink" Id="rId155" Target="https://doi.org/10.1007/978-1-4419-9782-1" TargetMode="External" /><Relationship Type="http://schemas.openxmlformats.org/officeDocument/2006/relationships/hyperlink" Id="rId134" Target="https://doi.org/10.1016/j.csda.2013.10.018" TargetMode="External" /><Relationship Type="http://schemas.openxmlformats.org/officeDocument/2006/relationships/hyperlink" Id="rId125" Target="https://doi.org/10.1017/cts.2023.635" TargetMode="External" /><Relationship Type="http://schemas.openxmlformats.org/officeDocument/2006/relationships/hyperlink" Id="rId140" Target="https://doi.org/10.1080/19466315.2022.2116104" TargetMode="External" /><Relationship Type="http://schemas.openxmlformats.org/officeDocument/2006/relationships/hyperlink" Id="rId144" Target="https://doi.org/10.1093/aje/kwv254" TargetMode="External" /><Relationship Type="http://schemas.openxmlformats.org/officeDocument/2006/relationships/hyperlink" Id="rId178" Target="https://doi.org/10.1093/aje/kww165" TargetMode="External" /><Relationship Type="http://schemas.openxmlformats.org/officeDocument/2006/relationships/hyperlink" Id="rId171" Target="https://doi.org/10.1093/ije/dyad023" TargetMode="External" /><Relationship Type="http://schemas.openxmlformats.org/officeDocument/2006/relationships/hyperlink" Id="rId159" Target="https://doi.org/10.1093/ije/dyu149" TargetMode="External" /><Relationship Type="http://schemas.openxmlformats.org/officeDocument/2006/relationships/hyperlink" Id="rId169" Target="https://doi.org/10.1097/EDE.0000000000000078" TargetMode="External" /><Relationship Type="http://schemas.openxmlformats.org/officeDocument/2006/relationships/hyperlink" Id="rId163" Target="https://doi.org/10.1097/EDE.0b013e3181d61eeb" TargetMode="External" /><Relationship Type="http://schemas.openxmlformats.org/officeDocument/2006/relationships/hyperlink" Id="rId123" Target="https://doi.org/10.1111/ectj.12097" TargetMode="External" /><Relationship Type="http://schemas.openxmlformats.org/officeDocument/2006/relationships/hyperlink" Id="rId121" Target="https://doi.org/10.1136/bmj-2024-080483" TargetMode="External" /><Relationship Type="http://schemas.openxmlformats.org/officeDocument/2006/relationships/hyperlink" Id="rId192" Target="https://doi.org/10.1136/bmj.m4856" TargetMode="External" /><Relationship Type="http://schemas.openxmlformats.org/officeDocument/2006/relationships/hyperlink" Id="rId142" Target="https://doi.org/10.1186/s12874-024-02244-z" TargetMode="External" /><Relationship Type="http://schemas.openxmlformats.org/officeDocument/2006/relationships/hyperlink" Id="rId150" Target="https://doi.org/10.13063/2327-9214.1244" TargetMode="External" /><Relationship Type="http://schemas.openxmlformats.org/officeDocument/2006/relationships/hyperlink" Id="rId127" Target="https://doi.org/10.1515/ijb-2013-0004" TargetMode="External" /><Relationship Type="http://schemas.openxmlformats.org/officeDocument/2006/relationships/hyperlink" Id="rId153" Target="https://doi.org/10.2202/1544-6115.1309" TargetMode="External" /><Relationship Type="http://schemas.openxmlformats.org/officeDocument/2006/relationships/hyperlink" Id="rId157" Target="https://doi.org/10.2202/1557-4679.1043" TargetMode="External" /><Relationship Type="http://schemas.openxmlformats.org/officeDocument/2006/relationships/hyperlink" Id="rId190" Target="https://doi.org/10.7326/M16-2607" TargetMode="External" /><Relationship Type="http://schemas.openxmlformats.org/officeDocument/2006/relationships/hyperlink" Id="rId116" Target="https://github.com/amertens/clean-room-sim" TargetMode="External" /><Relationship Type="http://schemas.openxmlformats.org/officeDocument/2006/relationships/hyperlink" Id="rId115" Target="https://github.com/amertens/cleanTMLE" TargetMode="External" /><Relationship Type="http://schemas.openxmlformats.org/officeDocument/2006/relationships/hyperlink" Id="rId173" Target="https://www.R-project.org/" TargetMode="External" /><Relationship Type="http://schemas.openxmlformats.org/officeDocument/2006/relationships/hyperlink" Id="rId131" Target="https://www.ema.europa.eu/en/about-us/how-we-work/big-data/real-world-evidence" TargetMode="External" /><Relationship Type="http://schemas.openxmlformats.org/officeDocument/2006/relationships/hyperlink" Id="rId129" Target="https://www.ema.europa.eu/en/guideline-registry-based-studies-scientific-guideline" TargetMode="External" /><Relationship Type="http://schemas.openxmlformats.org/officeDocument/2006/relationships/hyperlink" Id="rId180" Target="https://www.fda.gov/media/120060/download" TargetMode="External" /><Relationship Type="http://schemas.openxmlformats.org/officeDocument/2006/relationships/hyperlink" Id="rId184" Target="https://www.fda.gov/regulatory-information/search-fda-guidance-documents/considerations-use-real-world-data-and-real-world-evidence-support-regulatory-decision-making-drug" TargetMode="External" /><Relationship Type="http://schemas.openxmlformats.org/officeDocument/2006/relationships/hyperlink" Id="rId186" Target="https://www.fda.gov/regulatory-information/search-fda-guidance-documents/real-world-data-assessing-electronic-health-records-and-medical-claims-data-support-regulatory" TargetMode="External" /><Relationship Type="http://schemas.openxmlformats.org/officeDocument/2006/relationships/hyperlink" Id="rId182" Target="https://www.fda.gov/regulatory-information/search-fda-guidance-documents/real-world-data-assessing-registries-support-regulatory-decision-making-drug-and-biological-products" TargetMode="External" /><Relationship Type="http://schemas.openxmlformats.org/officeDocument/2006/relationships/hyperlink" Id="rId188" Target="https://www.fda.gov/regulatory-information/search-fda-guidance-documents/real-world-evidence-considerations-regarding-non-interventional-studies-drug-and-biological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cleanTMLE: An R Package for Staged, Outcome-Blind Targeted Learning with Plasmode Data-Quality Stress Testing</dc:title>
  <dc:creator>Andrew Mertens</dc:creator>
  <cp:keywords/>
  <dcterms:created xsi:type="dcterms:W3CDTF">2026-05-07T16:00:06Z</dcterms:created>
  <dcterms:modified xsi:type="dcterms:W3CDTF">2026-05-07T16:00:06Z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-hanging-indent">
    <vt:lpwstr>True</vt:lpwstr>
  </property>
  <property fmtid="{D5CDD505-2E9C-101B-9397-08002B2CF9AE}" pid="9" name="date">
    <vt:lpwstr>2026-05-07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