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3.png" ContentType="image/png"/>
  <Override PartName="/word/media/rId84.png" ContentType="image/png"/>
  <Override PartName="/word/media/rId70.png" ContentType="image/png"/>
  <Override PartName="/word/media/rId76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We present cleanTMLE, an R package that operationalises a staged,</w:t>
      </w:r>
      <w:r>
        <w:t xml:space="preserve"> </w:t>
      </w:r>
      <w:r>
        <w:t xml:space="preserve">outcome-blind targeted-learning workflow for binary point-treatment</w:t>
      </w:r>
      <w:r>
        <w:t xml:space="preserve"> </w:t>
      </w:r>
      <w:r>
        <w:t xml:space="preserve">studies. The package is situated inside the causal roadmap:</w:t>
      </w:r>
      <w:r>
        <w:t xml:space="preserve"> </w:t>
      </w:r>
      <w:r>
        <w:t xml:space="preserve">investigators first define the causal question, observed data,</w:t>
      </w:r>
      <w:r>
        <w:t xml:space="preserve"> </w:t>
      </w:r>
      <w:r>
        <w:t xml:space="preserve">identification assumptions, statistical estimand, and candidate</w:t>
      </w:r>
      <w:r>
        <w:t xml:space="preserve"> </w:t>
      </w:r>
      <w:r>
        <w:t xml:space="preserve">estimators, then use outcome-blind simulations to compare candidate</w:t>
      </w:r>
      <w:r>
        <w:t xml:space="preserve"> </w:t>
      </w:r>
      <w:r>
        <w:t xml:space="preserve">estimators before examining the observed treatment-outcome</w:t>
      </w:r>
      <w:r>
        <w:t xml:space="preserve"> </w:t>
      </w:r>
      <w:r>
        <w:t xml:space="preserve">association. cleanTMLE extends this workflow with a plasmode</w:t>
      </w:r>
      <w:r>
        <w:t xml:space="preserve"> </w:t>
      </w:r>
      <w:r>
        <w:t xml:space="preserve">data-quality stress test. Using the empirical covariate and</w:t>
      </w:r>
      <w:r>
        <w:t xml:space="preserve"> </w:t>
      </w:r>
      <w:r>
        <w:t xml:space="preserve">treatment structure, the package generates synthetic outcomes and</w:t>
      </w:r>
      <w:r>
        <w:t xml:space="preserve"> </w:t>
      </w:r>
      <w:r>
        <w:t xml:space="preserve">evaluates candidate estimators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can</w:t>
      </w:r>
      <w:r>
        <w:t xml:space="preserve"> </w:t>
      </w:r>
      <w:r>
        <w:t xml:space="preserve">identify settings where the available data do not support the</w:t>
      </w:r>
      <w:r>
        <w:t xml:space="preserve"> </w:t>
      </w:r>
      <w:r>
        <w:t xml:space="preserve">causal estimand.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also demonstrate the workflow in the Rescue.Co Kenya Trauma</w:t>
      </w:r>
      <w:r>
        <w:t xml:space="preserve"> </w:t>
      </w:r>
      <w:r>
        <w:t xml:space="preserve">Registry (n = 1,693; 24.6 % outcome missingness). Six estimators</w:t>
      </w:r>
      <w:r>
        <w:t xml:space="preserve"> </w:t>
      </w:r>
      <w:r>
        <w:t xml:space="preserve">agreed on direction, with risk differences from 0.026 to 0.037 in</w:t>
      </w:r>
      <w:r>
        <w:t xml:space="preserve"> </w:t>
      </w:r>
      <w:r>
        <w:t xml:space="preserve">favour of Rescue.Co transport, while the prespecified primary TMLE</w:t>
      </w:r>
      <w:r>
        <w:t xml:space="preserve"> </w:t>
      </w:r>
      <w:r>
        <w:t xml:space="preserve">interval crossed zero. This case study is a workflow demonstration,</w:t>
      </w:r>
      <w:r>
        <w:t xml:space="preserve"> </w:t>
      </w:r>
      <w:r>
        <w:t xml:space="preserve">not a causal claim. cleanTMLE does not replace target-trial design,</w:t>
      </w:r>
      <w:r>
        <w:t xml:space="preserve"> </w:t>
      </w:r>
      <w:r>
        <w:t xml:space="preserve">fit-for-purpose data review, validation studies, independent</w:t>
      </w:r>
      <w:r>
        <w:t xml:space="preserve"> </w:t>
      </w:r>
      <w:r>
        <w:t xml:space="preserve">governance, or post-outcome sensitivity analyses. Its contribution</w:t>
      </w:r>
      <w:r>
        <w:t xml:space="preserve"> </w:t>
      </w:r>
      <w:r>
        <w:t xml:space="preserve">is narrower: it turns prespecified targeted-learning decisions,</w:t>
      </w:r>
      <w:r>
        <w:t xml:space="preserve"> </w:t>
      </w:r>
      <w:r>
        <w:t xml:space="preserve">outcome-blind estimator selection, and data-quality stress testing</w:t>
      </w:r>
      <w:r>
        <w:t xml:space="preserve"> </w:t>
      </w:r>
      <w:r>
        <w:t xml:space="preserve">into reproducible, auditable software artifacts.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This is the strongest claim we make for</w:t>
      </w:r>
      <w:r>
        <w:t xml:space="preserve"> </w:t>
      </w:r>
      <w:r>
        <w:t xml:space="preserve">cleanTMLE: it links candidate-estimator selection and</w:t>
      </w:r>
      <w:r>
        <w:t xml:space="preserve"> </w:t>
      </w:r>
      <w:r>
        <w:t xml:space="preserve">fit-for-purpose concerns on a single quantitative scale before</w:t>
      </w:r>
      <w:r>
        <w:t xml:space="preserve"> </w:t>
      </w:r>
      <w:r>
        <w:t xml:space="preserve">outcome access.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operationalises an</w:t>
      </w:r>
      <w:r>
        <w:t xml:space="preserve"> </w:t>
      </w:r>
      <w:r>
        <w:t xml:space="preserve">outcome-blind staged workflow for the estimator-selection and</w:t>
      </w:r>
      <w:r>
        <w:t xml:space="preserve"> </w:t>
      </w:r>
      <w:r>
        <w:t xml:space="preserve">stress-testing steps of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proceed, review, or stop, an</w:t>
      </w:r>
      <w:r>
        <w:t xml:space="preserve"> </w:t>
      </w:r>
      <w:r>
        <w:t xml:space="preserve">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 Section §</w:t>
      </w:r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 Table</w:t>
      </w:r>
      <w:r>
        <w:t xml:space="preserve"> </w:t>
      </w:r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</w:t>
            </w:r>
            <w:r>
              <w:t xml:space="preserve"> </w:t>
            </w:r>
            <w:r>
              <w:rPr>
                <w:b/>
                <w:bCs/>
              </w:rPr>
              <w:t xml:space="preserve">MCAR</w:t>
            </w:r>
            <w:r>
              <w:t xml:space="preserve"> </w:t>
            </w:r>
            <w:r>
              <w:t xml:space="preserve">outcome missingness handled</w:t>
            </w:r>
            <w:r>
              <w:t xml:space="preserve"> </w:t>
            </w:r>
            <w:r>
              <w:t xml:space="preserve">by IPCW.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 The proprietary</w:t>
            </w:r>
            <w:r>
              <w:t xml:space="preserve"> </w:t>
            </w:r>
            <w:r>
              <w:rPr>
                <w:rStyle w:val="VerbatimChar"/>
              </w:rPr>
              <w:t xml:space="preserve">causalRisk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(Brookhart, Breskin, and Eledath 2024)</w:t>
            </w:r>
            <w:r>
              <w:t xml:space="preserve"> </w:t>
            </w:r>
            <w:r>
              <w:t xml:space="preserve">is an alternative</w:t>
            </w:r>
            <w:r>
              <w:t xml:space="preserve"> </w:t>
            </w:r>
            <w:r>
              <w:t xml:space="preserve">implementation of related cumulative-risk estimators.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(§</w:t>
      </w:r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as a proprietary alternative</w:t>
      </w:r>
      <w:r>
        <w:t xml:space="preserve"> </w:t>
      </w:r>
      <w:r>
        <w:t xml:space="preserve">implementation of related cumulative-risk estimators with which</w:t>
      </w:r>
      <w:r>
        <w:t xml:space="preserve"> </w:t>
      </w:r>
      <w:r>
        <w:t xml:space="preserve">cleanTMLE shares conceptual structure but not code. The next</w:t>
      </w:r>
      <w:r>
        <w:t xml:space="preserve"> </w:t>
      </w:r>
      <w:r>
        <w:t xml:space="preserve">section (§</w:t>
      </w:r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r>
        <w:t xml:space="preserve">Table</w:t>
      </w:r>
      <w:r>
        <w:t xml:space="preserve"> </w:t>
      </w:r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4566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456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regulatory-grade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r>
        <w:t xml:space="preserve">Table</w:t>
      </w:r>
      <w:r>
        <w:t xml:space="preserve"> </w:t>
      </w:r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0"/>
              <w:gridCol w:w="1280"/>
              <w:gridCol w:w="2080"/>
              <w:gridCol w:w="1760"/>
              <w:gridCol w:w="16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  <w:r>
                    <w:t xml:space="preserve">, 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§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(Table</w:t>
      </w:r>
      <w:r>
        <w:t xml:space="preserve"> </w:t>
      </w:r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 §</w:t>
      </w:r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 §</w:t>
      </w:r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 §</w:t>
      </w:r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r>
        <w:t xml:space="preserve">§</w:t>
      </w:r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 §</w:t>
      </w:r>
      <w:r>
        <w:t xml:space="preserve">–§</w:t>
      </w:r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r>
        <w:t xml:space="preserve">§</w:t>
      </w:r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r>
        <w:t xml:space="preserve">§</w:t>
      </w:r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detects when an unmeasured confounder is anticipated,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8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2b*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 §</w:t>
      </w:r>
      <w:r>
        <w:t xml:space="preserve">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7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methodological-tradeoffs"/>
    <w:p>
      <w:pPr>
        <w:pStyle w:val="Heading3"/>
      </w:pPr>
      <w:r>
        <w:t xml:space="preserve">4.3.1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most pharmacoepidemiology RWE</w:t>
      </w:r>
      <w:r>
        <w:t xml:space="preserve"> </w:t>
      </w:r>
      <w:r>
        <w:t xml:space="preserve">studies the software-only mode is adequate; for high-stakes</w:t>
      </w:r>
      <w:r>
        <w:t xml:space="preserve"> </w:t>
      </w:r>
      <w:r>
        <w:t xml:space="preserve">regulatory submissions we recommend running cleanTMLE inside a</w:t>
      </w:r>
      <w:r>
        <w:t xml:space="preserve"> </w:t>
      </w:r>
      <w:r>
        <w:t xml:space="preserve">personnel-based outcome-blinding arrangement so that both the</w:t>
      </w:r>
      <w:r>
        <w:t xml:space="preserve"> </w:t>
      </w:r>
      <w:r>
        <w:t xml:space="preserve">institutional and the computational guarantees apply.</w:t>
      </w:r>
    </w:p>
    <w:bookmarkEnd w:id="46"/>
    <w:bookmarkEnd w:id="47"/>
    <w:bookmarkEnd w:id="48"/>
    <w:bookmarkStart w:id="54" w:name="sec-dq"/>
    <w:p>
      <w:pPr>
        <w:pStyle w:val="Heading1"/>
      </w:pPr>
      <w:r>
        <w:t xml:space="preserve">5. Data Quality as a Quantifiable Threat</w:t>
      </w:r>
    </w:p>
    <w:bookmarkStart w:id="49" w:name="X4f009c1ca2a345c3f9f27806faafdc4c5929f9a"/>
    <w:p>
      <w:pPr>
        <w:pStyle w:val="Heading2"/>
      </w:pPr>
      <w:r>
        <w:t xml:space="preserve">5.1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49"/>
    <w:bookmarkStart w:id="50" w:name="the-degradation-gradient"/>
    <w:p>
      <w:pPr>
        <w:pStyle w:val="Heading2"/>
      </w:pPr>
      <w:r>
        <w:t xml:space="preserve">5.2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output is a curve of bias,</w:t>
      </w:r>
      <w:r>
        <w:t xml:space="preserve"> </w:t>
      </w:r>
      <w:r>
        <w:t xml:space="preserve">RMSE, and coverage against the severity, computed separately for</w:t>
      </w:r>
      <w:r>
        <w:t xml:space="preserve"> </w:t>
      </w:r>
      <w:r>
        <w:t xml:space="preserve">each prespecified TMLE candidate. We call this curve a</w:t>
      </w:r>
      <w:r>
        <w:t xml:space="preserve"> </w:t>
      </w:r>
      <w:r>
        <w:rPr>
          <w:i/>
          <w:iCs/>
        </w:rPr>
        <w:t xml:space="preserve">degradation</w:t>
      </w:r>
      <w:r>
        <w:rPr>
          <w:i/>
          <w:iCs/>
        </w:rPr>
        <w:t xml:space="preserve"> </w:t>
      </w:r>
      <w:r>
        <w:rPr>
          <w:i/>
          <w:iCs/>
        </w:rPr>
        <w:t xml:space="preserve">gradient</w:t>
      </w:r>
      <w:r>
        <w:t xml:space="preserve"> </w:t>
      </w:r>
      <w:r>
        <w:t xml:space="preserve">by analogy with a dose-response curve: it answers the</w:t>
      </w:r>
      <w:r>
        <w:t xml:space="preserve"> </w:t>
      </w:r>
      <w:r>
        <w:t xml:space="preserve">question,</w:t>
      </w:r>
      <w:r>
        <w:t xml:space="preserve"> </w:t>
      </w:r>
      <w:r>
        <w:t xml:space="preserve">“how severe must the data degradation be before this</w:t>
      </w:r>
      <w:r>
        <w:t xml:space="preserve"> </w:t>
      </w:r>
      <w:r>
        <w:t xml:space="preserve">candidate fails the prespecified criteria?”</w:t>
      </w:r>
    </w:p>
    <w:p>
      <w:pPr>
        <w:pStyle w:val="BodyText"/>
      </w:pPr>
      <w:r>
        <w:t xml:space="preserve">A robust candidate produces a flat gradient that remains inside</w:t>
      </w:r>
      <w:r>
        <w:t xml:space="preserve"> </w:t>
      </w:r>
      <w:r>
        <w:t xml:space="preserve">the prespecified thresholds. A fragile candidate shows a cliff: a</w:t>
      </w:r>
      <w:r>
        <w:t xml:space="preserve"> </w:t>
      </w:r>
      <w:r>
        <w:t xml:space="preserve">small worsening of the data tips bias or coverage past the</w:t>
      </w:r>
      <w:r>
        <w:t xml:space="preserve"> </w:t>
      </w:r>
      <w:r>
        <w:t xml:space="preserve">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 tuning</w:t>
      </w:r>
      <w:r>
        <w:t xml:space="preserve"> </w:t>
      </w:r>
      <w:r>
        <w:t xml:space="preserve">knob. Trimming or truncating the propensity score changes the</w:t>
      </w:r>
      <w:r>
        <w:t xml:space="preserve"> </w:t>
      </w:r>
      <w:r>
        <w:t xml:space="preserve">support of the population to which the estimand applies, and</w:t>
      </w:r>
      <w:r>
        <w:t xml:space="preserve"> </w:t>
      </w:r>
      <w:r>
        <w:t xml:space="preserve">therefore the estimand itself</w:t>
      </w:r>
      <w:r>
        <w:t xml:space="preserve"> </w:t>
      </w:r>
      <w:r>
        <w:t xml:space="preserve">(Brookhart, Breskin, and Eledath 2024; Lash et al. 2014)</w:t>
      </w:r>
      <w:r>
        <w:t xml:space="preserve">. cleanTMLE treats the truncation level as part of</w:t>
      </w:r>
      <w:r>
        <w:t xml:space="preserve"> </w:t>
      </w:r>
      <w:r>
        <w:t xml:space="preserve">the prespecified candidate, so any estimand drift induced by</w:t>
      </w:r>
      <w:r>
        <w:t xml:space="preserve"> </w:t>
      </w:r>
      <w:r>
        <w:t xml:space="preserve">truncation is locked into the audit log and scored on the same</w:t>
      </w:r>
      <w:r>
        <w:t xml:space="preserve"> </w:t>
      </w:r>
      <w:r>
        <w:t xml:space="preserve">RMSE and coverage metrics as everything else rather than chosen</w:t>
      </w:r>
      <w:r>
        <w:t xml:space="preserve"> </w:t>
      </w:r>
      <w:r>
        <w:t xml:space="preserve">post-hoc on the realised data.</w:t>
      </w:r>
    </w:p>
    <w:bookmarkEnd w:id="50"/>
    <w:bookmarkStart w:id="52" w:name="sec-threat-matrix"/>
    <w:p>
      <w:pPr>
        <w:pStyle w:val="Heading2"/>
      </w:pPr>
      <w:r>
        <w:t xml:space="preserve">5.3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 Table</w:t>
      </w:r>
      <w:r>
        <w:t xml:space="preserve"> </w:t>
      </w:r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 §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2"/>
    <w:bookmarkStart w:id="53" w:name="sec-calibration"/>
    <w:p>
      <w:pPr>
        <w:pStyle w:val="Heading2"/>
      </w:pPr>
      <w:r>
        <w:t xml:space="preserve">5.4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(§</w:t>
      </w:r>
      <w:r>
        <w:t xml:space="preserve">, Table</w:t>
      </w:r>
      <w:r>
        <w:t xml:space="preserve"> </w:t>
      </w:r>
      <w:r>
        <w:t xml:space="preserve">) and</w:t>
      </w:r>
      <w:r>
        <w:t xml:space="preserve"> </w:t>
      </w:r>
      <w:r>
        <w:t xml:space="preserve">in the limitations paragraph in the Discussion (§</w:t>
      </w:r>
      <w:r>
        <w:t xml:space="preserve">).</w:t>
      </w:r>
    </w:p>
    <w:bookmarkEnd w:id="53"/>
    <w:bookmarkEnd w:id="54"/>
    <w:bookmarkStart w:id="59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 Table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shorten in figures and tables to</w:t>
      </w:r>
      <w:r>
        <w:t xml:space="preserve"> </w:t>
      </w:r>
      <w:r>
        <w:rPr>
          <w:i/>
          <w:iCs/>
        </w:rPr>
        <w:t xml:space="preserve">proceed</w:t>
      </w:r>
      <w:r>
        <w:t xml:space="preserve">,</w:t>
      </w:r>
      <w: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stop</w:t>
      </w:r>
      <w:r>
        <w:t xml:space="preserve"> </w:t>
      </w:r>
      <w:r>
        <w:t xml:space="preserve">(also written as GO / FLAG / STOP where compactness is</w:t>
      </w:r>
      <w:r>
        <w:t xml:space="preserve"> </w:t>
      </w:r>
      <w:r>
        <w:t xml:space="preserve">helpful). In prose we prefer the longer wording. The cleanTMLE</w:t>
      </w:r>
      <w:r>
        <w:t xml:space="preserve"> </w:t>
      </w:r>
      <w:r>
        <w:t xml:space="preserve">software uses the three labels for the same purpose, and the</w:t>
      </w:r>
      <w:r>
        <w:t xml:space="preserve"> </w:t>
      </w:r>
      <w:r>
        <w:t xml:space="preserve">mapping to the Muntner et al. wording is one-to-one.</w:t>
      </w:r>
    </w:p>
    <w:bookmarkStart w:id="55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5"/>
    <w:bookmarkStart w:id="56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6"/>
    <w:bookmarkStart w:id="57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7"/>
    <w:bookmarkStart w:id="58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real</w:t>
      </w:r>
      <w:r>
        <w:t xml:space="preserve"> </w:t>
      </w:r>
      <w:r>
        <w:t xml:space="preserve">outcome is never read.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</w:t>
      </w:r>
      <w:r>
        <w:t xml:space="preserve"> </w:t>
      </w:r>
      <w:r>
        <w:t xml:space="preserve">anything about the treatment-outcome association in the actual</w:t>
      </w:r>
      <w:r>
        <w:t xml:space="preserve"> </w:t>
      </w:r>
      <w:r>
        <w:t xml:space="preserve">study data</w:t>
      </w:r>
      <w:r>
        <w:t xml:space="preserve"> </w:t>
      </w:r>
      <w:r>
        <w:t xml:space="preserve">(Dang et al. 2023, 7)</w:t>
      </w:r>
      <w:r>
        <w:t xml:space="preserve">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58"/>
    <w:bookmarkEnd w:id="59"/>
    <w:bookmarkStart w:id="65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0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2b: plasmode candidate selection +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0"/>
    <w:bookmarkStart w:id="61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1"/>
    <w:bookmarkStart w:id="62" w:name="relationship-to-causalrisk"/>
    <w:p>
      <w:pPr>
        <w:pStyle w:val="Heading2"/>
      </w:pPr>
      <w:r>
        <w:t xml:space="preserve">7.3 Relationship to</w:t>
      </w:r>
      <w:r>
        <w:t xml:space="preserve"> </w:t>
      </w:r>
      <w:r>
        <w:rPr>
          <w:rStyle w:val="VerbatimChar"/>
        </w:rPr>
        <w:t xml:space="preserve">causalRisk</w:t>
      </w:r>
    </w:p>
    <w:p>
      <w:pPr>
        <w:pStyle w:val="FirstParagraph"/>
      </w:pPr>
      <w:r>
        <w:t xml:space="preserve">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implements IPW, g-computation, and AIPW cumulative-risk estimators</w:t>
      </w:r>
      <w:r>
        <w:t xml:space="preserve"> </w:t>
      </w:r>
      <w:r>
        <w:t xml:space="preserve">with a cohort-specification grammar oriented toward staged,</w:t>
      </w:r>
      <w:r>
        <w:t xml:space="preserve"> </w:t>
      </w:r>
      <w:r>
        <w:t xml:space="preserve">prespecified observational analyses. Although cleanTMLE was</w:t>
      </w:r>
      <w:r>
        <w:t xml:space="preserve"> </w:t>
      </w:r>
      <w:r>
        <w:t xml:space="preserve">informed by the conceptual structure of that package, the two</w:t>
      </w:r>
      <w:r>
        <w:t xml:space="preserve"> </w:t>
      </w:r>
      <w:r>
        <w:t xml:space="preserve">packages do not share code, and cleanTMLE’s estimation, gating,</w:t>
      </w:r>
      <w:r>
        <w:t xml:space="preserve"> </w:t>
      </w:r>
      <w:r>
        <w:t xml:space="preserve">audit, and DQ stress-test functions are independent</w:t>
      </w:r>
      <w:r>
        <w:t xml:space="preserve"> </w:t>
      </w:r>
      <w:r>
        <w:t xml:space="preserve">implementations. We acknowledge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as the closest</w:t>
      </w:r>
      <w:r>
        <w:t xml:space="preserve"> </w:t>
      </w:r>
      <w:r>
        <w:t xml:space="preserve">alternative implementation in the R ecosystem, while noting that</w:t>
      </w:r>
      <w:r>
        <w:t xml:space="preserve"> </w:t>
      </w:r>
      <w:r>
        <w:t xml:space="preserve">its proprietary licence means independent reproduction of any</w:t>
      </w:r>
      <w:r>
        <w:t xml:space="preserve"> </w:t>
      </w:r>
      <w:r>
        <w:t xml:space="preserve">specific function is up to the user.</w:t>
      </w:r>
    </w:p>
    <w:bookmarkEnd w:id="62"/>
    <w:bookmarkStart w:id="63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3"/>
    <w:bookmarkStart w:id="64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Although hazard ratios remain common in time-to-event analyses,</w:t>
      </w:r>
      <w:r>
        <w:t xml:space="preserve"> </w:t>
      </w:r>
      <w:r>
        <w:t xml:space="preserve">they are not generally the most transparent primary summary for</w:t>
      </w:r>
      <w:r>
        <w:t xml:space="preserve"> </w:t>
      </w:r>
      <w:r>
        <w:t xml:space="preserve">regulatory RWE questions framed as target trials. Cumulative</w:t>
      </w:r>
      <w:r>
        <w:t xml:space="preserve"> </w:t>
      </w:r>
      <w:r>
        <w:t xml:space="preserve">risks, risk differences, and risk ratios at clinically meaningful</w:t>
      </w:r>
      <w:r>
        <w:t xml:space="preserve"> </w:t>
      </w:r>
      <w:r>
        <w:t xml:space="preserve">follow-up times more directly correspond to treatment-specific</w:t>
      </w:r>
      <w:r>
        <w:t xml:space="preserve"> </w:t>
      </w:r>
      <w:r>
        <w:t xml:space="preserve">counterfactual risks and are often easier to align with estimand</w:t>
      </w:r>
      <w:r>
        <w:t xml:space="preserve"> </w:t>
      </w:r>
      <w:r>
        <w:t xml:space="preserve">language. Hazard ratios may be reported as secondary analyses when</w:t>
      </w:r>
      <w:r>
        <w:t xml:space="preserve"> </w:t>
      </w:r>
      <w:r>
        <w:t xml:space="preserve">proportional hazards is plausible and the estimand is explicitly</w:t>
      </w:r>
      <w:r>
        <w:t xml:space="preserve"> </w:t>
      </w:r>
      <w:r>
        <w:t xml:space="preserve">defined on the hazard scale. The package’s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 single structured table of</w:t>
      </w:r>
      <w:r>
        <w:t xml:space="preserve"> </w:t>
      </w:r>
      <w:r>
        <w:t xml:space="preserve">cumulative risks, contrasts, event counts, and the estimator that</w:t>
      </w:r>
      <w:r>
        <w:t xml:space="preserve"> </w:t>
      </w:r>
      <w:r>
        <w:t xml:space="preserve">produced each row.</w:t>
      </w:r>
    </w:p>
    <w:bookmarkEnd w:id="64"/>
    <w:bookmarkEnd w:id="65"/>
    <w:bookmarkStart w:id="90" w:name="sec-simulation"/>
    <w:p>
      <w:pPr>
        <w:pStyle w:val="Heading1"/>
      </w:pPr>
      <w:r>
        <w:t xml:space="preserve">8. Simulation Study</w:t>
      </w:r>
    </w:p>
    <w:bookmarkStart w:id="66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6"/>
    <w:bookmarkStart w:id="80" w:name="monte-carlo-results"/>
    <w:p>
      <w:pPr>
        <w:pStyle w:val="Heading2"/>
      </w:pPr>
      <w:r>
        <w:t xml:space="preserve">8.2 Monte Carlo results</w:t>
      </w:r>
    </w:p>
    <w:bookmarkStart w:id="67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7"/>
    <w:bookmarkStart w:id="68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8"/>
    <w:bookmarkStart w:id="69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9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 Three patterns are robust to noise.</w:t>
      </w:r>
    </w:p>
    <w:p>
      <w:pPr>
        <w:pStyle w:val="BodyText"/>
      </w:pPr>
      <w:r>
        <w:t xml:space="preserve">First, 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Second, 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Third, 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fourth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1992; Brookhart, Breskin, and Eledath 2024)</w:t>
      </w:r>
      <w:r>
        <w:t xml:space="preserve">. 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1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4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7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bookmarkEnd w:id="79"/>
    <w:bookmarkEnd w:id="80"/>
    <w:bookmarkStart w:id="88" w:name="plasmode-dq-stress-test-results"/>
    <w:p>
      <w:pPr>
        <w:pStyle w:val="Heading2"/>
      </w:pPr>
      <w:r>
        <w:t xml:space="preserve">8.3 Plasmode DQ stress-test results</w:t>
      </w:r>
    </w:p>
    <w:bookmarkStart w:id="81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1"/>
    <w:bookmarkStart w:id="82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2"/>
    <w:bookmarkStart w:id="83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3"/>
    <w:bookmarkStart w:id="87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r>
        <w:t xml:space="preserve">§</w:t>
      </w:r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85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87"/>
    <w:bookmarkEnd w:id="88"/>
    <w:bookmarkStart w:id="89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0.01048</w:t>
            </w:r>
          </w:p>
        </w:tc>
      </w:tr>
    </w:tbl>
    <w:bookmarkEnd w:id="89"/>
    <w:bookmarkEnd w:id="90"/>
    <w:bookmarkStart w:id="100" w:name="sec-casestudy"/>
    <w:p>
      <w:pPr>
        <w:pStyle w:val="Heading1"/>
      </w:pPr>
      <w:r>
        <w:t xml:space="preserve">9. Case Study: Rescue.Co Kenya Trauma Registry</w:t>
      </w:r>
    </w:p>
    <w:bookmarkStart w:id="91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</w:t>
      </w:r>
      <w:r>
        <w:t xml:space="preserve"> </w:t>
      </w:r>
      <w:r>
        <w:rPr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demonstration</w:t>
      </w:r>
      <w:r>
        <w:t xml:space="preserve"> </w:t>
      </w:r>
      <w:r>
        <w:t xml:space="preserve">and software stress test on a real registry</w:t>
      </w:r>
      <w:r>
        <w:t xml:space="preserve"> </w:t>
      </w:r>
      <w:r>
        <w:t xml:space="preserve">structure, not as evidence that the framework improves causal</w:t>
      </w:r>
      <w:r>
        <w:t xml:space="preserve"> </w:t>
      </w:r>
      <w:r>
        <w:t xml:space="preserve">validity. The simulation in §</w:t>
      </w:r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 §</w:t>
      </w:r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1"/>
    <w:bookmarkStart w:id="92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2"/>
    <w:bookmarkStart w:id="93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End w:id="93"/>
    <w:bookmarkStart w:id="94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The Stage 3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At</w:t>
      </w:r>
      <w:r>
        <w:t xml:space="preserve"> </w:t>
      </w:r>
      <w:r>
        <w:t xml:space="preserve">this replicate count the per-cell coverage estimates are noisy</w:t>
      </w:r>
      <w:r>
        <w:t xml:space="preserve"> </w:t>
      </w:r>
      <w:r>
        <w:t xml:space="preserve">and the qualitative degradation pattern, not the absolute coverage</w:t>
      </w:r>
      <w:r>
        <w:t xml:space="preserve"> </w:t>
      </w:r>
      <w:r>
        <w:t xml:space="preserve">number, is what the decision rule consumes. The companion</w:t>
      </w:r>
      <w:r>
        <w:t xml:space="preserve"> </w:t>
      </w:r>
      <w:r>
        <w:t xml:space="preserve">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</w:t>
      </w:r>
      <w:r>
        <w:t xml:space="preserve"> </w:t>
      </w:r>
      <w:r>
        <w:t xml:space="preserve">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reproduces the same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proceed</w:t>
      </w:r>
      <w:r>
        <w:t xml:space="preserve"> </w:t>
      </w:r>
      <w:r>
        <w:t xml:space="preserve">classification. Three of the five prespecified</w:t>
      </w:r>
      <w:r>
        <w:t xml:space="preserve"> </w:t>
      </w:r>
      <w:r>
        <w:t xml:space="preserve">negative-control endpoints (chronic-pain history, prior fracture,</w:t>
      </w:r>
      <w:r>
        <w:t xml:space="preserve"> </w:t>
      </w:r>
      <w:r>
        <w:t xml:space="preserve">and elective surgery) were dropped from the NC analysis at the</w:t>
      </w:r>
      <w:r>
        <w:t xml:space="preserve"> </w:t>
      </w:r>
      <w:r>
        <w:t xml:space="preserve">data-sanitisation step because they failed near-zero-variance</w:t>
      </w:r>
      <w:r>
        <w:t xml:space="preserve"> </w:t>
      </w:r>
      <w:r>
        <w:t xml:space="preserve">filtering on the locked cohort; only chronic hypertension and</w:t>
      </w:r>
      <w:r>
        <w:t xml:space="preserve"> </w:t>
      </w:r>
      <w:r>
        <w:t xml:space="preserve">household urban status carried enough variation to fit a stable</w:t>
      </w:r>
      <w:r>
        <w:t xml:space="preserve"> </w:t>
      </w:r>
      <w:r>
        <w:t xml:space="preserve">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94"/>
    <w:bookmarkStart w:id="95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version’s 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a complete-case TMLE with IPCW obsWeights. The function now emits a</w:t>
      </w:r>
      <w:r>
        <w:t xml:space="preserve"> </w:t>
      </w:r>
      <w:r>
        <w:rPr>
          <w:rStyle w:val="VerbatimChar"/>
        </w:rPr>
        <w:t xml:space="preserve">warning()</w:t>
      </w:r>
      <w:r>
        <w:t xml:space="preserve"> </w:t>
      </w:r>
      <w:r>
        <w:t xml:space="preserve">and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object; the column label is retained as</w:t>
      </w:r>
      <w:r>
        <w:t xml:space="preserve"> </w:t>
      </w:r>
      <w:r>
        <w:rPr>
          <w:rStyle w:val="VerbatimChar"/>
        </w:rPr>
        <w:t xml:space="preserve">IPCW-weighted TMLE</w:t>
      </w:r>
      <w:r>
        <w:t xml:space="preserve"> </w:t>
      </w:r>
      <w:r>
        <w:t xml:space="preserve">because the censoring-model weights are still applied.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[NOTE: the IPCW-weighted TMLE row reports N = 1,277 (complete-outcome rows) because the bundled tmle::tmle() version’s Delta-path raised an error on this lock and run_ipcw_tmle() fell back to a complete-case TMLE with IPCW obsWeights. The function now emits a warning() and records method_used = 'ipcw_weighted_complete_case' in the result object; the column label is retained as IPCW-weighted TMLE because the censoring-model weights are still applied. A full-cohort Delta-path run is on the cleanTMLE 0.2 roadmap once the upstream tmle interface is pinned.]"/>
      </w:tblPr>
      <w:tblGrid>
        <w:gridCol w:w="1760"/>
        <w:gridCol w:w="3784"/>
        <w:gridCol w:w="440"/>
        <w:gridCol w:w="616"/>
        <w:gridCol w:w="704"/>
        <w:gridCol w:w="6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IPCW-weighted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 under censoring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IPCW-weighted TMLE,</w:t>
      </w:r>
      <w:r>
        <w:t xml:space="preserve"> </w:t>
      </w:r>
      <w:r>
        <w:t xml:space="preserve">which uses inverse-probability-of-censoring weights to address the</w:t>
      </w:r>
      <w:r>
        <w:t xml:space="preserve"> </w:t>
      </w:r>
      <w:r>
        <w:t xml:space="preserve">24.6 % outcome missingness, returns RD = 0.033 with a CI that just</w:t>
      </w:r>
      <w:r>
        <w:t xml:space="preserve"> </w:t>
      </w:r>
      <w:r>
        <w:t xml:space="preserve">crosses 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95"/>
    <w:bookmarkStart w:id="99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96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 §</w:t>
      </w:r>
      <w:r>
        <w:t xml:space="preserve">.</w:t>
      </w:r>
    </w:p>
    <w:bookmarkEnd w:id="96"/>
    <w:bookmarkStart w:id="97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validation a reviewer would want.</w:t>
      </w:r>
      <w:r>
        <w:t xml:space="preserve"> </w:t>
      </w:r>
      <w:r>
        <w:t xml:space="preserve">Stage 3 then runs the full DQ stress test (</w:t>
      </w:r>
      <w:r>
        <w:rPr>
          <w:rStyle w:val="VerbatimChar"/>
        </w:rPr>
        <w:t xml:space="preserve">run_plasmode_dq_stress()</w:t>
      </w:r>
      <w:r>
        <w:t xml:space="preserve">)</w:t>
      </w:r>
      <w:r>
        <w:t xml:space="preserve"> </w:t>
      </w:r>
      <w:r>
        <w:t xml:space="preserve">over the four threats and produces a structural pass on each</w:t>
      </w:r>
      <w:r>
        <w:t xml:space="preserve"> </w:t>
      </w:r>
      <w:r>
        <w:t xml:space="preserve">scenario. [NOTE: the bundled configuration uses 3 replicates per</w:t>
      </w:r>
      <w:r>
        <w:t xml:space="preserve"> </w:t>
      </w:r>
      <w:r>
        <w:t xml:space="preserve">scenario × severity cell. At this replicate count the per-cell</w:t>
      </w:r>
      <w:r>
        <w:t xml:space="preserve"> </w:t>
      </w:r>
      <w:r>
        <w:t xml:space="preserve">coverage estimates are noisy (baseline coverage rounds to 1.00</w:t>
      </w:r>
      <w:r>
        <w:t xml:space="preserve"> </w:t>
      </w:r>
      <w:r>
        <w:t xml:space="preserve">because all 3 CIs happened to cover); the qualitative pattern of</w:t>
      </w:r>
      <w:r>
        <w:t xml:space="preserve"> </w:t>
      </w:r>
      <w:r>
        <w:t xml:space="preserve">degradation across severity levels is reproducible but the</w:t>
      </w:r>
      <w:r>
        <w:t xml:space="preserve"> </w:t>
      </w:r>
      <w:r>
        <w:t xml:space="preserve">absolute coverage numbers should be regenerated at 200+ replicates</w:t>
      </w:r>
      <w:r>
        <w:t xml:space="preserve"> </w:t>
      </w:r>
      <w:r>
        <w:t xml:space="preserve">before they are used for inference. 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</w:t>
      </w:r>
      <w:r>
        <w:t xml:space="preserve"> </w:t>
      </w:r>
      <w:r>
        <w:t xml:space="preserve">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97"/>
    <w:bookmarkStart w:id="98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98"/>
    <w:bookmarkEnd w:id="99"/>
    <w:bookmarkEnd w:id="100"/>
    <w:bookmarkStart w:id="114" w:name="sec-discussion"/>
    <w:p>
      <w:pPr>
        <w:pStyle w:val="Heading1"/>
      </w:pPr>
      <w:r>
        <w:t xml:space="preserve">10. Discussion</w:t>
      </w:r>
    </w:p>
    <w:bookmarkStart w:id="101" w:name="what-is-genuinely-novel"/>
    <w:p>
      <w:pPr>
        <w:pStyle w:val="Heading2"/>
      </w:pPr>
      <w:r>
        <w:t xml:space="preserve">10.1 What is genuinely novel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proceed / review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01"/>
    <w:bookmarkStart w:id="102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02"/>
    <w:bookmarkStart w:id="103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regulatory-grade RWE, cleanTMLE is best used as one layer in a</w:t>
      </w:r>
      <w:r>
        <w:t xml:space="preserve"> </w:t>
      </w:r>
      <w:r>
        <w:t xml:space="preserve">broader governed workflow. The lock and audit machinery track the</w:t>
      </w:r>
      <w:r>
        <w:t xml:space="preserve"> </w:t>
      </w:r>
      <w:r>
        <w:t xml:space="preserve">prespecification and traceability that FDA RWE program guidance</w:t>
      </w:r>
      <w:r>
        <w:t xml:space="preserve"> </w:t>
      </w:r>
      <w:r>
        <w:t xml:space="preserve">expects</w:t>
      </w:r>
      <w:r>
        <w:t xml:space="preserve"> </w:t>
      </w:r>
      <w:r>
        <w:t xml:space="preserve">(U.S. Food and Drug Administration 2018, 2024a, 2024c)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 Table</w:t>
      </w:r>
      <w:r>
        <w:t xml:space="preserve"> </w:t>
      </w:r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03"/>
    <w:bookmarkStart w:id="104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04"/>
    <w:bookmarkStart w:id="105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05"/>
    <w:bookmarkStart w:id="106" w:name="Xd4386ded9fe315f7b6aa405cc5d873a8cd07254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06"/>
    <w:bookmarkStart w:id="110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07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07"/>
    <w:bookmarkStart w:id="108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 §</w:t>
      </w:r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08"/>
    <w:bookmarkStart w:id="109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,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, or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as alternative implementations.</w:t>
      </w:r>
    </w:p>
    <w:bookmarkEnd w:id="109"/>
    <w:bookmarkEnd w:id="110"/>
    <w:bookmarkStart w:id="111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11"/>
    <w:bookmarkStart w:id="112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routine pharmacoepidemiology and most academic RWE studies,</w:t>
      </w:r>
      <w:r>
        <w:t xml:space="preserve"> </w:t>
      </w:r>
      <w:r>
        <w:t xml:space="preserve">cleanTMLE used on its own provides an adequate prespecification</w:t>
      </w:r>
      <w:r>
        <w:t xml:space="preserve"> </w:t>
      </w:r>
      <w:r>
        <w:t xml:space="preserve">record: the analyst prespecifies the analytic plan, runs the</w:t>
      </w:r>
      <w:r>
        <w:t xml:space="preserve"> </w:t>
      </w:r>
      <w:r>
        <w:t xml:space="preserve">workflow inside a single R session, and archives the analysis</w:t>
      </w:r>
      <w:r>
        <w:t xml:space="preserve"> </w:t>
      </w:r>
      <w:r>
        <w:t xml:space="preserve">lock together with the audit and decision logs. For</w:t>
      </w:r>
      <w:r>
        <w:t xml:space="preserve"> </w:t>
      </w:r>
      <w:r>
        <w:t xml:space="preserve">submission-oriented RWE (FDA, EMA, or HTA contexts), the</w:t>
      </w:r>
      <w:r>
        <w:t xml:space="preserve"> </w:t>
      </w:r>
      <w:r>
        <w:t xml:space="preserve">recommended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12"/>
    <w:bookmarkStart w:id="113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6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6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13"/>
    <w:bookmarkEnd w:id="114"/>
    <w:bookmarkStart w:id="117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cleanTMLE</w:t>
      </w:r>
      <w:r>
        <w:t xml:space="preserve"> </w:t>
      </w:r>
      <w:r>
        <w:t xml:space="preserve">operationalises a quantitative bridge from qualitative</w:t>
      </w:r>
      <w:r>
        <w:t xml:space="preserve"> </w:t>
      </w:r>
      <w:r>
        <w:t xml:space="preserve">data-fitness concerns to prespecified outcome-blind plasmode</w:t>
      </w:r>
      <w:r>
        <w:t xml:space="preserve"> </w:t>
      </w:r>
      <w:r>
        <w:t xml:space="preserve">stress-test scenarios; it does not itself determine whether a data</w:t>
      </w:r>
      <w:r>
        <w:t xml:space="preserve"> </w:t>
      </w:r>
      <w:r>
        <w:t xml:space="preserve">source is fit for purpose, and the severity ranges entered into the</w:t>
      </w:r>
      <w:r>
        <w:t xml:space="preserve"> </w:t>
      </w:r>
      <w:r>
        <w:t xml:space="preserve">stress test must come from prior validation studies, data</w:t>
      </w:r>
      <w:r>
        <w:t xml:space="preserve"> </w:t>
      </w:r>
      <w:r>
        <w:t xml:space="preserve">profiling, or 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</w:t>
      </w:r>
      <w:r>
        <w:t xml:space="preserve"> </w:t>
      </w:r>
      <w:r>
        <w:t xml:space="preserve">(Brookhart, Breskin, and Eledath 2024)</w:t>
      </w:r>
      <w:r>
        <w:t xml:space="preserve"> </w:t>
      </w:r>
      <w:r>
        <w:t xml:space="preserve">is an alternative implementation of</w:t>
      </w:r>
      <w:r>
        <w:t xml:space="preserve"> </w:t>
      </w:r>
      <w:r>
        <w:t xml:space="preserve">related cumulative-risk estimators and is referenced as such; the</w:t>
      </w:r>
      <w:r>
        <w:t xml:space="preserve"> </w:t>
      </w:r>
      <w:r>
        <w:t xml:space="preserve">two packages do not share code. The package is available at</w:t>
      </w:r>
      <w:r>
        <w:t xml:space="preserve"> </w:t>
      </w:r>
      <w:hyperlink r:id="rId115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 §</w:t>
      </w:r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16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17"/>
    <w:bookmarkStart w:id="118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 whose</w:t>
      </w:r>
      <w:r>
        <w:t xml:space="preserve"> </w:t>
      </w:r>
      <w:r>
        <w:t xml:space="preserve">published frameworks cleanTMLE operationalises in software, and</w:t>
      </w:r>
      <w:r>
        <w:t xml:space="preserve"> </w:t>
      </w:r>
      <w:r>
        <w:t xml:space="preserve">the authors of the proprietary</w:t>
      </w:r>
      <w:r>
        <w:t xml:space="preserve"> </w:t>
      </w:r>
      <w:r>
        <w:rPr>
          <w:rStyle w:val="VerbatimChar"/>
        </w:rPr>
        <w:t xml:space="preserve">causalRisk</w:t>
      </w:r>
      <w:r>
        <w:t xml:space="preserve"> </w:t>
      </w:r>
      <w:r>
        <w:t xml:space="preserve">package (M. Alan</w:t>
      </w:r>
      <w:r>
        <w:t xml:space="preserve"> </w:t>
      </w:r>
      <w:r>
        <w:t xml:space="preserve">Brookhart, Alexander Breskin, and Bassim Eledath) for surfacing</w:t>
      </w:r>
      <w:r>
        <w:t xml:space="preserve"> </w:t>
      </w:r>
      <w:r>
        <w:t xml:space="preserve">the cumulative-risk-estimand framing that motivated several of</w:t>
      </w:r>
      <w:r>
        <w:t xml:space="preserve"> </w:t>
      </w:r>
      <w:r>
        <w:t xml:space="preserve">our diagnostic helpers. Any errors are ours.</w:t>
      </w:r>
    </w:p>
    <w:bookmarkEnd w:id="118"/>
    <w:bookmarkStart w:id="200" w:name="references"/>
    <w:p>
      <w:pPr>
        <w:pStyle w:val="Heading1"/>
      </w:pPr>
      <w:r>
        <w:t xml:space="preserve">References</w:t>
      </w:r>
    </w:p>
    <w:bookmarkStart w:id="199" w:name="refs"/>
    <w:bookmarkStart w:id="119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19"/>
    <w:bookmarkStart w:id="120" w:name="ref-brookhart2024causalrisk"/>
    <w:p>
      <w:pPr>
        <w:pStyle w:val="Bibliography"/>
      </w:pPr>
      <w:r>
        <w:t xml:space="preserve">Brookhart, M. Alan, Alexander Breskin, and Bassim Eledath. 2024.</w:t>
      </w:r>
      <w:r>
        <w:t xml:space="preserve"> </w:t>
      </w:r>
      <w:r>
        <w:t xml:space="preserve">“</w:t>
      </w:r>
      <w:r>
        <w:t xml:space="preserve">causalRisk</w:t>
      </w:r>
      <w:r>
        <w:t xml:space="preserve">: An</w:t>
      </w:r>
      <w:r>
        <w:t xml:space="preserve"> </w:t>
      </w:r>
      <w:r>
        <w:t xml:space="preserve">R</w:t>
      </w:r>
      <w:r>
        <w:t xml:space="preserve"> </w:t>
      </w:r>
      <w:r>
        <w:t xml:space="preserve">Package for Estimating Cumulative Risks Under Counterfactual Treatment Strategies.”</w:t>
      </w:r>
    </w:p>
    <w:bookmarkEnd w:id="120"/>
    <w:bookmarkStart w:id="122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22"/>
    <w:bookmarkStart w:id="124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23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24"/>
    <w:bookmarkStart w:id="126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25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26"/>
    <w:bookmarkStart w:id="128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27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28"/>
    <w:bookmarkStart w:id="130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29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30"/>
    <w:bookmarkStart w:id="132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31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32"/>
    <w:bookmarkStart w:id="133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33"/>
    <w:bookmarkStart w:id="135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34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35"/>
    <w:bookmarkStart w:id="137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36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37"/>
    <w:bookmarkStart w:id="139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38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39"/>
    <w:bookmarkStart w:id="141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40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41"/>
    <w:bookmarkStart w:id="143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42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43"/>
    <w:bookmarkStart w:id="145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4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5"/>
    <w:bookmarkStart w:id="146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44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46"/>
    <w:bookmarkStart w:id="147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47"/>
    <w:bookmarkStart w:id="148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48"/>
    <w:bookmarkStart w:id="149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49"/>
    <w:bookmarkStart w:id="151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50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51"/>
    <w:bookmarkStart w:id="152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52"/>
    <w:bookmarkStart w:id="154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53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54"/>
    <w:bookmarkStart w:id="156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55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56"/>
    <w:bookmarkStart w:id="158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57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58"/>
    <w:bookmarkStart w:id="160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59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60"/>
    <w:bookmarkStart w:id="162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61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62"/>
    <w:bookmarkStart w:id="164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63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64"/>
    <w:bookmarkStart w:id="166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65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66"/>
    <w:bookmarkStart w:id="168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67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68"/>
    <w:bookmarkStart w:id="170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69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70"/>
    <w:bookmarkStart w:id="172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71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72"/>
    <w:bookmarkStart w:id="174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7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74"/>
    <w:bookmarkStart w:id="175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75"/>
    <w:bookmarkStart w:id="176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76"/>
    <w:bookmarkStart w:id="177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77"/>
    <w:bookmarkStart w:id="179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178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179"/>
    <w:bookmarkStart w:id="181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180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181"/>
    <w:bookmarkStart w:id="183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182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183"/>
    <w:bookmarkStart w:id="185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184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185"/>
    <w:bookmarkStart w:id="187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186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187"/>
    <w:bookmarkStart w:id="189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188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189"/>
    <w:bookmarkStart w:id="191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190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191"/>
    <w:bookmarkStart w:id="193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192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193"/>
    <w:bookmarkStart w:id="195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195"/>
    <w:bookmarkStart w:id="196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196"/>
    <w:bookmarkStart w:id="197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197"/>
    <w:bookmarkStart w:id="198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198"/>
    <w:bookmarkEnd w:id="199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splines_4.4.2     </w:t>
      </w:r>
      <w:r>
        <w:br/>
      </w:r>
      <w:r>
        <w:rPr>
          <w:rStyle w:val="VerbatimChar"/>
        </w:rPr>
        <w:t xml:space="preserve">R&gt;   [9] scales_1.4.0       yaml_2.3.10        fastmap_1.2.0      lattice_0.22-6    </w:t>
      </w:r>
      <w:r>
        <w:br/>
      </w:r>
      <w:r>
        <w:rPr>
          <w:rStyle w:val="VerbatimChar"/>
        </w:rPr>
        <w:t xml:space="preserve">R&gt;  [13] R6_2.6.1           labeling_0.4.3     generics_0.1.3     knitr_1.49        </w:t>
      </w:r>
      <w:r>
        <w:br/>
      </w:r>
      <w:r>
        <w:rPr>
          <w:rStyle w:val="VerbatimChar"/>
        </w:rPr>
        <w:t xml:space="preserve">R&gt;  [17] tibble_3.2.1       pillar_1.9.0       RColorBrewer_1.1-3 rlang_1.1.7       </w:t>
      </w:r>
      <w:r>
        <w:br/>
      </w:r>
      <w:r>
        <w:rPr>
          <w:rStyle w:val="VerbatimChar"/>
        </w:rPr>
        <w:t xml:space="preserve">R&gt;  [21] utf8_1.2.4         xfun_0.49          S7_0.2.1           cli_3.6.5         </w:t>
      </w:r>
      <w:r>
        <w:br/>
      </w:r>
      <w:r>
        <w:rPr>
          <w:rStyle w:val="VerbatimChar"/>
        </w:rPr>
        <w:t xml:space="preserve">R&gt;  [25] withr_3.0.2        magrittr_2.0.3     digest_0.6.37      grid_4.4.2        </w:t>
      </w:r>
      <w:r>
        <w:br/>
      </w:r>
      <w:r>
        <w:rPr>
          <w:rStyle w:val="VerbatimChar"/>
        </w:rPr>
        <w:t xml:space="preserve">R&gt;  [29] sandwich_3.1-1     lifecycle_1.0.5    vctrs_0.7.1        evaluate_1.0.5    </w:t>
      </w:r>
      <w:r>
        <w:br/>
      </w:r>
      <w:r>
        <w:rPr>
          <w:rStyle w:val="VerbatimChar"/>
        </w:rPr>
        <w:t xml:space="preserve">R&gt;  [33] glue_1.8.0         farver_2.1.2       zoo_1.8-15         survival_3.7-0    </w:t>
      </w:r>
      <w:r>
        <w:br/>
      </w:r>
      <w:r>
        <w:rPr>
          <w:rStyle w:val="VerbatimChar"/>
        </w:rPr>
        <w:t xml:space="preserve">R&gt;  [37] fansi_1.0.6        rmarkdown_2.29     tools_4.4.2        pkgconfig_2.0.3   </w:t>
      </w:r>
      <w:r>
        <w:br/>
      </w:r>
      <w:r>
        <w:rPr>
          <w:rStyle w:val="VerbatimChar"/>
        </w:rPr>
        <w:t xml:space="preserve">R&gt;  [41] htmltools_0.5.8.1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3" Target="media/rId73.png" /><Relationship Type="http://schemas.openxmlformats.org/officeDocument/2006/relationships/image" Id="rId84" Target="media/rId8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hyperlink" Id="rId165" Target="https://doi.org/10.1002/cpt.2399" TargetMode="External" /><Relationship Type="http://schemas.openxmlformats.org/officeDocument/2006/relationships/hyperlink" Id="rId136" Target="https://doi.org/10.1002/cpt.2466" TargetMode="External" /><Relationship Type="http://schemas.openxmlformats.org/officeDocument/2006/relationships/hyperlink" Id="rId138" Target="https://doi.org/10.1002/cpt.2883" TargetMode="External" /><Relationship Type="http://schemas.openxmlformats.org/officeDocument/2006/relationships/hyperlink" Id="rId161" Target="https://doi.org/10.1002/pds.5623" TargetMode="External" /><Relationship Type="http://schemas.openxmlformats.org/officeDocument/2006/relationships/hyperlink" Id="rId194" Target="https://doi.org/10.1002/pds.5642" TargetMode="External" /><Relationship Type="http://schemas.openxmlformats.org/officeDocument/2006/relationships/hyperlink" Id="rId167" Target="https://doi.org/10.1002/pds.5770" TargetMode="External" /><Relationship Type="http://schemas.openxmlformats.org/officeDocument/2006/relationships/hyperlink" Id="rId155" Target="https://doi.org/10.1007/978-1-4419-9782-1" TargetMode="External" /><Relationship Type="http://schemas.openxmlformats.org/officeDocument/2006/relationships/hyperlink" Id="rId134" Target="https://doi.org/10.1016/j.csda.2013.10.018" TargetMode="External" /><Relationship Type="http://schemas.openxmlformats.org/officeDocument/2006/relationships/hyperlink" Id="rId125" Target="https://doi.org/10.1017/cts.2023.635" TargetMode="External" /><Relationship Type="http://schemas.openxmlformats.org/officeDocument/2006/relationships/hyperlink" Id="rId140" Target="https://doi.org/10.1080/19466315.2022.2116104" TargetMode="External" /><Relationship Type="http://schemas.openxmlformats.org/officeDocument/2006/relationships/hyperlink" Id="rId144" Target="https://doi.org/10.1093/aje/kwv254" TargetMode="External" /><Relationship Type="http://schemas.openxmlformats.org/officeDocument/2006/relationships/hyperlink" Id="rId178" Target="https://doi.org/10.1093/aje/kww165" TargetMode="External" /><Relationship Type="http://schemas.openxmlformats.org/officeDocument/2006/relationships/hyperlink" Id="rId171" Target="https://doi.org/10.1093/ije/dyad023" TargetMode="External" /><Relationship Type="http://schemas.openxmlformats.org/officeDocument/2006/relationships/hyperlink" Id="rId159" Target="https://doi.org/10.1093/ije/dyu149" TargetMode="External" /><Relationship Type="http://schemas.openxmlformats.org/officeDocument/2006/relationships/hyperlink" Id="rId169" Target="https://doi.org/10.1097/EDE.0000000000000078" TargetMode="External" /><Relationship Type="http://schemas.openxmlformats.org/officeDocument/2006/relationships/hyperlink" Id="rId163" Target="https://doi.org/10.1097/EDE.0b013e3181d61eeb" TargetMode="External" /><Relationship Type="http://schemas.openxmlformats.org/officeDocument/2006/relationships/hyperlink" Id="rId123" Target="https://doi.org/10.1111/ectj.12097" TargetMode="External" /><Relationship Type="http://schemas.openxmlformats.org/officeDocument/2006/relationships/hyperlink" Id="rId121" Target="https://doi.org/10.1136/bmj-2024-080483" TargetMode="External" /><Relationship Type="http://schemas.openxmlformats.org/officeDocument/2006/relationships/hyperlink" Id="rId192" Target="https://doi.org/10.1136/bmj.m4856" TargetMode="External" /><Relationship Type="http://schemas.openxmlformats.org/officeDocument/2006/relationships/hyperlink" Id="rId142" Target="https://doi.org/10.1186/s12874-024-02244-z" TargetMode="External" /><Relationship Type="http://schemas.openxmlformats.org/officeDocument/2006/relationships/hyperlink" Id="rId150" Target="https://doi.org/10.13063/2327-9214.1244" TargetMode="External" /><Relationship Type="http://schemas.openxmlformats.org/officeDocument/2006/relationships/hyperlink" Id="rId127" Target="https://doi.org/10.1515/ijb-2013-0004" TargetMode="External" /><Relationship Type="http://schemas.openxmlformats.org/officeDocument/2006/relationships/hyperlink" Id="rId153" Target="https://doi.org/10.2202/1544-6115.1309" TargetMode="External" /><Relationship Type="http://schemas.openxmlformats.org/officeDocument/2006/relationships/hyperlink" Id="rId157" Target="https://doi.org/10.2202/1557-4679.1043" TargetMode="External" /><Relationship Type="http://schemas.openxmlformats.org/officeDocument/2006/relationships/hyperlink" Id="rId190" Target="https://doi.org/10.7326/M16-2607" TargetMode="External" /><Relationship Type="http://schemas.openxmlformats.org/officeDocument/2006/relationships/hyperlink" Id="rId116" Target="https://github.com/amertens/clean-room-sim" TargetMode="External" /><Relationship Type="http://schemas.openxmlformats.org/officeDocument/2006/relationships/hyperlink" Id="rId115" Target="https://github.com/amertens/cleanTMLE" TargetMode="External" /><Relationship Type="http://schemas.openxmlformats.org/officeDocument/2006/relationships/hyperlink" Id="rId173" Target="https://www.R-project.org/" TargetMode="External" /><Relationship Type="http://schemas.openxmlformats.org/officeDocument/2006/relationships/hyperlink" Id="rId131" Target="https://www.ema.europa.eu/en/about-us/how-we-work/big-data/real-world-evidence" TargetMode="External" /><Relationship Type="http://schemas.openxmlformats.org/officeDocument/2006/relationships/hyperlink" Id="rId129" Target="https://www.ema.europa.eu/en/guideline-registry-based-studies-scientific-guideline" TargetMode="External" /><Relationship Type="http://schemas.openxmlformats.org/officeDocument/2006/relationships/hyperlink" Id="rId180" Target="https://www.fda.gov/media/120060/download" TargetMode="External" /><Relationship Type="http://schemas.openxmlformats.org/officeDocument/2006/relationships/hyperlink" Id="rId184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6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2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88" Target="https://www.fda.gov/regulatory-information/search-fda-guidance-documents/real-world-evidence-considerations-regarding-non-interventional-studies-drug-and-biological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https://doi.org/10.1002/cpt.2399" TargetMode="External" /><Relationship Type="http://schemas.openxmlformats.org/officeDocument/2006/relationships/hyperlink" Id="rId136" Target="https://doi.org/10.1002/cpt.2466" TargetMode="External" /><Relationship Type="http://schemas.openxmlformats.org/officeDocument/2006/relationships/hyperlink" Id="rId138" Target="https://doi.org/10.1002/cpt.2883" TargetMode="External" /><Relationship Type="http://schemas.openxmlformats.org/officeDocument/2006/relationships/hyperlink" Id="rId161" Target="https://doi.org/10.1002/pds.5623" TargetMode="External" /><Relationship Type="http://schemas.openxmlformats.org/officeDocument/2006/relationships/hyperlink" Id="rId194" Target="https://doi.org/10.1002/pds.5642" TargetMode="External" /><Relationship Type="http://schemas.openxmlformats.org/officeDocument/2006/relationships/hyperlink" Id="rId167" Target="https://doi.org/10.1002/pds.5770" TargetMode="External" /><Relationship Type="http://schemas.openxmlformats.org/officeDocument/2006/relationships/hyperlink" Id="rId155" Target="https://doi.org/10.1007/978-1-4419-9782-1" TargetMode="External" /><Relationship Type="http://schemas.openxmlformats.org/officeDocument/2006/relationships/hyperlink" Id="rId134" Target="https://doi.org/10.1016/j.csda.2013.10.018" TargetMode="External" /><Relationship Type="http://schemas.openxmlformats.org/officeDocument/2006/relationships/hyperlink" Id="rId125" Target="https://doi.org/10.1017/cts.2023.635" TargetMode="External" /><Relationship Type="http://schemas.openxmlformats.org/officeDocument/2006/relationships/hyperlink" Id="rId140" Target="https://doi.org/10.1080/19466315.2022.2116104" TargetMode="External" /><Relationship Type="http://schemas.openxmlformats.org/officeDocument/2006/relationships/hyperlink" Id="rId144" Target="https://doi.org/10.1093/aje/kwv254" TargetMode="External" /><Relationship Type="http://schemas.openxmlformats.org/officeDocument/2006/relationships/hyperlink" Id="rId178" Target="https://doi.org/10.1093/aje/kww165" TargetMode="External" /><Relationship Type="http://schemas.openxmlformats.org/officeDocument/2006/relationships/hyperlink" Id="rId171" Target="https://doi.org/10.1093/ije/dyad023" TargetMode="External" /><Relationship Type="http://schemas.openxmlformats.org/officeDocument/2006/relationships/hyperlink" Id="rId159" Target="https://doi.org/10.1093/ije/dyu149" TargetMode="External" /><Relationship Type="http://schemas.openxmlformats.org/officeDocument/2006/relationships/hyperlink" Id="rId169" Target="https://doi.org/10.1097/EDE.0000000000000078" TargetMode="External" /><Relationship Type="http://schemas.openxmlformats.org/officeDocument/2006/relationships/hyperlink" Id="rId163" Target="https://doi.org/10.1097/EDE.0b013e3181d61eeb" TargetMode="External" /><Relationship Type="http://schemas.openxmlformats.org/officeDocument/2006/relationships/hyperlink" Id="rId123" Target="https://doi.org/10.1111/ectj.12097" TargetMode="External" /><Relationship Type="http://schemas.openxmlformats.org/officeDocument/2006/relationships/hyperlink" Id="rId121" Target="https://doi.org/10.1136/bmj-2024-080483" TargetMode="External" /><Relationship Type="http://schemas.openxmlformats.org/officeDocument/2006/relationships/hyperlink" Id="rId192" Target="https://doi.org/10.1136/bmj.m4856" TargetMode="External" /><Relationship Type="http://schemas.openxmlformats.org/officeDocument/2006/relationships/hyperlink" Id="rId142" Target="https://doi.org/10.1186/s12874-024-02244-z" TargetMode="External" /><Relationship Type="http://schemas.openxmlformats.org/officeDocument/2006/relationships/hyperlink" Id="rId150" Target="https://doi.org/10.13063/2327-9214.1244" TargetMode="External" /><Relationship Type="http://schemas.openxmlformats.org/officeDocument/2006/relationships/hyperlink" Id="rId127" Target="https://doi.org/10.1515/ijb-2013-0004" TargetMode="External" /><Relationship Type="http://schemas.openxmlformats.org/officeDocument/2006/relationships/hyperlink" Id="rId153" Target="https://doi.org/10.2202/1544-6115.1309" TargetMode="External" /><Relationship Type="http://schemas.openxmlformats.org/officeDocument/2006/relationships/hyperlink" Id="rId157" Target="https://doi.org/10.2202/1557-4679.1043" TargetMode="External" /><Relationship Type="http://schemas.openxmlformats.org/officeDocument/2006/relationships/hyperlink" Id="rId190" Target="https://doi.org/10.7326/M16-2607" TargetMode="External" /><Relationship Type="http://schemas.openxmlformats.org/officeDocument/2006/relationships/hyperlink" Id="rId116" Target="https://github.com/amertens/clean-room-sim" TargetMode="External" /><Relationship Type="http://schemas.openxmlformats.org/officeDocument/2006/relationships/hyperlink" Id="rId115" Target="https://github.com/amertens/cleanTMLE" TargetMode="External" /><Relationship Type="http://schemas.openxmlformats.org/officeDocument/2006/relationships/hyperlink" Id="rId173" Target="https://www.R-project.org/" TargetMode="External" /><Relationship Type="http://schemas.openxmlformats.org/officeDocument/2006/relationships/hyperlink" Id="rId131" Target="https://www.ema.europa.eu/en/about-us/how-we-work/big-data/real-world-evidence" TargetMode="External" /><Relationship Type="http://schemas.openxmlformats.org/officeDocument/2006/relationships/hyperlink" Id="rId129" Target="https://www.ema.europa.eu/en/guideline-registry-based-studies-scientific-guideline" TargetMode="External" /><Relationship Type="http://schemas.openxmlformats.org/officeDocument/2006/relationships/hyperlink" Id="rId180" Target="https://www.fda.gov/media/120060/download" TargetMode="External" /><Relationship Type="http://schemas.openxmlformats.org/officeDocument/2006/relationships/hyperlink" Id="rId184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86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82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188" Target="https://www.fda.gov/regulatory-information/search-fda-guidance-documents/real-world-evidence-considerations-regarding-non-interventional-studies-drug-and-biological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2026-05-11T03:51:42Z</dcterms:created>
  <dcterms:modified xsi:type="dcterms:W3CDTF">2026-05-11T03:51:42Z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2026-05-10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