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108.png" ContentType="image/png"/>
  <Override PartName="/word/media/rId22.png" ContentType="image/png"/>
  <Override PartName="/word/media/rId76.png" ContentType="image/png"/>
  <Override PartName="/word/media/rId90.png" ContentType="image/png"/>
  <Override PartName="/word/media/rId73.png" ContentType="image/png"/>
  <Override PartName="/word/media/rId82.png" ContentType="image/png"/>
  <Override PartName="/word/media/rId79.png" ContentType="image/png"/>
  <Override PartName="/word/media/rId29.png" ContentType="image/png"/>
  <Override PartName="/word/media/rId111.png" ContentType="image/png"/>
  <Override PartName="/word/media/rId9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authorisation state. cleanTMLE authorisation</w:t>
      </w:r>
      <w:r>
        <w:t xml:space="preserve"> </w:t>
      </w:r>
      <w:r>
        <w:t xml:space="preserve">checks restrict the package’s exported primary-analysis functions</w:t>
      </w:r>
      <w:r>
        <w:t xml:space="preserve"> </w:t>
      </w:r>
      <w:r>
        <w:t xml:space="preserve">until the required checkpoints have been recorded. These checks</w:t>
      </w:r>
      <w:r>
        <w:t xml:space="preserve"> </w:t>
      </w:r>
      <w:r>
        <w:t xml:space="preserve">do not control raw-data access outside the package and therefore</w:t>
      </w:r>
      <w:r>
        <w:t xml:space="preserve"> </w:t>
      </w:r>
      <w:r>
        <w:t xml:space="preserve">complement, but do not replace, institutional clean-room</w:t>
      </w:r>
      <w:r>
        <w:t xml:space="preserve"> </w:t>
      </w:r>
      <w:r>
        <w:t xml:space="preserve">safeguards such as role separation, credentialed folders, and</w:t>
      </w:r>
      <w:r>
        <w:t xml:space="preserve"> </w:t>
      </w:r>
      <w:r>
        <w:t xml:space="preserve">review-team checkpoints. The package does not implement personnel</w:t>
      </w:r>
      <w:r>
        <w:t xml:space="preserve"> </w:t>
      </w:r>
      <w:r>
        <w:t xml:space="preserve">separation, source-data access controls, protocol adjudication,</w:t>
      </w:r>
      <w:r>
        <w:t xml:space="preserve"> </w:t>
      </w:r>
      <w:r>
        <w:t xml:space="preserve">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</w:t>
      </w:r>
      <w:r>
        <w:t xml:space="preserve"> 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 outcome missingness handled through</w:t>
            </w:r>
            <w:r>
              <w:t xml:space="preserve"> </w:t>
            </w:r>
            <w:r>
              <w:rPr>
                <w:b/>
                <w:bCs/>
              </w:rPr>
              <w:t xml:space="preserve">complete-case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IPCW</w:t>
            </w:r>
            <w:r>
              <w:t xml:space="preserve"> </w:t>
            </w:r>
            <w:r>
              <w:t xml:space="preserve">sensitivity paths under prespecified</w:t>
            </w:r>
            <w:r>
              <w:t xml:space="preserve"> </w:t>
            </w:r>
            <w:r>
              <w:t xml:space="preserve">missingness assumptions (a complete-case path that is unbiased under</w:t>
            </w:r>
            <w:r>
              <w:t xml:space="preserve"> </w:t>
            </w:r>
            <w:r>
              <w:t xml:space="preserve">MCAR, and an IPCW path that is unbiased under conditional</w:t>
            </w:r>
            <w:r>
              <w:t xml:space="preserve"> </w:t>
            </w:r>
            <w:r>
              <w:t xml:space="preserve">independent censoring given measured covariates and treatment). Within that scope, the package exposes the full</w:t>
            </w:r>
            <w:r>
              <w:t xml:space="preserve"> </w:t>
            </w:r>
            <w:r>
              <w:t xml:space="preserve">estimator spectrum: IPTW with stabilised weights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estimate_ipwrisk()</w:t>
            </w:r>
            <w:r>
              <w:t xml:space="preserve">), parametric g-computation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estimate_gcomprisk()</w:t>
            </w:r>
            <w:r>
              <w:t xml:space="preserve">), augmented IPW (</w:t>
            </w:r>
            <w:r>
              <w:rPr>
                <w:rStyle w:val="VerbatimChar"/>
              </w:rPr>
              <w:t xml:space="preserve">estimate_aipwrisk()</w:t>
            </w:r>
            <w:r>
              <w:t xml:space="preserve">),</w:t>
            </w:r>
            <w:r>
              <w:t xml:space="preserve"> </w:t>
            </w:r>
            <w:r>
              <w:t xml:space="preserve">and TMLE (</w:t>
            </w:r>
            <w:r>
              <w:rPr>
                <w:rStyle w:val="VerbatimChar"/>
              </w:rPr>
              <w:t xml:space="preserve">run_clean_tmle()</w:t>
            </w:r>
            <w:r>
              <w:t xml:space="preserve">, plus the modular</w:t>
            </w:r>
            <w:r>
              <w:t xml:space="preserve"> </w:t>
            </w:r>
            <w:r>
              <w:rPr>
                <w:rStyle w:val="VerbatimChar"/>
              </w:rPr>
              <w:t xml:space="preserve">fit_tmle_*()</w:t>
            </w:r>
            <w:r>
              <w:t xml:space="preserve"> </w:t>
            </w:r>
            <w:r>
              <w:t xml:space="preserve">primitives and the IPCW variant</w:t>
            </w:r>
            <w:r>
              <w:t xml:space="preserve"> </w:t>
            </w:r>
            <w:r>
              <w:rPr>
                <w:rStyle w:val="VerbatimChar"/>
              </w:rPr>
              <w:t xml:space="preserve">run_ipcw_tmle()</w:t>
            </w:r>
            <w:r>
              <w:t xml:space="preserve">). The</w:t>
            </w:r>
            <w:r>
              <w:t xml:space="preserve"> </w:t>
            </w:r>
            <w:r>
              <w:t xml:space="preserve">prespecified primary estimator is TMLE; the other three are</w:t>
            </w:r>
            <w:r>
              <w:t xml:space="preserve"> </w:t>
            </w:r>
            <w:r>
              <w:t xml:space="preserve">reported as concordance checks.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The next</w:t>
      </w:r>
      <w:r>
        <w:t xml:space="preserve"> </w:t>
      </w:r>
      <w:r>
        <w:t xml:space="preserve">section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hyperlink w:anchor="tbl-lay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7"/>
              <w:gridCol w:w="1000"/>
              <w:gridCol w:w="2167"/>
              <w:gridCol w:w="1834"/>
              <w:gridCol w:w="1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casestudy">
                    <w:r>
                      <w:rPr>
                        <w:rStyle w:val="Hyperlink"/>
                      </w:rPr>
                      <w:t xml:space="preserve">Section 9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d">
                    <w:r>
                      <w:rPr>
                        <w:rStyle w:val="Hyperlink"/>
                      </w:rPr>
                      <w:t xml:space="preserve">Section 3.4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framework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q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bridge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</w:t>
      </w:r>
      <w:hyperlink w:anchor="tbl-event-diag">
        <w:r>
          <w:rPr>
            <w:rStyle w:val="Hyperlink"/>
          </w:rPr>
          <w:t xml:space="preserve">Table 3</w:t>
        </w:r>
      </w:hyperlink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</w:t>
      </w:r>
      <w:r>
        <w:t xml:space="preserve"> </w:t>
      </w:r>
      <w:hyperlink w:anchor="sec-estimand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</w:t>
      </w:r>
      <w:r>
        <w:t xml:space="preserve"> </w:t>
      </w:r>
      <w:hyperlink w:anchor="sec-implementation">
        <w:r>
          <w:rPr>
            <w:rStyle w:val="Hyperlink"/>
          </w:rPr>
          <w:t xml:space="preserve">Section 7</w:t>
        </w:r>
      </w:hyperlink>
      <w:r>
        <w:t xml:space="preserve">–</w:t>
      </w:r>
      <w:hyperlink w:anchor="sec-casestudy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hyperlink w:anchor="sec-id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flags under a prespecified latent-U scenario,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50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p>
      <w:pPr>
        <w:pStyle w:val="BodyText"/>
      </w:pPr>
      <w:r>
        <w:t xml:space="preserve">Clean-room guidance addresses a limitation of preregistration:</w:t>
      </w:r>
      <w:r>
        <w:t xml:space="preserve"> </w:t>
      </w:r>
      <w:r>
        <w:t xml:space="preserve">during RWE execution, investigators often encounter data</w:t>
      </w:r>
      <w:r>
        <w:t xml:space="preserve"> </w:t>
      </w:r>
      <w:r>
        <w:t xml:space="preserve">incompleteness, coding limitations, sparse events, covariate</w:t>
      </w:r>
      <w:r>
        <w:t xml:space="preserve"> </w:t>
      </w:r>
      <w:r>
        <w:t xml:space="preserve">imbalance, model-convergence problems, and censoring or</w:t>
      </w:r>
      <w:r>
        <w:t xml:space="preserve"> </w:t>
      </w:r>
      <w:r>
        <w:t xml:space="preserve">missingness issues that require decisions after data access but</w:t>
      </w:r>
      <w:r>
        <w:t xml:space="preserve"> </w:t>
      </w:r>
      <w:r>
        <w:t xml:space="preserve">before comparative effect estimation</w:t>
      </w:r>
      <w:r>
        <w:t xml:space="preserve"> </w:t>
      </w:r>
      <w:r>
        <w:t xml:space="preserve">(McGrath et al. 2021; Muntner et al. 2024)</w:t>
      </w:r>
      <w:r>
        <w:t xml:space="preserve">. cleanTMLE</w:t>
      </w:r>
      <w:r>
        <w:t xml:space="preserve"> </w:t>
      </w:r>
      <w:r>
        <w:t xml:space="preserve">operationalises the software portion of this process by recording</w:t>
      </w:r>
      <w:r>
        <w:t xml:space="preserve"> </w:t>
      </w:r>
      <w:r>
        <w:t xml:space="preserve">pre-outcome diagnostics, checkpoint decisions, deviations, and</w:t>
      </w:r>
      <w:r>
        <w:t xml:space="preserve"> </w:t>
      </w:r>
      <w:r>
        <w:t xml:space="preserve">authorisation status before the observed primary</w:t>
      </w:r>
      <w:r>
        <w:t xml:space="preserve"> </w:t>
      </w:r>
      <w:r>
        <w:t xml:space="preserve">treatment-outcome association is estimated.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Start w:id="49" w:name="X8366091c17716bf729a771323a4e967384c878f"/>
    <w:p>
      <w:pPr>
        <w:pStyle w:val="Heading2"/>
      </w:pPr>
      <w:r>
        <w:t xml:space="preserve">4.4 Reviewer-facing pre-outcome study dossier</w:t>
      </w:r>
    </w:p>
    <w:p>
      <w:pPr>
        <w:pStyle w:val="FirstParagraph"/>
      </w:pPr>
      <w:r>
        <w:t xml:space="preserve">The pre-outcome study dossier is a structured bundle the review</w:t>
      </w:r>
      <w:r>
        <w:t xml:space="preserve"> </w:t>
      </w:r>
      <w:r>
        <w:t xml:space="preserve">team can read before authorising the primary analysis. It</w:t>
      </w:r>
      <w:r>
        <w:t xml:space="preserve"> </w:t>
      </w:r>
      <w:r>
        <w:t xml:space="preserve">consists of: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cleanTMLE artefact</w:t>
            </w:r>
          </w:p>
        </w:tc>
        <w:tc>
          <w:tcPr/>
          <w:p>
            <w:pPr>
              <w:pStyle w:val="Compact"/>
            </w:pPr>
            <w:r>
              <w:t xml:space="preserve">Outcome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and target-trial timing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attach_estimand()</w:t>
            </w:r>
            <w:r>
              <w:t xml:space="preserve"> </w:t>
            </w:r>
            <w:r>
              <w:t xml:space="preserve">+ target-trial timing table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 flow / attrition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attrition_table()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Event-process 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clean_event_process_table()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clean_check_event_processes()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 and missingness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make_table1()</w:t>
            </w:r>
            <w:r>
              <w:t xml:space="preserve">, missingness-pattern checks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overlap and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compute_ps_diagnostics()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love_plot_threeway()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Treatment- and IPCW-weight diagnostics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clean_weight_diagnostics()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extreme_weights()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Event-count and precision adequacy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checkpoint_cohort_adequacy()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estimate_design_precision()</w:t>
            </w:r>
          </w:p>
        </w:tc>
        <w:tc>
          <w:tcPr/>
          <w:p>
            <w:pPr>
              <w:pStyle w:val="Compact"/>
            </w:pPr>
            <w:r>
              <w:t xml:space="preserve">Marginal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plasmode candidate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run_plasmode_feasibility()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select_tmle_candidate()</w:t>
            </w:r>
          </w:p>
        </w:tc>
        <w:tc>
          <w:tcPr/>
          <w:p>
            <w:pPr>
              <w:pStyle w:val="Compact"/>
            </w:pPr>
            <w:r>
              <w:t xml:space="preserve">Synthetic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stress-test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run_plasmode_dq_stress()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summarize_dq_degradation()</w:t>
            </w:r>
          </w:p>
        </w:tc>
        <w:tc>
          <w:tcPr/>
          <w:p>
            <w:pPr>
              <w:pStyle w:val="Compact"/>
            </w:pPr>
            <w:r>
              <w:t xml:space="preserve">Synthetic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Negative-control eligibility and attrition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run_residual_confounding_stage()</w:t>
            </w:r>
            <w:r>
              <w:t xml:space="preserve">, NC attrition diagram</w:t>
            </w:r>
          </w:p>
        </w:tc>
        <w:tc>
          <w:tcPr/>
          <w:p>
            <w:pPr>
              <w:pStyle w:val="Compact"/>
            </w:pPr>
            <w:r>
              <w:t xml:space="preserve">Negative-control 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/ FLAG / STOP checkpoint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gate_all()</w:t>
            </w:r>
            <w:r>
              <w:t xml:space="preserve"> </w:t>
            </w:r>
            <w:r>
              <w:t xml:space="preserve">composite + per-checkpoint records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log and audit log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export_decision_log()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save_decision_log()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Authorisation record for primary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authorize_outcome_analysis()</w:t>
            </w:r>
          </w:p>
        </w:tc>
        <w:tc>
          <w:tcPr/>
          <w:p>
            <w:pPr>
              <w:pStyle w:val="Compact"/>
            </w:pPr>
            <w:r>
              <w:t xml:space="preserve">No Y</w:t>
            </w:r>
          </w:p>
        </w:tc>
      </w:tr>
    </w:tbl>
    <w:p>
      <w:pPr>
        <w:pStyle w:val="BodyText"/>
      </w:pPr>
      <w:r>
        <w:t xml:space="preserve">The dossier is the artefact the reviewer reads. Comparative</w:t>
      </w:r>
      <w:r>
        <w:t xml:space="preserve"> </w:t>
      </w:r>
      <w:r>
        <w:t xml:space="preserve">treatment-outcome estimates are not part of the dossier and are</w:t>
      </w:r>
      <w:r>
        <w:t xml:space="preserve"> </w:t>
      </w:r>
      <w:r>
        <w:t xml:space="preserve">produced only after authorisation.</w:t>
      </w:r>
    </w:p>
    <w:bookmarkEnd w:id="49"/>
    <w:bookmarkEnd w:id="50"/>
    <w:bookmarkStart w:id="57" w:name="sec-dq"/>
    <w:p>
      <w:pPr>
        <w:pStyle w:val="Heading1"/>
      </w:pPr>
      <w:r>
        <w:t xml:space="preserve">5. Data Quality as a Quantifiable Threat</w:t>
      </w:r>
    </w:p>
    <w:p>
      <w:pPr>
        <w:pStyle w:val="FirstParagraph"/>
      </w:pPr>
      <w:r>
        <w:t xml:space="preserve">The outcome-blind plasmode loop on which the DQ stress test is built</w:t>
      </w:r>
      <w:r>
        <w:t xml:space="preserve"> </w:t>
      </w:r>
      <w:r>
        <w:t xml:space="preserve">follows the guidance developed in the FIORD outcome-blind simulation</w:t>
      </w:r>
      <w:r>
        <w:t xml:space="preserve"> </w:t>
      </w:r>
      <w:r>
        <w:t xml:space="preserve">manuscript</w:t>
      </w:r>
      <w:r>
        <w:t xml:space="preserve"> </w:t>
      </w:r>
      <w:r>
        <w:t xml:space="preserve">(Nance et al. 2026)</w:t>
      </w:r>
      <w:r>
        <w:t xml:space="preserve">, which formalises a five-step pre-outcome</w:t>
      </w:r>
      <w:r>
        <w:t xml:space="preserve"> </w:t>
      </w:r>
      <w:r>
        <w:t xml:space="preserve">candidate-evaluation procedure: (1) declare the candidate estimators,</w:t>
      </w:r>
      <w:r>
        <w:t xml:space="preserve"> </w:t>
      </w:r>
      <w:r>
        <w:t xml:space="preserve">learner libraries, truncation grids, and variance methods to be</w:t>
      </w:r>
      <w:r>
        <w:t xml:space="preserve"> </w:t>
      </w:r>
      <w:r>
        <w:t xml:space="preserve">compared; (2) specify a data-generating process; (3) generate</w:t>
      </w:r>
      <w:r>
        <w:t xml:space="preserve"> </w:t>
      </w:r>
      <w:r>
        <w:t xml:space="preserve">replicates and apply candidate estimators factorially; (4) select</w:t>
      </w:r>
      <w:r>
        <w:t xml:space="preserve"> </w:t>
      </w:r>
      <w:r>
        <w:t xml:space="preserve">candidates in two stages, first the point estimator (against an</w:t>
      </w:r>
      <w:r>
        <w:t xml:space="preserve"> </w:t>
      </w:r>
      <w:r>
        <w:t xml:space="preserve">oracle-coverage screen built from the Monte Carlo empirical SE),</w:t>
      </w:r>
      <w:r>
        <w:t xml:space="preserve"> </w:t>
      </w:r>
      <w:r>
        <w:t xml:space="preserve">then the variance method; (5) implement on real data and report</w:t>
      </w:r>
      <w:r>
        <w:t xml:space="preserve"> </w:t>
      </w:r>
      <w:r>
        <w:t xml:space="preserve">transparently. FIORD also formalises a</w:t>
      </w:r>
      <w:r>
        <w:t xml:space="preserve"> </w:t>
      </w:r>
      <w:r>
        <w:rPr>
          <w:b/>
          <w:bCs/>
        </w:rPr>
        <w:t xml:space="preserve">spectrum of data-generating</w:t>
      </w:r>
      <w:r>
        <w:rPr>
          <w:b/>
          <w:bCs/>
        </w:rPr>
        <w:t xml:space="preserve"> </w:t>
      </w:r>
      <w:r>
        <w:rPr>
          <w:b/>
          <w:bCs/>
        </w:rPr>
        <w:t xml:space="preserve">processes</w:t>
      </w:r>
      <w:r>
        <w:t xml:space="preserve"> </w:t>
      </w:r>
      <w:r>
        <w:t xml:space="preserve">for the simulation, from fully investigator-specified</w:t>
      </w:r>
      <w:r>
        <w:t xml:space="preserve"> </w:t>
      </w:r>
      <w:r>
        <w:t xml:space="preserve">parametric structural equations, through hybrid generators that use</w:t>
      </w:r>
      <w:r>
        <w:t xml:space="preserve"> </w:t>
      </w:r>
      <w:r>
        <w:t xml:space="preserve">empirical covariates and fitted treatment / censoring mechanisms with</w:t>
      </w:r>
      <w:r>
        <w:t xml:space="preserve"> </w:t>
      </w:r>
      <w:r>
        <w:t xml:space="preserve">an investigator-specified outcome regression, to parametric bootstraps</w:t>
      </w:r>
      <w:r>
        <w:t xml:space="preserve"> </w:t>
      </w:r>
      <w:r>
        <w:t xml:space="preserve">from the fitted joint. cleanTMLE’s default plasmode sits in the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middle of this spectrum: it uses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 with a covariate-only outcome model, never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DQ stress test extends FIORD by</w:t>
      </w:r>
      <w:r>
        <w:t xml:space="preserve"> </w:t>
      </w:r>
      <w:r>
        <w:t xml:space="preserve">adding the prespecified perturbation step on top of the same</w:t>
      </w:r>
      <w:r>
        <w:t xml:space="preserve"> </w:t>
      </w:r>
      <w:r>
        <w:t xml:space="preserve">hybrid generator.</w:t>
      </w:r>
    </w:p>
    <w:bookmarkStart w:id="51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</w:t>
      </w:r>
      <w:r>
        <w:t xml:space="preserve"> </w:t>
      </w:r>
      <w:r>
        <w:t xml:space="preserve">(Austin 2009)</w:t>
      </w:r>
      <w:r>
        <w:t xml:space="preserve"> </w:t>
      </w:r>
      <w:r>
        <w:t xml:space="preserve">assess overlap,</w:t>
      </w:r>
      <w:r>
        <w:t xml:space="preserve"> </w:t>
      </w:r>
      <w:r>
        <w:t xml:space="preserve">balance, and design feasibility, not estimator operating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Negative-control analyses probe residual bias for selected NC</w:t>
      </w:r>
      <w:r>
        <w:t xml:space="preserve"> </w:t>
      </w:r>
      <w:r>
        <w:t xml:space="preserve">outcomes through a different data-generating channel and do not</w:t>
      </w:r>
      <w:r>
        <w:t xml:space="preserve"> </w:t>
      </w:r>
      <w:r>
        <w:t xml:space="preserve">characterise the behaviour of the primary estimator under DQ</w:t>
      </w:r>
      <w:r>
        <w:t xml:space="preserve"> </w:t>
      </w:r>
      <w:r>
        <w:t xml:space="preserve">perturbations.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 assess empirical comparability, overlap, and weight</w:t>
      </w:r>
      <w:r>
        <w:t xml:space="preserve"> </w:t>
      </w:r>
      <w:r>
        <w:t xml:space="preserve">stability, indicating whether the design is feasible under the</w:t>
      </w:r>
      <w:r>
        <w:t xml:space="preserve"> </w:t>
      </w:r>
      <w:r>
        <w:t xml:space="preserve">observed covariate and treatment distributions; they do not</w:t>
      </w:r>
      <w:r>
        <w:t xml:space="preserve"> </w:t>
      </w:r>
      <w:r>
        <w:t xml:space="preserve">estimate the operating characteristics of a candidate estimator.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1"/>
    <w:bookmarkStart w:id="52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2"/>
    <w:bookmarkStart w:id="53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</w:t>
      </w:r>
      <w:r>
        <w:t xml:space="preserve"> </w:t>
      </w:r>
      <w:r>
        <w:t xml:space="preserve">rule (</w:t>
      </w:r>
      <w:r>
        <w:rPr>
          <w:rStyle w:val="VerbatimChar"/>
        </w:rPr>
        <w:t xml:space="preserve">select_tmle_candidate(rule = "min_rmse")</w:t>
      </w:r>
      <w:r>
        <w:t xml:space="preserve">) is currently a</w:t>
      </w:r>
      <w:r>
        <w:t xml:space="preserve"> </w:t>
      </w:r>
      <w:r>
        <w:t xml:space="preserve">single-step approximation of the</w:t>
      </w:r>
      <w:r>
        <w:t xml:space="preserve"> </w:t>
      </w:r>
      <w:r>
        <w:rPr>
          <w:b/>
          <w:bCs/>
        </w:rPr>
        <w:t xml:space="preserve">two-stage selector</w:t>
      </w:r>
      <w:r>
        <w:t xml:space="preserve"> </w:t>
      </w:r>
      <w:r>
        <w:t xml:space="preserve">formalised</w:t>
      </w:r>
      <w:r>
        <w:t xml:space="preserve"> </w:t>
      </w:r>
      <w:r>
        <w:t xml:space="preserve">in FIORD</w:t>
      </w:r>
      <w:r>
        <w:t xml:space="preserve"> </w:t>
      </w:r>
      <w:r>
        <w:t xml:space="preserve">(Nance et al. 2026)</w:t>
      </w:r>
      <w:r>
        <w:t xml:space="preserve">: in FIORD’s procedure, candidates are</w:t>
      </w:r>
      <w:r>
        <w:t xml:space="preserve"> </w:t>
      </w:r>
      <w:r>
        <w:t xml:space="preserve">first screened to those that achieve nominal</w:t>
      </w:r>
      <w:r>
        <w:t xml:space="preserve"> </w:t>
      </w:r>
      <w:r>
        <w:rPr>
          <w:b/>
          <w:bCs/>
        </w:rPr>
        <w:t xml:space="preserve">oracle coverage</w:t>
      </w:r>
      <w:r>
        <w:t xml:space="preserve"> </w:t>
      </w:r>
      <w:r>
        <w:t xml:space="preserve">(a CI built from the Monte Carlo empirical SE), and the point</w:t>
      </w:r>
      <w:r>
        <w:t xml:space="preserve"> </w:t>
      </w:r>
      <w:r>
        <w:t xml:space="preserve">estimator with the lowest variance among the survivors is locked</w:t>
      </w:r>
      <w:r>
        <w:t xml:space="preserve"> </w:t>
      </w:r>
      <w:r>
        <w:t xml:space="preserve">in; the variance method is then selected separately to achieve</w:t>
      </w:r>
      <w:r>
        <w:t xml:space="preserve"> </w:t>
      </w:r>
      <w:r>
        <w:t xml:space="preserve">nominal coverage on the locked point estimator. The current cleanTMLE</w:t>
      </w:r>
      <w:r>
        <w:t xml:space="preserve"> </w:t>
      </w:r>
      <w:r>
        <w:t xml:space="preserve">rule conflates these two stages, choosing on RMSE only; the</w:t>
      </w:r>
      <w:r>
        <w:t xml:space="preserve"> </w:t>
      </w:r>
      <w:r>
        <w:t xml:space="preserve">forthcoming</w:t>
      </w:r>
      <w:r>
        <w:t xml:space="preserve"> </w:t>
      </w:r>
      <w:r>
        <w:rPr>
          <w:rStyle w:val="VerbatimChar"/>
        </w:rPr>
        <w:t xml:space="preserve">rule = "fiord_two_stage"</w:t>
      </w:r>
      <w:r>
        <w:t xml:space="preserve"> </w:t>
      </w:r>
      <w:r>
        <w:t xml:space="preserve">(planned for cleanTMLE 0.2)</w:t>
      </w:r>
      <w:r>
        <w:t xml:space="preserve"> </w:t>
      </w:r>
      <w:r>
        <w:t xml:space="preserve">implements the full two-stage procedure. The rule can additionally</w:t>
      </w:r>
      <w:r>
        <w:t xml:space="preserve"> </w:t>
      </w:r>
      <w:r>
        <w:t xml:space="preserve">be augmented to require a maximum allowed degradation in the DQ</w:t>
      </w:r>
      <w:r>
        <w:t xml:space="preserve"> </w:t>
      </w:r>
      <w:r>
        <w:t xml:space="preserve">stress test, which excludes fragile candidates before the outcome</w:t>
      </w:r>
      <w:r>
        <w:t xml:space="preserve"> </w:t>
      </w:r>
      <w:r>
        <w:t xml:space="preserve">is accessed.</w:t>
      </w:r>
    </w:p>
    <w:p>
      <w:pPr>
        <w:pStyle w:val="BodyText"/>
      </w:pPr>
      <w:r>
        <w:t xml:space="preserve">The truncation level inside a TMLE candidate is more than a</w:t>
      </w:r>
      <w:r>
        <w:t xml:space="preserve"> </w:t>
      </w:r>
      <w:r>
        <w:t xml:space="preserve">variance-stabilising tuning knob. Trimming or truncating the</w:t>
      </w:r>
      <w:r>
        <w:t xml:space="preserve"> </w:t>
      </w:r>
      <w:r>
        <w:t xml:space="preserve">propensity score alters the effective target population by</w:t>
      </w:r>
      <w:r>
        <w:t xml:space="preserve"> </w:t>
      </w:r>
      <w:r>
        <w:t xml:space="preserve">restricting support to units with adequate overlap, and therefore</w:t>
      </w:r>
      <w:r>
        <w:t xml:space="preserve"> </w:t>
      </w:r>
      <w:r>
        <w:t xml:space="preserve">changes the estimand itself rather than only the variance of the</w:t>
      </w:r>
      <w:r>
        <w:t xml:space="preserve"> </w:t>
      </w:r>
      <w:r>
        <w:t xml:space="preserve">estimator</w:t>
      </w:r>
      <w:r>
        <w:t xml:space="preserve"> </w:t>
      </w:r>
      <w:r>
        <w:t xml:space="preserve">(Lash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 rather than chosen</w:t>
      </w:r>
      <w:r>
        <w:t xml:space="preserve"> </w:t>
      </w:r>
      <w:r>
        <w:t xml:space="preserve">post-hoc on the realised data.</w:t>
      </w:r>
    </w:p>
    <w:bookmarkEnd w:id="53"/>
    <w:bookmarkStart w:id="55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</w:t>
      </w:r>
      <w:r>
        <w:t xml:space="preserve"> </w:t>
      </w:r>
      <w:hyperlink w:anchor="tbl-threat-matrix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</w:t>
            </w:r>
            <w:r>
              <w:t xml:space="preserve"> </w:t>
            </w:r>
            <w:hyperlink w:anchor="sec-calibration">
              <w:r>
                <w:rPr>
                  <w:rStyle w:val="Hyperlink"/>
                </w:rPr>
                <w:t xml:space="preserve">Section 5.5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5"/>
    <w:bookmarkStart w:id="56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,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 and</w:t>
      </w:r>
      <w:r>
        <w:t xml:space="preserve"> </w:t>
      </w:r>
      <w:r>
        <w:t xml:space="preserve">in the limitations paragraph in the Discussion (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56"/>
    <w:bookmarkEnd w:id="57"/>
    <w:bookmarkStart w:id="62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8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8"/>
    <w:bookmarkStart w:id="59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9"/>
    <w:bookmarkStart w:id="60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60"/>
    <w:bookmarkStart w:id="61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plasmode generator and DQ stress test use</w:t>
      </w:r>
      <w:r>
        <w:t xml:space="preserve"> </w:t>
      </w:r>
      <w:r>
        <w:rPr>
          <w:b/>
          <w:bCs/>
        </w:rPr>
        <w:t xml:space="preserve">all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except the outcome</w:t>
      </w:r>
      <w:r>
        <w:t xml:space="preserve">: real baseline covariates</w:t>
      </w:r>
      <w:r>
        <w:t xml:space="preserve"> </w:t>
      </w:r>
      <m:oMath>
        <m:r>
          <m:t>W</m:t>
        </m:r>
      </m:oMath>
      <w:r>
        <w:t xml:space="preserve">, real treatment</w:t>
      </w:r>
      <w:r>
        <w:t xml:space="preserve"> </w:t>
      </w:r>
      <w:r>
        <w:t xml:space="preserve">assignment</w:t>
      </w:r>
      <w:r>
        <w:t xml:space="preserve"> </w:t>
      </w:r>
      <m:oMath>
        <m:r>
          <m:t>A</m:t>
        </m:r>
      </m:oMath>
      <w:r>
        <w:t xml:space="preserve">, real missingness indicators, real follow-up</w:t>
      </w:r>
      <w:r>
        <w:t xml:space="preserve"> </w:t>
      </w:r>
      <w:r>
        <w:t xml:space="preserve">intervals, but not the observed primary treatment-outcome</w:t>
      </w:r>
      <w:r>
        <w:t xml:space="preserve"> </w:t>
      </w:r>
      <w:r>
        <w:t xml:space="preserve">association. This phrasing, which we adopt from the FIORD</w:t>
      </w:r>
      <w:r>
        <w:t xml:space="preserve"> </w:t>
      </w:r>
      <w:r>
        <w:t xml:space="preserve">outcome-blind simulation literature</w:t>
      </w:r>
      <w:r>
        <w:t xml:space="preserve"> </w:t>
      </w:r>
      <w:r>
        <w:t xml:space="preserve">(Nance et al. 2026)</w:t>
      </w:r>
      <w:r>
        <w:t xml:space="preserve">, makes the</w:t>
      </w:r>
      <w:r>
        <w:t xml:space="preserve"> </w:t>
      </w:r>
      <w:r>
        <w:t xml:space="preserve">admissibility argument concrete: every input to the candidate</w:t>
      </w:r>
      <w:r>
        <w:t xml:space="preserve"> </w:t>
      </w:r>
      <w:r>
        <w:t xml:space="preserve">evaluation is drawn from the study data except the comparative</w:t>
      </w:r>
      <w:r>
        <w:t xml:space="preserve"> </w:t>
      </w:r>
      <w:r>
        <w:t xml:space="preserve">quantity the analysis is supposed to estimate. Depending on</w:t>
      </w:r>
      <w:r>
        <w:t xml:space="preserve"> </w:t>
      </w:r>
      <w:r>
        <w:t xml:space="preserve">configured mode, the plasmode generator may use the marginal</w:t>
      </w:r>
      <w:r>
        <w:t xml:space="preserve"> </w:t>
      </w:r>
      <w:r>
        <w:t xml:space="preserve">outcome model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mode that sits in the</w:t>
      </w:r>
      <w:r>
        <w:t xml:space="preserve"> </w:t>
      </w:r>
      <w:r>
        <w:t xml:space="preserve">middle of the FIORD DGP spectrum), or it may take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from external pilot data, with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 never inspected</w:t>
      </w:r>
      <w:r>
        <w:t xml:space="preserve"> </w:t>
      </w:r>
      <w:r>
        <w:t xml:space="preserve">(Dang et al. 2023, 7)</w:t>
      </w:r>
      <w:r>
        <w:t xml:space="preserve">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 the</w:t>
      </w:r>
      <w:r>
        <w:t xml:space="preserve"> </w:t>
      </w:r>
      <w:r>
        <w:t xml:space="preserve">observed treatment-outcome association in the actual study data.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1"/>
    <w:bookmarkEnd w:id="62"/>
    <w:bookmarkStart w:id="68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3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BodyText"/>
      </w:pPr>
      <w:r>
        <w:t xml:space="preserve">Before Stage 1b, the package’s</w:t>
      </w:r>
      <w:r>
        <w:t xml:space="preserve"> </w:t>
      </w:r>
      <w:r>
        <w:rPr>
          <w:rStyle w:val="VerbatimChar"/>
        </w:rPr>
        <w:t xml:space="preserve">attrition_table()</w:t>
      </w:r>
      <w:r>
        <w:t xml:space="preserve"> </w:t>
      </w:r>
      <w:r>
        <w:t xml:space="preserve">provides a</w:t>
      </w:r>
      <w:r>
        <w:t xml:space="preserve"> </w:t>
      </w:r>
      <w:r>
        <w:t xml:space="preserve">code-level ledger of inclusion and exclusion criteria, producing</w:t>
      </w:r>
      <w:r>
        <w:t xml:space="preserve"> </w:t>
      </w:r>
      <w:r>
        <w:t xml:space="preserve">a CONSORT-style flow from the raw source table to the analytic</w:t>
      </w:r>
      <w:r>
        <w:t xml:space="preserve"> </w:t>
      </w:r>
      <w:r>
        <w:t xml:space="preserve">cohort. Recording attrition this way anchors the locked cohort</w:t>
      </w:r>
      <w:r>
        <w:t xml:space="preserve"> </w:t>
      </w:r>
      <w:r>
        <w:t xml:space="preserve">definition to its data-driven realisation and gives the Stage 1b</w:t>
      </w:r>
      <w:r>
        <w:t xml:space="preserve"> </w:t>
      </w:r>
      <w:r>
        <w:t xml:space="preserve">cohort-adequacy checkpoint a reproducible source.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 plasmode candidate selection + Stage 2c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3"/>
    <w:bookmarkStart w:id="64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4"/>
    <w:bookmarkStart w:id="65" w:name="cumulative-risk-workflow-considerations"/>
    <w:p>
      <w:pPr>
        <w:pStyle w:val="Heading2"/>
      </w:pPr>
      <w:r>
        <w:t xml:space="preserve">7.3 Cumulative-risk workflow considerations</w:t>
      </w:r>
    </w:p>
    <w:p>
      <w:pPr>
        <w:pStyle w:val="FirstParagraph"/>
      </w:pPr>
      <w:r>
        <w:t xml:space="preserve">cleanTMLE provides software support for several analytic considerations</w:t>
      </w:r>
      <w:r>
        <w:t xml:space="preserve"> </w:t>
      </w:r>
      <w:r>
        <w:t xml:space="preserve">that arise in cumulative-risk pharmacoepidemiology workflows.</w:t>
      </w:r>
    </w:p>
    <w:p>
      <w:pPr>
        <w:pStyle w:val="BodyText"/>
      </w:pPr>
      <w:r>
        <w:rPr>
          <w:i/>
          <w:iCs/>
        </w:rPr>
        <w:t xml:space="preserve">Model specification grammar.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identify_*()</w:t>
      </w:r>
      <w:r>
        <w:t xml:space="preserve"> </w:t>
      </w:r>
      <w:r>
        <w:t xml:space="preserve">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identify_treatment()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identify_outcome()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identify_censoring()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identify_competing_risk()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identify_subject()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identify_interval()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identify_missing()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specify_models()</w:t>
      </w:r>
      <w:r>
        <w:t xml:space="preserve"> </w:t>
      </w:r>
      <w:r>
        <w:t xml:space="preserve">constructor allow</w:t>
      </w:r>
      <w:r>
        <w:t xml:space="preserve"> </w:t>
      </w:r>
      <w:r>
        <w:t xml:space="preserve">analysts to declare eligibility, treatment, outcome, censoring,</w:t>
      </w:r>
      <w:r>
        <w:t xml:space="preserve"> </w:t>
      </w:r>
      <w:r>
        <w:t xml:space="preserve">competing-risk, follow-up-interval, and intercurrent-event components</w:t>
      </w:r>
      <w:r>
        <w:t xml:space="preserve"> </w:t>
      </w:r>
      <w:r>
        <w:t xml:space="preserve">as code objects rather than prose. This lets the analysis lock</w:t>
      </w:r>
      <w:r>
        <w:t xml:space="preserve"> </w:t>
      </w:r>
      <w:r>
        <w:t xml:space="preserve">fingerprint the cohort definition together with the estimator.</w:t>
      </w:r>
    </w:p>
    <w:p>
      <w:pPr>
        <w:pStyle w:val="BodyText"/>
      </w:pPr>
      <w:r>
        <w:rPr>
          <w:i/>
          <w:iCs/>
        </w:rPr>
        <w:t xml:space="preserve">Cumulative-risk reporting.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compact table of cumulative risks at clinically meaningful follow-up</w:t>
      </w:r>
      <w:r>
        <w:t xml:space="preserve"> </w:t>
      </w:r>
      <w:r>
        <w:t xml:space="preserve">times, paired with risk-difference and risk-ratio summaries; the</w:t>
      </w:r>
      <w:r>
        <w:t xml:space="preserve"> </w:t>
      </w:r>
      <w:r>
        <w:rPr>
          <w:rStyle w:val="VerbatimChar"/>
        </w:rPr>
        <w:t xml:space="preserve">plot.cumrisk()</w:t>
      </w:r>
      <w:r>
        <w:t xml:space="preserve"> </w:t>
      </w:r>
      <w:r>
        <w:t xml:space="preserve">method renders the same content visually. The</w:t>
      </w:r>
      <w:r>
        <w:t xml:space="preserve"> </w:t>
      </w:r>
      <w:r>
        <w:t xml:space="preserve">package emphasises absolute risks at prespecified times rather than</w:t>
      </w:r>
      <w:r>
        <w:t xml:space="preserve"> </w:t>
      </w:r>
      <w:r>
        <w:t xml:space="preserve">ratio-only summaries.</w:t>
      </w:r>
    </w:p>
    <w:p>
      <w:pPr>
        <w:pStyle w:val="BodyText"/>
      </w:pPr>
      <w:r>
        <w:rPr>
          <w:i/>
          <w:iCs/>
        </w:rPr>
        <w:t xml:space="preserve">Censoring and missingness weights as a first-class analytic object.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carries inverse-probability-of-censoring weights</w:t>
      </w:r>
      <w:r>
        <w:t xml:space="preserve"> </w:t>
      </w:r>
      <w:r>
        <w:t xml:space="preserve">through the targeting step, and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exposes</w:t>
      </w:r>
      <w:r>
        <w:t xml:space="preserve"> </w:t>
      </w:r>
      <w:r>
        <w:t xml:space="preserve">effective sample size, weight percentiles, the maximum weight, and</w:t>
      </w:r>
      <w:r>
        <w:t xml:space="preserve"> </w:t>
      </w:r>
      <w:r>
        <w:t xml:space="preserve">prespecified instability thresholds so that weight behaviour is</w:t>
      </w:r>
      <w:r>
        <w:t xml:space="preserve"> </w:t>
      </w:r>
      <w:r>
        <w:t xml:space="preserve">auditable alongside the point estimate rather than buried inside a</w:t>
      </w:r>
      <w:r>
        <w:t xml:space="preserve"> </w:t>
      </w:r>
      <w:r>
        <w:t xml:space="preserve">nuisance fit.</w:t>
      </w:r>
    </w:p>
    <w:p>
      <w:pPr>
        <w:pStyle w:val="BodyText"/>
      </w:pPr>
      <w:r>
        <w:rPr>
          <w:i/>
          <w:iCs/>
        </w:rPr>
        <w:t xml:space="preserve">Event-process classification.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distinguish event of interest,</w:t>
      </w:r>
      <w:r>
        <w:t xml:space="preserve"> </w:t>
      </w:r>
      <w:r>
        <w:t xml:space="preserve">competing event, censoring, treatment discontinuation or switching,</w:t>
      </w:r>
      <w:r>
        <w:t xml:space="preserve"> </w:t>
      </w:r>
      <w:r>
        <w:t xml:space="preserve">transfer-driven exclusions, and administrative end of follow-up,</w:t>
      </w:r>
      <w:r>
        <w:t xml:space="preserve"> </w:t>
      </w:r>
      <w:r>
        <w:t xml:space="preserve">and check component-vs-composite coherence so that follow-up</w:t>
      </w:r>
      <w:r>
        <w:t xml:space="preserve"> </w:t>
      </w:r>
      <w:r>
        <w:t xml:space="preserve">accounting is explicit rather than implicit. These helpers record</w:t>
      </w:r>
      <w:r>
        <w:t xml:space="preserve"> </w:t>
      </w:r>
      <w:r>
        <w:t xml:space="preserve">and check event-process structure; v0.1 does not yet estimate</w:t>
      </w:r>
      <w:r>
        <w:t xml:space="preserve"> </w:t>
      </w:r>
      <w:r>
        <w:t xml:space="preserve">native competing-risk cumulative-incidence estimands.</w:t>
      </w:r>
    </w:p>
    <w:p>
      <w:pPr>
        <w:pStyle w:val="BodyText"/>
      </w:pPr>
      <w:r>
        <w:rPr>
          <w:i/>
          <w:iCs/>
        </w:rPr>
        <w:t xml:space="preserve">Hazard-ratio de-emphasis.</w:t>
      </w:r>
      <w:r>
        <w:t xml:space="preserve"> </w:t>
      </w:r>
      <w:r>
        <w:t xml:space="preserve">Cumulative risks, risk differences,</w:t>
      </w:r>
      <w:r>
        <w:t xml:space="preserve"> </w:t>
      </w:r>
      <w:r>
        <w:t xml:space="preserve">and risk ratios at clinically meaningful time points are more</w:t>
      </w:r>
      <w:r>
        <w:t xml:space="preserve"> </w:t>
      </w:r>
      <w:r>
        <w:t xml:space="preserve">directly aligned with counterfactual estimands in many RWE</w:t>
      </w:r>
      <w:r>
        <w:t xml:space="preserve"> </w:t>
      </w:r>
      <w:r>
        <w:t xml:space="preserve">settings. Hazard ratios are treated as secondary unless the</w:t>
      </w:r>
      <w:r>
        <w:t xml:space="preserve"> </w:t>
      </w:r>
      <w:r>
        <w:t xml:space="preserve">estimand is explicitly defined on the hazard scale and a</w:t>
      </w:r>
      <w:r>
        <w:t xml:space="preserve"> </w:t>
      </w:r>
      <w:r>
        <w:t xml:space="preserve">proportional-hazards interpretation is scientifically justified.</w:t>
      </w:r>
    </w:p>
    <w:bookmarkEnd w:id="65"/>
    <w:bookmarkStart w:id="66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IPTW weights are</w:t>
      </w:r>
      <w:r>
        <w:t xml:space="preserve"> </w:t>
      </w:r>
      <w:r>
        <w:t xml:space="preserve">stabilised by default in cleanTMLE; effective sample size is</w:t>
      </w:r>
      <w:r>
        <w:t xml:space="preserve"> </w:t>
      </w:r>
      <w:r>
        <w:t xml:space="preserve">reported using the Kish formula on the stabilised weights so that</w:t>
      </w:r>
      <w:r>
        <w:t xml:space="preserve"> </w:t>
      </w:r>
      <w:r>
        <w:t xml:space="preserve">ESS is comparable across truncation candidates and across the</w:t>
      </w:r>
      <w:r>
        <w:t xml:space="preserve"> </w:t>
      </w:r>
      <w:r>
        <w:t xml:space="preserve">treatment- and censoring-weight passes. Extreme observations are</w:t>
      </w:r>
      <w:r>
        <w:t xml:space="preserve"> </w:t>
      </w:r>
      <w:r>
        <w:t xml:space="preserve">listed via</w:t>
      </w:r>
      <w:r>
        <w:t xml:space="preserve"> </w:t>
      </w:r>
      <w:r>
        <w:rPr>
          <w:rStyle w:val="VerbatimChar"/>
        </w:rPr>
        <w:t xml:space="preserve">extreme_weights()</w:t>
      </w:r>
      <w:r>
        <w:t xml:space="preserve"> </w:t>
      </w:r>
      <w:r>
        <w:t xml:space="preserve">so the top-percentile units are</w:t>
      </w:r>
      <w:r>
        <w:t xml:space="preserve"> </w:t>
      </w:r>
      <w:r>
        <w:t xml:space="preserve">visible alongside the summary distribution.</w:t>
      </w:r>
    </w:p>
    <w:p>
      <w:pPr>
        <w:pStyle w:val="BodyText"/>
      </w:pPr>
      <w:r>
        <w:t xml:space="preserve">For covariate balance, the recommended display is a three-way</w:t>
      </w:r>
      <w:r>
        <w:t xml:space="preserve"> </w:t>
      </w:r>
      <w:r>
        <w:t xml:space="preserve">Love plot showing absolute standardised mean differences in the</w:t>
      </w:r>
      <w:r>
        <w:t xml:space="preserve"> </w:t>
      </w:r>
      <w:r>
        <w:t xml:space="preserve">unweighted cohort, after matching, and after stabilised IPTW</w:t>
      </w:r>
      <w:r>
        <w:t xml:space="preserve"> </w:t>
      </w:r>
      <w:r>
        <w:t xml:space="preserve">(</w:t>
      </w:r>
      <w:r>
        <w:rPr>
          <w:rStyle w:val="VerbatimChar"/>
        </w:rPr>
        <w:t xml:space="preserve">love_plot_threeway()</w:t>
      </w:r>
      <w:r>
        <w:t xml:space="preserve"> </w:t>
      </w:r>
      <w:r>
        <w:t xml:space="preserve">consumes a lock and the matched / IPTW</w:t>
      </w:r>
      <w:r>
        <w:t xml:space="preserve"> </w:t>
      </w:r>
      <w:r>
        <w:t xml:space="preserve">weights). Plotting the three on a single axis makes it visible</w:t>
      </w:r>
      <w:r>
        <w:t xml:space="preserve"> </w:t>
      </w:r>
      <w:r>
        <w:t xml:space="preserve">which covariates remain imbalanced under which weighting strategy</w:t>
      </w:r>
      <w:r>
        <w:t xml:space="preserve"> </w:t>
      </w:r>
      <w:r>
        <w:t xml:space="preserve">and supports the estimator-vs-estimand distinction recorded in the</w:t>
      </w:r>
      <w:r>
        <w:t xml:space="preserve"> </w:t>
      </w:r>
      <w:r>
        <w:t xml:space="preserve">candidate lock.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6"/>
    <w:bookmarkStart w:id="67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Cumulative risks, risk differences, and risk ratios at clinically</w:t>
      </w:r>
      <w:r>
        <w:t xml:space="preserve"> </w:t>
      </w:r>
      <w:r>
        <w:t xml:space="preserve">meaningful time points are more directly aligned with counterfactual</w:t>
      </w:r>
      <w:r>
        <w:t xml:space="preserve"> </w:t>
      </w:r>
      <w:r>
        <w:t xml:space="preserve">estimands in many RWE settings: each corresponds to a contrast of</w:t>
      </w:r>
      <w:r>
        <w:t xml:space="preserve"> </w:t>
      </w:r>
      <w:r>
        <w:t xml:space="preserve">counterfactual risks at a clinically interpretable horizon, with</w:t>
      </w:r>
      <w:r>
        <w:t xml:space="preserve"> </w:t>
      </w:r>
      <w:r>
        <w:t xml:space="preserve">no implicit averaging across a follow-up window during which the</w:t>
      </w:r>
      <w:r>
        <w:t xml:space="preserve"> </w:t>
      </w:r>
      <w:r>
        <w:t xml:space="preserve">hazard ratio may not be constant. Hazard ratios should be treated</w:t>
      </w:r>
      <w:r>
        <w:t xml:space="preserve"> </w:t>
      </w:r>
      <w:r>
        <w:t xml:space="preserve">as secondary unless the estimand is explicitly defined on the</w:t>
      </w:r>
      <w:r>
        <w:t xml:space="preserve"> </w:t>
      </w:r>
      <w:r>
        <w:t xml:space="preserve">hazard scale and a proportional-hazards interpretation is</w:t>
      </w:r>
      <w:r>
        <w:t xml:space="preserve"> </w:t>
      </w:r>
      <w:r>
        <w:t xml:space="preserve">scientifically justified for the question at hand. cleanTMLE</w:t>
      </w:r>
      <w:r>
        <w:t xml:space="preserve"> </w:t>
      </w:r>
      <w:r>
        <w:t xml:space="preserve">reflects this ordering: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single structured table of cumulative risks, contrasts, and event</w:t>
      </w:r>
      <w:r>
        <w:t xml:space="preserve"> </w:t>
      </w:r>
      <w:r>
        <w:t xml:space="preserve">counts at the prespecified follow-up time, and hazard-ratio</w:t>
      </w:r>
      <w:r>
        <w:t xml:space="preserve"> </w:t>
      </w:r>
      <w:r>
        <w:t xml:space="preserve">helpers are provided only as secondary analyses with an explicit</w:t>
      </w:r>
      <w:r>
        <w:t xml:space="preserve"> </w:t>
      </w:r>
      <w:r>
        <w:t xml:space="preserve">hazard-scale estimand declaration.</w:t>
      </w:r>
    </w:p>
    <w:bookmarkEnd w:id="67"/>
    <w:bookmarkEnd w:id="68"/>
    <w:bookmarkStart w:id="96" w:name="sec-simulation"/>
    <w:p>
      <w:pPr>
        <w:pStyle w:val="Heading1"/>
      </w:pPr>
      <w:r>
        <w:t xml:space="preserve">8. Simulation Study</w:t>
      </w:r>
    </w:p>
    <w:bookmarkStart w:id="69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9"/>
    <w:bookmarkStart w:id="86" w:name="monte-carlo-results"/>
    <w:p>
      <w:pPr>
        <w:pStyle w:val="Heading2"/>
      </w:pPr>
      <w:r>
        <w:t xml:space="preserve">8.2 Monte Carlo results</w:t>
      </w:r>
    </w:p>
    <w:bookmarkStart w:id="70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72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2"/>
    <w:bookmarkStart w:id="85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</w:t>
      </w:r>
      <w:r>
        <w:t xml:space="preserve"> </w:t>
      </w:r>
      <w:r>
        <w:rPr>
          <w:b/>
          <w:bCs/>
        </w:rPr>
        <w:t xml:space="preserve">variance-estimator selection</w:t>
      </w:r>
      <w:r>
        <w:t xml:space="preserve">, the</w:t>
      </w:r>
      <w:r>
        <w:t xml:space="preserve"> </w:t>
      </w:r>
      <w:r>
        <w:t xml:space="preserve">second stage of FIORD’s two-stage selector</w:t>
      </w:r>
      <w:r>
        <w:t xml:space="preserve"> </w:t>
      </w:r>
      <w:r>
        <w:t xml:space="preserve">(Nance et al. 2026)</w:t>
      </w:r>
      <w:r>
        <w:t xml:space="preserve">, and is</w:t>
      </w:r>
      <w:r>
        <w:t xml:space="preserve"> </w:t>
      </w:r>
      <w:r>
        <w:t xml:space="preserve">worth surfacing because it routinely surprises applied users. The</w:t>
      </w:r>
      <w:r>
        <w:t xml:space="preserve"> </w:t>
      </w:r>
      <w:r>
        <w:t xml:space="preserve">mean-SE-to-empirical-SD ratio for IPTW is often above one in our</w:t>
      </w:r>
      <w:r>
        <w:t xml:space="preserve"> </w:t>
      </w:r>
      <w:r>
        <w:t xml:space="preserve">scenarios, because the default IF-based variance estimator treats</w:t>
      </w:r>
      <w:r>
        <w:t xml:space="preserve"> </w:t>
      </w:r>
      <w:r>
        <w:t xml:space="preserve">the propensity score as known and is therefore conservative when</w:t>
      </w:r>
      <w:r>
        <w:t xml:space="preserve"> </w:t>
      </w:r>
      <w:r>
        <w:t xml:space="preserve">the propensity score has actually been estimated</w:t>
      </w:r>
      <w:r>
        <w:t xml:space="preserve"> </w:t>
      </w:r>
      <w:r>
        <w:t xml:space="preserve">(J. M. Robins and Rotnitzky 1992)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 fits</w:t>
      </w:r>
      <w:r>
        <w:t xml:space="preserve"> </w:t>
      </w:r>
      <w:r>
        <w:t xml:space="preserve">are properly cross-fit; the SE/SD ratio for TMLE_CF stays near one</w:t>
      </w:r>
      <w:r>
        <w:t xml:space="preserve"> </w:t>
      </w:r>
      <w:r>
        <w:t xml:space="preserve">across our scenarios. The matching-with-TMLE composition shows a</w:t>
      </w:r>
      <w:r>
        <w:t xml:space="preserve"> </w:t>
      </w:r>
      <w:r>
        <w:t xml:space="preserve">similar pattern in Scenario B, where the SE-to-empirical-SD ratio</w:t>
      </w:r>
      <w:r>
        <w:t xml:space="preserve"> </w:t>
      </w:r>
      <w:r>
        <w:t xml:space="preserve">reaches roughly two and coverage exceeds nominal, because the</w:t>
      </w:r>
      <w:r>
        <w:t xml:space="preserve"> </w:t>
      </w:r>
      <w:r>
        <w:t xml:space="preserve">post-match TMLE step treats the matched cohort as if it were a</w:t>
      </w:r>
      <w:r>
        <w:t xml:space="preserve"> </w:t>
      </w:r>
      <w:r>
        <w:t xml:space="preserve">fresh independent sample, ignoring the residual variability</w:t>
      </w:r>
      <w:r>
        <w:t xml:space="preserve"> </w:t>
      </w:r>
      <w:r>
        <w:t xml:space="preserve">introduced by the matching draw.</w:t>
      </w:r>
    </w:p>
    <w:p>
      <w:pPr>
        <w:pStyle w:val="BodyText"/>
      </w:pPr>
      <w:r>
        <w:t xml:space="preserve">The applied implication is consistent across the FIORD case study</w:t>
      </w:r>
      <w:r>
        <w:t xml:space="preserve"> </w:t>
      </w:r>
      <w:r>
        <w:t xml:space="preserve">(Nance et al. 2026)</w:t>
      </w:r>
      <w:r>
        <w:t xml:space="preserve">, the older Mertens–Zhang Danish-registry</w:t>
      </w:r>
      <w:r>
        <w:t xml:space="preserve"> </w:t>
      </w:r>
      <w:r>
        <w:t xml:space="preserve">investigation</w:t>
      </w:r>
      <w:r>
        <w:t xml:space="preserve"> </w:t>
      </w:r>
      <w:r>
        <w:t xml:space="preserve">(Mertens, Zhang, et al. 2024)</w:t>
      </w:r>
      <w:r>
        <w:t xml:space="preserve">, and our own results here: when</w:t>
      </w:r>
      <w:r>
        <w:t xml:space="preserve"> </w:t>
      </w:r>
      <w:r>
        <w:t xml:space="preserve">the prespecified primary is an IPW estimator, a matched-cohort</w:t>
      </w:r>
      <w:r>
        <w:t xml:space="preserve"> </w:t>
      </w:r>
      <w:r>
        <w:t xml:space="preserve">estimator, or any TMLE running on a non-i.i.d. sample, the</w:t>
      </w:r>
      <w:r>
        <w:t xml:space="preserve"> </w:t>
      </w:r>
      <w:r>
        <w:t xml:space="preserve">default IF-based variance is likely to be conservative and the</w:t>
      </w:r>
      <w:r>
        <w:t xml:space="preserve"> </w:t>
      </w:r>
      <w:r>
        <w:rPr>
          <w:b/>
          <w:bCs/>
        </w:rPr>
        <w:t xml:space="preserve">nonparametric bootstrap variance</w:t>
      </w:r>
      <w:r>
        <w:t xml:space="preserve"> </w:t>
      </w:r>
      <w:r>
        <w:t xml:space="preserve">is the principled fix. The</w:t>
      </w:r>
      <w:r>
        <w:t xml:space="preserve"> </w:t>
      </w:r>
      <w:r>
        <w:t xml:space="preserve">bootstrap is therefore the recommended variance method for the</w:t>
      </w:r>
      <w:r>
        <w:t xml:space="preserve"> </w:t>
      </w:r>
      <w:r>
        <w:t xml:space="preserve">two-stage selector’s second stage in cleanTMLE 0.2; the present</w:t>
      </w:r>
      <w:r>
        <w:t xml:space="preserve"> </w:t>
      </w:r>
      <w:r>
        <w:t xml:space="preserve">release supports it externally and surfaces the IF-based SE for</w:t>
      </w:r>
      <w:r>
        <w:t xml:space="preserve"> </w:t>
      </w:r>
      <w:r>
        <w:t xml:space="preserve">back-compatibility.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4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7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80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" title="" id="8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forest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</w:t>
      </w:r>
    </w:p>
    <w:bookmarkEnd w:id="85"/>
    <w:bookmarkEnd w:id="86"/>
    <w:bookmarkStart w:id="94" w:name="plasmode-dq-stress-test-results"/>
    <w:p>
      <w:pPr>
        <w:pStyle w:val="Heading2"/>
      </w:pPr>
      <w:r>
        <w:t xml:space="preserve">8.3 Plasmode DQ stress-test results</w:t>
      </w:r>
    </w:p>
    <w:bookmarkStart w:id="87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7"/>
    <w:bookmarkStart w:id="88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8"/>
    <w:bookmarkStart w:id="89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9"/>
    <w:bookmarkStart w:id="93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hyperlink w:anchor="sec-limitations">
        <w:r>
          <w:rPr>
            <w:rStyle w:val="Hyperlink"/>
          </w:rPr>
          <w:t xml:space="preserve">Section 10.6</w:t>
        </w:r>
      </w:hyperlink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91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93"/>
    <w:bookmarkEnd w:id="94"/>
    <w:bookmarkStart w:id="95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0.01044</w:t>
            </w:r>
          </w:p>
        </w:tc>
      </w:tr>
    </w:tbl>
    <w:bookmarkEnd w:id="95"/>
    <w:bookmarkEnd w:id="96"/>
    <w:bookmarkStart w:id="120" w:name="sec-casestudy"/>
    <w:p>
      <w:pPr>
        <w:pStyle w:val="Heading1"/>
      </w:pPr>
      <w:r>
        <w:t xml:space="preserve">9. Case Study: Rescue.Co Kenya Trauma Registry</w:t>
      </w:r>
    </w:p>
    <w:bookmarkStart w:id="97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</w:t>
      </w:r>
      <w:r>
        <w:t xml:space="preserve"> </w:t>
      </w:r>
      <w:hyperlink w:anchor="sec-casestudy-dq">
        <w:r>
          <w:rPr>
            <w:rStyle w:val="Hyperlink"/>
          </w:rPr>
          <w:t xml:space="preserve">Section 9.4</w:t>
        </w:r>
      </w:hyperlink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7"/>
    <w:bookmarkStart w:id="98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8"/>
    <w:bookmarkStart w:id="104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Start w:id="102" w:name="cohort-flow"/>
    <w:p>
      <w:pPr>
        <w:pStyle w:val="Heading3"/>
      </w:pPr>
      <w:r>
        <w:t xml:space="preserve">9.3.1 Cohort 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519855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8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Cohort attrition for the Rescue.Co Kenya Trauma Registry case study. Counts shown at each prespecified inclusion/exclusion criterion. Inter-facility transfers are excluded from the analytic cohort; complete-outcome rows are used for the unweighted estimators and for the IPCW-weighted complete-case TMLE.</w:t>
      </w:r>
      <w:r>
        <w:t xml:space="preserve"> </w:t>
      </w:r>
    </w:p>
    <w:bookmarkEnd w:id="102"/>
    <w:bookmarkStart w:id="103" w:name="analytic-setup-at-a-glance"/>
    <w:p>
      <w:pPr>
        <w:pStyle w:val="Heading3"/>
      </w:pPr>
      <w:r>
        <w:t xml:space="preserve">9.3.2 Analytic setup at a glance</w:t>
      </w:r>
    </w:p>
    <w:p>
      <w:pPr>
        <w:pStyle w:val="FirstParagraph"/>
      </w:pPr>
      <w:r>
        <w:t xml:space="preserve">Four compact setup tables make the case-study specification fully</w:t>
      </w:r>
      <w:r>
        <w:t xml:space="preserve"> </w:t>
      </w:r>
      <w:r>
        <w:t xml:space="preserve">visible in one place: the event process, the target populations</w:t>
      </w:r>
      <w:r>
        <w:t xml:space="preserve"> </w:t>
      </w:r>
      <w:r>
        <w:t xml:space="preserve">that each candidate procedure addresses, the weight-diagnostic</w:t>
      </w:r>
      <w:r>
        <w:t xml:space="preserve"> </w:t>
      </w:r>
      <w:r>
        <w:t xml:space="preserve">thresholds, and the candidate estimator-estimand pairs.</w:t>
      </w:r>
    </w:p>
    <w:p>
      <w:pPr>
        <w:pStyle w:val="BodyText"/>
      </w:pPr>
      <w:r>
        <w:rPr>
          <w:b/>
          <w:bCs/>
        </w:rPr>
        <w:t xml:space="preserve">Event-process table.</w:t>
      </w:r>
      <w:r>
        <w:t xml:space="preserve"> </w:t>
      </w:r>
      <w:r>
        <w:t xml:space="preserve">This table classifies every event-like</w:t>
      </w:r>
      <w:r>
        <w:t xml:space="preserve"> </w:t>
      </w:r>
      <w:r>
        <w:t xml:space="preserve">quantity in the cohort as outcome, censoring, missingness,</w:t>
      </w:r>
      <w:r>
        <w:t xml:space="preserve"> </w:t>
      </w:r>
      <w:r>
        <w:t xml:space="preserve">intercurrent event, exclusion, or administrative end of follow-up: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3"/>
        <w:gridCol w:w="2049"/>
        <w:gridCol w:w="3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Event-like quantity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&gt; 4 at 6 months</w:t>
            </w:r>
          </w:p>
        </w:tc>
        <w:tc>
          <w:tcPr/>
          <w:p>
            <w:pPr>
              <w:pStyle w:val="Compact"/>
            </w:pPr>
            <w:r>
              <w:t xml:space="preserve">Event of interest (outcome)</w:t>
            </w:r>
          </w:p>
        </w:tc>
        <w:tc>
          <w:tcPr/>
          <w:p>
            <w:pPr>
              <w:pStyle w:val="Compact"/>
            </w:pPr>
            <w:r>
              <w:t xml:space="preserve">Estimand: marginal RD on this binary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missing at 6 months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Primary: complete-outcome analysis; IPCW sensitivity under a conditional missingness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In-hospital death before 6-month GOSE</w:t>
            </w:r>
          </w:p>
        </w:tc>
        <w:tc>
          <w:tcPr/>
          <w:p>
            <w:pPr>
              <w:pStyle w:val="Compact"/>
            </w:pPr>
            <w:r>
              <w:t xml:space="preserve">Outcome component / intercurrent event</w:t>
            </w:r>
          </w:p>
        </w:tc>
        <w:tc>
          <w:tcPr/>
          <w:p>
            <w:pPr>
              <w:pStyle w:val="Compact"/>
            </w:pPr>
            <w:r>
              <w:t xml:space="preserve">Coded as GOSE = 1 under a composite or worst-rank strategy;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Inter-facility transfer at index event</w:t>
            </w:r>
          </w:p>
        </w:tc>
        <w:tc>
          <w:tcPr/>
          <w:p>
            <w:pPr>
              <w:pStyle w:val="Compact"/>
            </w:pPr>
            <w:r>
              <w:t xml:space="preserve">Exclusion</w:t>
            </w:r>
          </w:p>
        </w:tc>
        <w:tc>
          <w:tcPr/>
          <w:p>
            <w:pPr>
              <w:pStyle w:val="Compact"/>
            </w:pPr>
            <w:r>
              <w:t xml:space="preserve">Excluded from analytic cohort at Stage 1b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crossover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Point exposure at scene; no time-varying 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6-month follow-up window end</w:t>
            </w:r>
          </w:p>
        </w:tc>
        <w:tc>
          <w:tcPr/>
          <w:p>
            <w:pPr>
              <w:pStyle w:val="Compact"/>
            </w:pPr>
            <w:r>
              <w:t xml:space="preserve">Administrative end of FU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Target-population table.</w:t>
      </w:r>
      <w:r>
        <w:t xml:space="preserve"> </w:t>
      </w:r>
      <w:r>
        <w:t xml:space="preserve">Different candidate procedures</w:t>
      </w:r>
      <w:r>
        <w:t xml:space="preserve"> </w:t>
      </w:r>
      <w:r>
        <w:t xml:space="preserve">correspond to different target populations: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2"/>
        <w:gridCol w:w="47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Target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 (complete-case)</w:t>
            </w:r>
          </w:p>
        </w:tc>
        <w:tc>
          <w:tcPr/>
          <w:p>
            <w:pPr>
              <w:pStyle w:val="Compact"/>
            </w:pPr>
            <w:r>
              <w:t xml:space="preserve">Complete-outcome subset (n = 1,277)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Matched overlap subset (n = 615)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 (prespecified primary)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Matched overlap subset (n = 1,230)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</w:pPr>
            <w:r>
              <w:t xml:space="preserve">Complete-outcome rows weighted toward full-cohort marginal contrast</w:t>
            </w:r>
          </w:p>
        </w:tc>
      </w:tr>
    </w:tbl>
    <w:p>
      <w:pPr>
        <w:pStyle w:val="BodyText"/>
      </w:pPr>
      <w:r>
        <w:rPr>
          <w:b/>
          <w:bCs/>
        </w:rPr>
        <w:t xml:space="preserve">Weight-diagnostics table.</w:t>
      </w:r>
      <w:r>
        <w:t xml:space="preserve"> </w:t>
      </w:r>
      <w:r>
        <w:t xml:space="preserve">Treatment weights and missingness</w:t>
      </w:r>
      <w:r>
        <w:t xml:space="preserve"> </w:t>
      </w:r>
      <w:r>
        <w:t xml:space="preserve">weights are evaluated against prespecified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5"/>
        <w:gridCol w:w="1513"/>
        <w:gridCol w:w="1816"/>
        <w:gridCol w:w="28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Prespecified instability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weights (stabilised)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fit_ps_superlearner()</w:t>
            </w:r>
          </w:p>
        </w:tc>
        <w:tc>
          <w:tcPr/>
          <w:p>
            <w:pPr>
              <w:pStyle w:val="Compact"/>
            </w:pPr>
            <w:r>
              <w:t xml:space="preserve">Mean, SD, 99th pct, max, Kish ESS</w:t>
            </w:r>
          </w:p>
        </w:tc>
        <w:tc>
          <w:tcPr/>
          <w:p>
            <w:pPr>
              <w:pStyle w:val="Compact"/>
            </w:pPr>
            <w:r>
              <w:t xml:space="preserve">Max &gt; 10, or &gt; 1 % of weights above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IPCW weights (missingness)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run_ipcw_tmle()</w:t>
            </w:r>
          </w:p>
        </w:tc>
        <w:tc>
          <w:tcPr/>
          <w:p>
            <w:pPr>
              <w:pStyle w:val="Compact"/>
            </w:pPr>
            <w:r>
              <w:t xml:space="preserve">Mean, SD, 99th pct, max</w:t>
            </w:r>
          </w:p>
        </w:tc>
        <w:tc>
          <w:tcPr/>
          <w:p>
            <w:pPr>
              <w:pStyle w:val="Compact"/>
            </w:pPr>
            <w:r>
              <w:t xml:space="preserve">Max &gt;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(for</w:t>
            </w:r>
            <w:r>
              <w:t xml:space="preserve"> </w:t>
            </w:r>
            <w:r>
              <w:rPr>
                <w:rStyle w:val="VerbatimChar"/>
              </w:rPr>
              <w:t xml:space="preserve">Complete-outcome TMLE with IPCW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 of treatment and IPCW weights</w:t>
            </w:r>
          </w:p>
        </w:tc>
        <w:tc>
          <w:tcPr/>
          <w:p>
            <w:pPr>
              <w:pStyle w:val="Compact"/>
            </w:pPr>
            <w:r>
              <w:t xml:space="preserve">Mean, SD, max, ESS</w:t>
            </w:r>
          </w:p>
        </w:tc>
        <w:tc>
          <w:tcPr/>
          <w:p>
            <w:pPr>
              <w:pStyle w:val="Compact"/>
            </w:pPr>
            <w:r>
              <w:t xml:space="preserve">Max &gt; 15, or ESS &lt; 30 % of n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Estimator-estimand table.</w:t>
      </w:r>
      <w:r>
        <w:t xml:space="preserve"> </w:t>
      </w:r>
      <w:r>
        <w:t xml:space="preserve">Each candidate is recorded as a</w:t>
      </w:r>
      <w:r>
        <w:t xml:space="preserve"> </w:t>
      </w:r>
      <w:r>
        <w:t xml:space="preserve">paired estimator-and-estimand object: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119"/>
        <w:gridCol w:w="516"/>
        <w:gridCol w:w="602"/>
        <w:gridCol w:w="3400"/>
        <w:gridCol w:w="10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Nuisance library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Estimand implication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Marginal contrast in complete-outcome subset</w:t>
            </w:r>
          </w:p>
        </w:tc>
        <w:tc>
          <w:tcPr/>
          <w:p>
            <w:pPr>
              <w:pStyle w:val="Compact"/>
            </w:pPr>
            <w:r>
              <w:t xml:space="preserve">Reference comparator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Full-cohort marginal contrast estimated with stabilised, truncated treatment weights; truncation may approximate the practical estimand and should be reported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</w:pPr>
            <w:r>
              <w:t xml:space="preserve">SL ensemble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prespecified locked SL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SL ensemble (matched)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Sensitivity (target 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w/ IPCW</w:t>
            </w:r>
          </w:p>
        </w:tc>
        <w:tc>
          <w:tcPr/>
          <w:p>
            <w:pPr>
              <w:pStyle w:val="Compact"/>
            </w:pPr>
            <w:r>
              <w:t xml:space="preserve">SL ensemble + SL IPCW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IPCW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the locked missingness model</w:t>
            </w:r>
          </w:p>
        </w:tc>
        <w:tc>
          <w:tcPr/>
          <w:p>
            <w:pPr>
              <w:pStyle w:val="Compact"/>
            </w:pPr>
            <w:r>
              <w:t xml:space="preserve">Sensitivity (missingness)</w:t>
            </w:r>
          </w:p>
        </w:tc>
      </w:tr>
    </w:tbl>
    <w:p>
      <w:pPr>
        <w:pStyle w:val="BodyText"/>
      </w:pPr>
      <w:r>
        <w:t xml:space="preserve">These four tables make the analytic considerations explicit before</w:t>
      </w:r>
      <w:r>
        <w:t xml:space="preserve"> </w:t>
      </w:r>
      <w:r>
        <w:t xml:space="preserve">the pre-outcome decision rule is read. They also document the</w:t>
      </w:r>
      <w:r>
        <w:t xml:space="preserve"> </w:t>
      </w:r>
      <w:r>
        <w:t xml:space="preserve">estimand-vs-estimator distinction: candidates that differ by</w:t>
      </w:r>
      <w:r>
        <w:t xml:space="preserve"> </w:t>
      </w:r>
      <w:r>
        <w:t xml:space="preserve">truncation, matching, or IPCW correspond to different effective</w:t>
      </w:r>
      <w:r>
        <w:t xml:space="preserve"> </w:t>
      </w:r>
      <w:r>
        <w:t xml:space="preserve">target populations and are reported as paired objects rather than</w:t>
      </w:r>
      <w:r>
        <w:t xml:space="preserve"> </w:t>
      </w:r>
      <w:r>
        <w:t xml:space="preserve">interchangeable estimators of the same parameter.</w:t>
      </w:r>
    </w:p>
    <w:p>
      <w:pPr>
        <w:pStyle w:val="BodyText"/>
      </w:pPr>
      <w:r>
        <w:rPr>
          <w:b/>
          <w:bCs/>
        </w:rPr>
        <w:t xml:space="preserve">Target-trial timing table.</w:t>
      </w:r>
      <w:r>
        <w:t xml:space="preserve"> </w:t>
      </w:r>
      <w:r>
        <w:t xml:space="preserve">The following table records the</w:t>
      </w:r>
      <w:r>
        <w:t xml:space="preserve"> </w:t>
      </w:r>
      <w:r>
        <w:t xml:space="preserve">prespecified target-trial design elements and their lock status</w:t>
      </w:r>
      <w:r>
        <w:t xml:space="preserve"> </w:t>
      </w:r>
      <w:r>
        <w:t xml:space="preserve">before any outcome access.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 element</w:t>
            </w:r>
          </w:p>
        </w:tc>
        <w:tc>
          <w:tcPr/>
          <w:p>
            <w:pPr>
              <w:pStyle w:val="Compact"/>
            </w:pPr>
            <w:r>
              <w:t xml:space="preserve">Rescue.Co implementation</w:t>
            </w:r>
          </w:p>
        </w:tc>
        <w:tc>
          <w:tcPr/>
          <w:p>
            <w:pPr>
              <w:pStyle w:val="Compact"/>
            </w:pPr>
            <w:r>
              <w:t xml:space="preserve">Pre-outcome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date / time zero</w:t>
            </w:r>
          </w:p>
        </w:tc>
        <w:tc>
          <w:tcPr/>
          <w:p>
            <w:pPr>
              <w:pStyle w:val="Compact"/>
            </w:pPr>
            <w:r>
              <w:t xml:space="preserve">Time of trauma-related ambulance arrival at participating hospital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  <w:r>
              <w:t xml:space="preserve"> </w:t>
            </w:r>
            <w:r>
              <w:rPr>
                <w:rStyle w:val="VerbatimChar"/>
              </w:rPr>
              <w:t xml:space="preserve">identify_interval()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definition</w:t>
            </w:r>
          </w:p>
        </w:tc>
        <w:tc>
          <w:tcPr/>
          <w:p>
            <w:pPr>
              <w:pStyle w:val="Compact"/>
            </w:pPr>
            <w:r>
              <w:t xml:space="preserve">Rescue.Co EMS transport (A = 1) vs. other ambulance services (A = 0) at index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  <w:r>
              <w:t xml:space="preserve"> </w:t>
            </w:r>
            <w:r>
              <w:rPr>
                <w:rStyle w:val="VerbatimChar"/>
              </w:rPr>
              <w:t xml:space="preserve">identify_treatment()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group</w:t>
            </w:r>
          </w:p>
        </w:tc>
        <w:tc>
          <w:tcPr/>
          <w:p>
            <w:pPr>
              <w:pStyle w:val="Compact"/>
            </w:pPr>
            <w:r>
              <w:t xml:space="preserve">Other ambulance services at the same hospitals during the same period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Eligibility window</w:t>
            </w:r>
          </w:p>
        </w:tc>
        <w:tc>
          <w:tcPr/>
          <w:p>
            <w:pPr>
              <w:pStyle w:val="Compact"/>
            </w:pPr>
            <w:r>
              <w:t xml:space="preserve">2018 to 2024 trauma transports, direct-from-scene only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 window</w:t>
            </w:r>
          </w:p>
        </w:tc>
        <w:tc>
          <w:tcPr/>
          <w:p>
            <w:pPr>
              <w:pStyle w:val="Compact"/>
            </w:pPr>
            <w:r>
              <w:t xml:space="preserve">At or before index (no post-index covariates)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window</w:t>
            </w:r>
          </w:p>
        </w:tc>
        <w:tc>
          <w:tcPr/>
          <w:p>
            <w:pPr>
              <w:pStyle w:val="Compact"/>
            </w:pPr>
            <w:r>
              <w:t xml:space="preserve">6 months from index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definition</w:t>
            </w:r>
          </w:p>
        </w:tc>
        <w:tc>
          <w:tcPr/>
          <w:p>
            <w:pPr>
              <w:pStyle w:val="Compact"/>
            </w:pPr>
            <w:r>
              <w:t xml:space="preserve">GOSE &gt; 4 at 6 months (good functional outcome)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Missingness / censoring definition</w:t>
            </w:r>
          </w:p>
        </w:tc>
        <w:tc>
          <w:tcPr/>
          <w:p>
            <w:pPr>
              <w:pStyle w:val="Compact"/>
            </w:pPr>
            <w:r>
              <w:t xml:space="preserve">Missing 6-month GOSE = missingness; primary complete-outcome with IPCW sensitivity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discontinuation</w:t>
            </w:r>
          </w:p>
        </w:tc>
        <w:tc>
          <w:tcPr/>
          <w:p>
            <w:pPr>
              <w:pStyle w:val="Compact"/>
            </w:pPr>
            <w:r>
              <w:t xml:space="preserve">Not applicable (point exposure at scene)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end of follow-up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 intercurrent events / transfer groups</w:t>
            </w:r>
          </w:p>
        </w:tc>
        <w:tc>
          <w:tcPr/>
          <w:p>
            <w:pPr>
              <w:pStyle w:val="Compact"/>
            </w:pPr>
            <w:r>
              <w:t xml:space="preserve">Inter-facility transfers excluded; recorded as</w:t>
            </w:r>
            <w:r>
              <w:t xml:space="preserve"> </w:t>
            </w:r>
            <w:r>
              <w:rPr>
                <w:rStyle w:val="VerbatimChar"/>
              </w:rPr>
              <w:t xml:space="preserve">is_transfer</w:t>
            </w:r>
            <w:r>
              <w:t xml:space="preserve"> </w:t>
            </w:r>
            <w:r>
              <w:t xml:space="preserve">for sensitivity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Checkpoint dashboard.</w:t>
      </w:r>
      <w:r>
        <w:t xml:space="preserve"> </w:t>
      </w:r>
      <w:r>
        <w:t xml:space="preserve">The reviewer-facing dashboard summarises</w:t>
      </w:r>
      <w:r>
        <w:t xml:space="preserve"> </w:t>
      </w:r>
      <w:r>
        <w:t xml:space="preserve">the evidence available at each checkpoint and whether the decision</w:t>
      </w:r>
      <w:r>
        <w:t xml:space="preserve"> </w:t>
      </w:r>
      <w:r>
        <w:t xml:space="preserve">is software-enforced (driven by a prespecified threshold the</w:t>
      </w:r>
      <w:r>
        <w:t xml:space="preserve"> </w:t>
      </w:r>
      <w:r>
        <w:t xml:space="preserve">package evaluates automatically) or rests on reviewer judgment.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Evidence used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Reviewer interpretation</w:t>
            </w:r>
          </w:p>
        </w:tc>
        <w:tc>
          <w:tcPr/>
          <w:p>
            <w:pPr>
              <w:pStyle w:val="Compact"/>
            </w:pPr>
            <w:r>
              <w:t xml:space="preserve">Software-enforced vs 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 protocol/setup</w:t>
            </w:r>
          </w:p>
        </w:tc>
        <w:tc>
          <w:tcPr/>
          <w:p>
            <w:pPr>
              <w:pStyle w:val="Compact"/>
            </w:pPr>
            <w:r>
              <w:t xml:space="preserve">Target-trial timing table, SAP, lock fingerprint</w:t>
            </w:r>
          </w:p>
        </w:tc>
        <w:tc>
          <w:tcPr/>
          <w:p>
            <w:pPr>
              <w:pStyle w:val="Compact"/>
            </w:pPr>
            <w:r>
              <w:t xml:space="preserve">All design elements specified before data access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Cohort and estimand definitions complete</w:t>
            </w:r>
          </w:p>
        </w:tc>
        <w:tc>
          <w:tcPr/>
          <w:p>
            <w:pPr>
              <w:pStyle w:val="Compact"/>
            </w:pPr>
            <w:r>
              <w:t xml:space="preserve">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1b cohort adequacy and event 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checkpoint_cohort_adequacy()</w:t>
            </w:r>
            <w:r>
              <w:t xml:space="preserve"> </w:t>
            </w:r>
            <w:r>
              <w:t xml:space="preserve">output, attrition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min_n_per_arm</w:t>
            </w:r>
            <w:r>
              <w:t xml:space="preserve"> </w:t>
            </w:r>
            <w:r>
              <w:t xml:space="preserve">= 200,</w:t>
            </w:r>
            <w:r>
              <w:t xml:space="preserve"> </w:t>
            </w:r>
            <w:r>
              <w:rPr>
                <w:rStyle w:val="VerbatimChar"/>
              </w:rPr>
              <w:t xml:space="preserve">min_events</w:t>
            </w:r>
            <w:r>
              <w:t xml:space="preserve"> </w:t>
            </w:r>
            <w:r>
              <w:t xml:space="preserve">= 50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Adequate cohort for the prespecified estimand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2a overlap, balance, ESS, weight 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compute_ps_diagnostics()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love_plot_threeway()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clean_weight_diagnostics()</w:t>
            </w:r>
          </w:p>
        </w:tc>
        <w:tc>
          <w:tcPr/>
          <w:p>
            <w:pPr>
              <w:pStyle w:val="Compact"/>
            </w:pPr>
            <w:r>
              <w:t xml:space="preserve">PS in [0.01, 0.99]; max-SMD &lt;= 0.10 after weighting; max weight &lt;= 10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Positivity and balance acceptable for full-cohort target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2b baseline plasmode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run_plasmode_feasibility()</w:t>
            </w:r>
            <w:r>
              <w:t xml:space="preserve"> </w:t>
            </w:r>
            <w:r>
              <w:t xml:space="preserve">bias 0.001, coverage 0.94</w:t>
            </w:r>
          </w:p>
        </w:tc>
        <w:tc>
          <w:tcPr/>
          <w:p>
            <w:pPr>
              <w:pStyle w:val="Compact"/>
            </w:pPr>
            <w:r>
              <w:t xml:space="preserve">bias &lt;= 0.01, coverage &gt;= 0.90, SE/SD in (0.8, 1.2)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Candidate operates within prespecified envelope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2c DQ stress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run_plasmode_dq_stress()</w:t>
            </w:r>
            <w:r>
              <w:t xml:space="preserve"> </w:t>
            </w:r>
            <w:r>
              <w:t xml:space="preserve">minimax rule</w:t>
            </w:r>
          </w:p>
        </w:tc>
        <w:tc>
          <w:tcPr/>
          <w:p>
            <w:pPr>
              <w:pStyle w:val="Compact"/>
            </w:pPr>
            <w:r>
              <w:t xml:space="preserve">Each scenario within thresholds across severities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Selected candidate is stable across prespecified threats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 negative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run_residual_confounding_stage()</w:t>
            </w:r>
            <w:r>
              <w:t xml:space="preserve"> </w:t>
            </w:r>
            <w:r>
              <w:t xml:space="preserve">(2 of 5 NCs survived NZV; both pass)</w:t>
            </w:r>
          </w:p>
        </w:tc>
        <w:tc>
          <w:tcPr/>
          <w:p>
            <w:pPr>
              <w:pStyle w:val="Compact"/>
            </w:pPr>
            <w:r>
              <w:t xml:space="preserve">All analysed NCs pass at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= 0.05</w:t>
            </w:r>
          </w:p>
        </w:tc>
        <w:tc>
          <w:tcPr/>
          <w:p>
            <w:pPr>
              <w:pStyle w:val="Compact"/>
            </w:pPr>
            <w:r>
              <w:t xml:space="preserve">GO with FLAG</w:t>
            </w:r>
          </w:p>
        </w:tc>
        <w:tc>
          <w:tcPr/>
          <w:p>
            <w:pPr>
              <w:pStyle w:val="Compact"/>
            </w:pPr>
            <w:r>
              <w:t xml:space="preserve">Narrower NC panel than SAP; residual-confounding probe partial</w:t>
            </w:r>
          </w:p>
        </w:tc>
        <w:tc>
          <w:tcPr/>
          <w:p>
            <w:pPr>
              <w:pStyle w:val="Compact"/>
            </w:pPr>
            <w:r>
              <w:t xml:space="preserve">Reviewer-judgment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authorisation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authorize_outcome_analysis()</w:t>
            </w:r>
            <w:r>
              <w:t xml:space="preserve"> </w:t>
            </w:r>
            <w:r>
              <w:t xml:space="preserve">returns GO</w:t>
            </w:r>
          </w:p>
        </w:tc>
        <w:tc>
          <w:tcPr/>
          <w:p>
            <w:pPr>
              <w:pStyle w:val="Compact"/>
            </w:pPr>
            <w:r>
              <w:t xml:space="preserve">All preceding checkpoints GO or documented FLAG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Proceed to locked primary analysis</w:t>
            </w:r>
          </w:p>
        </w:tc>
        <w:tc>
          <w:tcPr/>
          <w:p>
            <w:pPr>
              <w:pStyle w:val="Compact"/>
            </w:pPr>
            <w:r>
              <w:t xml:space="preserve">Software-enforced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Decision-log example (illustrative).</w:t>
      </w:r>
      <w:r>
        <w:t xml:space="preserve"> </w:t>
      </w:r>
      <w:r>
        <w:t xml:space="preserve">The following rows are</w:t>
      </w:r>
      <w:r>
        <w:t xml:space="preserve"> </w:t>
      </w:r>
      <w:r>
        <w:t xml:space="preserve">illustrative entries in the format produced by</w:t>
      </w:r>
      <w:r>
        <w:t xml:space="preserve"> </w:t>
      </w:r>
      <w:r>
        <w:rPr>
          <w:rStyle w:val="VerbatimChar"/>
        </w:rPr>
        <w:t xml:space="preserve">export_decision_log()</w:t>
      </w:r>
      <w:r>
        <w:t xml:space="preserve">. They are not the literal log; they show</w:t>
      </w:r>
      <w:r>
        <w:t xml:space="preserve"> </w:t>
      </w:r>
      <w:r>
        <w:t xml:space="preserve">the structure a reviewer would read for each prespecified or</w:t>
      </w:r>
      <w:r>
        <w:t xml:space="preserve"> </w:t>
      </w:r>
      <w:r>
        <w:t xml:space="preserve">deviation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diagnostic or issue</w:t>
            </w:r>
          </w:p>
        </w:tc>
        <w:tc>
          <w:tcPr/>
          <w:p>
            <w:pPr>
              <w:pStyle w:val="Compact"/>
            </w:pPr>
            <w:r>
              <w:t xml:space="preserve">prespecified criterion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effect estimate visible?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  <w:tc>
          <w:tcPr/>
          <w:p>
            <w:pPr>
              <w:pStyle w:val="Compact"/>
            </w:pPr>
            <w:r>
              <w:t xml:space="preserve">override?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09:14</w:t>
            </w:r>
          </w:p>
        </w:tc>
        <w:tc>
          <w:tcPr/>
          <w:p>
            <w:pPr>
              <w:pStyle w:val="Compact"/>
            </w:pPr>
            <w:r>
              <w:t xml:space="preserve">Stage 2a</w:t>
            </w:r>
          </w:p>
        </w:tc>
        <w:tc>
          <w:tcPr/>
          <w:p>
            <w:pPr>
              <w:pStyle w:val="Compact"/>
            </w:pPr>
            <w:r>
              <w:t xml:space="preserve">Three NCs failed NZV filter</w:t>
            </w:r>
          </w:p>
        </w:tc>
        <w:tc>
          <w:tcPr/>
          <w:p>
            <w:pPr>
              <w:pStyle w:val="Compact"/>
            </w:pPr>
            <w:r>
              <w:t xml:space="preserve">NZV check at lock-fingerprint covariate set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Drop the three NCs; record narrower panel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Continue with 2 surviving NCs; note as limitation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11:02</w:t>
            </w:r>
          </w:p>
        </w:tc>
        <w:tc>
          <w:tcPr/>
          <w:p>
            <w:pPr>
              <w:pStyle w:val="Compact"/>
            </w:pPr>
            <w:r>
              <w:t xml:space="preserve">Stage 2c</w:t>
            </w:r>
          </w:p>
        </w:tc>
        <w:tc>
          <w:tcPr/>
          <w:p>
            <w:pPr>
              <w:pStyle w:val="Compact"/>
            </w:pPr>
            <w:r>
              <w:t xml:space="preserve">DQ stress run at</w:t>
            </w:r>
            <w:r>
              <w:t xml:space="preserve"> </w:t>
            </w:r>
            <w:r>
              <w:rPr>
                <w:rStyle w:val="VerbatimChar"/>
              </w:rPr>
              <w:t xml:space="preserve">n_sims = 3</w:t>
            </w:r>
            <w:r>
              <w:t xml:space="preserve"> </w:t>
            </w:r>
            <w:r>
              <w:t xml:space="preserve">for fast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n_sims</w:t>
            </w:r>
            <w:r>
              <w:t xml:space="preserve"> </w:t>
            </w:r>
            <w:r>
              <w:t xml:space="preserve">&gt;= 200 for inferential interpretation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Bundle low-replicate run as workflow demo; companion</w:t>
            </w:r>
            <w:r>
              <w:t xml:space="preserve"> </w:t>
            </w:r>
            <w:r>
              <w:rPr>
                <w:rStyle w:val="VerbatimChar"/>
              </w:rPr>
              <w:t xml:space="preserve">n_sims = 200</w:t>
            </w:r>
            <w:r>
              <w:t xml:space="preserve"> </w:t>
            </w:r>
            <w:r>
              <w:t xml:space="preserve">file confirms minimax winner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n_sims = 200</w:t>
            </w:r>
            <w:r>
              <w:t xml:space="preserve"> </w:t>
            </w:r>
            <w:r>
              <w:t xml:space="preserve">for inference; cite</w:t>
            </w:r>
            <w:r>
              <w:t xml:space="preserve"> </w:t>
            </w:r>
            <w:r>
              <w:rPr>
                <w:rStyle w:val="VerbatimChar"/>
              </w:rPr>
              <w:t xml:space="preserve">n_sims = 3</w:t>
            </w:r>
            <w:r>
              <w:t xml:space="preserve"> </w:t>
            </w:r>
            <w:r>
              <w:t xml:space="preserve">only as smoke test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2026-01-12 14:45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All checkpoints GO or documented FLAG</w:t>
            </w:r>
          </w:p>
        </w:tc>
        <w:tc>
          <w:tcPr/>
          <w:p>
            <w:pPr>
              <w:pStyle w:val="Compact"/>
            </w:pPr>
            <w:r>
              <w:t xml:space="preserve">All preceding stages recorded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Authorise Stage 4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Run locked primary analysis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03"/>
    <w:bookmarkEnd w:id="104"/>
    <w:bookmarkStart w:id="114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" title="" id="106" name="Picture"/>
            <a:graphic>
              <a:graphicData uri="http://schemas.openxmlformats.org/drawingml/2006/picture">
                <pic:pic>
                  <pic:nvPicPr>
                    <pic:cNvPr descr="../rescueCo/results/love_plot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" title="" id="109" name="Picture"/>
            <a:graphic>
              <a:graphicData uri="http://schemas.openxmlformats.org/drawingml/2006/picture">
                <pic:pic>
                  <pic:nvPicPr>
                    <pic:cNvPr descr="../rescueCo/results/weighted_love_plo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</w:t>
      </w:r>
    </w:p>
    <w:p>
      <w:pPr>
        <w:pStyle w:val="BodyText"/>
      </w:pPr>
      <w:r>
        <w:t xml:space="preserve">The treatment- and IPCW-weight distributions are reported as</w:t>
      </w:r>
      <w:r>
        <w:t xml:space="preserve"> </w:t>
      </w:r>
      <w:r>
        <w:t xml:space="preserve">diagnostic objects: mean, SD, 99th percentile, maximum, and Kish</w:t>
      </w:r>
      <w:r>
        <w:t xml:space="preserve"> </w:t>
      </w:r>
      <w:r>
        <w:t xml:space="preserve">ESS for each weight type, with the prespecified instability flags</w:t>
      </w:r>
      <w:r>
        <w:t xml:space="preserve"> </w:t>
      </w:r>
      <w:r>
        <w:t xml:space="preserve">in the weight-diagnostics table above. The stabilised treatment</w:t>
      </w:r>
      <w:r>
        <w:t xml:space="preserve"> </w:t>
      </w:r>
      <w:r>
        <w:t xml:space="preserve">weights do not exceed the prespecified maximum (10) and combined</w:t>
      </w:r>
      <w:r>
        <w:t xml:space="preserve"> </w:t>
      </w:r>
      <w:r>
        <w:t xml:space="preserve">treatment-times-IPCW weights remain within the (15, 30 % ESS)</w:t>
      </w:r>
      <w:r>
        <w:t xml:space="preserve"> </w:t>
      </w:r>
      <w:r>
        <w:t xml:space="preserve">envelope for the IPCW row. The Stage 2c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The</w:t>
      </w:r>
      <w:r>
        <w:t xml:space="preserve"> </w:t>
      </w:r>
      <w:r>
        <w:t xml:space="preserve">bundled low-replicate run is retained only as a fast reproducibility</w:t>
      </w:r>
      <w:r>
        <w:t xml:space="preserve"> </w:t>
      </w:r>
      <w:r>
        <w:t xml:space="preserve">example; the case-study DQ results should not be interpreted</w:t>
      </w:r>
      <w:r>
        <w:t xml:space="preserve"> </w:t>
      </w:r>
      <w:r>
        <w:t xml:space="preserve">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 The companion 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 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is provided to confirm the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5334000" cy="12532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Negative-control attrition. Five negative-control endpoints were prespecified in the SAP. Three were dropped at the data-sanitisation step because they failed near-zero-variance (NZV) filtering on the locked cohort. The two surviving NCs (chronic_hypertension, household_urban) carried enough variation to fit a stable PS-adjusted model and both passed. The residual-confounding probe therefore rests on a narrower NC panel than originally specified; the audit log records the drops.</w:t>
      </w:r>
      <w:r>
        <w:t xml:space="preserve"> </w:t>
      </w:r>
    </w:p>
    <w:p>
      <w:pPr>
        <w:pStyle w:val="BodyText"/>
      </w:pPr>
      <w:r>
        <w:t xml:space="preserve">Demonstrated in this case study: cohort flow, event counts,</w:t>
      </w:r>
      <w:r>
        <w:t xml:space="preserve"> </w:t>
      </w:r>
      <w:r>
        <w:t xml:space="preserve">missingness summary, PS overlap, three-way Love plot, weight</w:t>
      </w:r>
      <w:r>
        <w:t xml:space="preserve"> </w:t>
      </w:r>
      <w:r>
        <w:t xml:space="preserve">diagnostics, ESS, negative-control attrition, baseline plasmode</w:t>
      </w:r>
      <w:r>
        <w:t xml:space="preserve"> </w:t>
      </w:r>
      <w:r>
        <w:t xml:space="preserve">results, DQ stress-test results, authorisation gate. Not yet</w:t>
      </w:r>
      <w:r>
        <w:t xml:space="preserve"> </w:t>
      </w:r>
      <w:r>
        <w:t xml:space="preserve">implemented in this release: native competing-risk</w:t>
      </w:r>
      <w:r>
        <w:t xml:space="preserve"> </w:t>
      </w:r>
      <w:r>
        <w:t xml:space="preserve">cumulative-incidence estimands, time-varying treatment, MAR/MNAR</w:t>
      </w:r>
      <w:r>
        <w:t xml:space="preserve"> </w:t>
      </w:r>
      <w:r>
        <w:t xml:space="preserve">missingness models, full-cohort Delta-path IPCW-TMLE (the</w:t>
      </w:r>
      <w:r>
        <w:t xml:space="preserve"> </w:t>
      </w:r>
      <w:r>
        <w:t xml:space="preserve">function falls back to weighted complete-case), and the</w:t>
      </w:r>
      <w:r>
        <w:t xml:space="preserve"> </w:t>
      </w:r>
      <w:r>
        <w:t xml:space="preserve">matched-vs-full plasmode diagnostic that would disambiguate</w:t>
      </w:r>
      <w:r>
        <w:t xml:space="preserve"> </w:t>
      </w:r>
      <w:r>
        <w:t xml:space="preserve">whether the 0.5-to-1 percentage-point gap between the matched</w:t>
      </w:r>
      <w:r>
        <w:t xml:space="preserve"> </w:t>
      </w:r>
      <w:r>
        <w:t xml:space="preserve">(RD = 0.026) and full-cohort (RD = 0.031) TMLE estimates is</w:t>
      </w:r>
      <w:r>
        <w:t xml:space="preserve"> </w:t>
      </w:r>
      <w:r>
        <w:t xml:space="preserve">sampling noise plus the efficiency cost of matching, an effect-</w:t>
      </w:r>
      <w:r>
        <w:t xml:space="preserve"> </w:t>
      </w:r>
      <w:r>
        <w:t xml:space="preserve">modification signal, or a positivity-strain signal. That</w:t>
      </w:r>
      <w:r>
        <w:t xml:space="preserve"> </w:t>
      </w:r>
      <w:r>
        <w:t xml:space="preserve">diagnostic is on the cleanTMLE 0.2 roadmap.</w:t>
      </w:r>
    </w:p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were dropped from the NC</w:t>
      </w:r>
      <w:r>
        <w:t xml:space="preserve"> </w:t>
      </w:r>
      <w:r>
        <w:t xml:space="preserve">analysis at the data-sanitisation step because they failed</w:t>
      </w:r>
      <w:r>
        <w:t xml:space="preserve"> </w:t>
      </w:r>
      <w:r>
        <w:t xml:space="preserve">near-zero-variance filtering on the locked cohort; only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carried enough</w:t>
      </w:r>
      <w:r>
        <w:t xml:space="preserve"> </w:t>
      </w:r>
      <w:r>
        <w:t xml:space="preserve">variation to fit a stable 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114"/>
    <w:bookmarkStart w:id="115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The last row is a</w:t>
      </w:r>
      <w:r>
        <w:t xml:space="preserve"> </w:t>
      </w:r>
      <w:r>
        <w:rPr>
          <w:i/>
          <w:iCs/>
        </w:rPr>
        <w:t xml:space="preserve">complete-outcome</w:t>
      </w:r>
      <w:r>
        <w:t xml:space="preserve"> </w:t>
      </w:r>
      <w:r>
        <w:t xml:space="preserve">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the complete-case path with IPCW obsWeights; the function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The last row is a complete-outcome 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 tmle::tmle() Delta-path raised an error on this lock and run_ipcw_tmle() fell back to the complete-case path with IPCW obsWeights; the function records method_used = 'ipcw_weighted_complete_case' in the result object. A full-cohort Delta-path run is on the cleanTMLE 0.2 roadmap once the upstream tmle interface is pinned."/>
      </w:tblPr>
      <w:tblGrid>
        <w:gridCol w:w="2262"/>
        <w:gridCol w:w="4129"/>
        <w:gridCol w:w="282"/>
        <w:gridCol w:w="396"/>
        <w:gridCol w:w="452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rows, weighted toward the full-cohort marginal 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complete-outcome TMLE</w:t>
      </w:r>
      <w:r>
        <w:t xml:space="preserve"> </w:t>
      </w:r>
      <w:r>
        <w:t xml:space="preserve">with IPCW weights, which uses inverse-probability-of-censoring</w:t>
      </w:r>
      <w:r>
        <w:t xml:space="preserve"> </w:t>
      </w:r>
      <w:r>
        <w:t xml:space="preserve">weights to recover the full-cohort marginal contrast under the</w:t>
      </w:r>
      <w:r>
        <w:t xml:space="preserve"> </w:t>
      </w:r>
      <w:r>
        <w:t xml:space="preserve">missingness model, returns RD = 0.033 with a CI that just crosses</w:t>
      </w:r>
      <w:r>
        <w:t xml:space="preserve"> </w:t>
      </w:r>
      <w:r>
        <w:t xml:space="preserve">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outcome; the prespecified primary estimator does</w:t>
      </w:r>
      <w:r>
        <w:t xml:space="preserve"> </w:t>
      </w:r>
      <w:r>
        <w:t xml:space="preserve">not confirm the signal under the prespecified workflow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the analysis proceeded under prespecified</w:t>
      </w:r>
      <w:r>
        <w:t xml:space="preserve"> </w:t>
      </w:r>
      <w:r>
        <w:t xml:space="preserve">diagnostics.”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115"/>
    <w:bookmarkStart w:id="119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116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.</w:t>
      </w:r>
    </w:p>
    <w:bookmarkEnd w:id="116"/>
    <w:bookmarkStart w:id="117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design validation a reviewer would</w:t>
      </w:r>
      <w:r>
        <w:t xml:space="preserve"> </w:t>
      </w:r>
      <w:r>
        <w:t xml:space="preserve">want. Stage 2c then runs the full DQ stress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run_plasmode_dq_stress()</w:t>
      </w:r>
      <w:r>
        <w:t xml:space="preserve">) over the four threats and produces a</w:t>
      </w:r>
      <w:r>
        <w:t xml:space="preserve"> </w:t>
      </w:r>
      <w:r>
        <w:t xml:space="preserve">structural pass on each scenario. [NOTE: the bundled low-replicate</w:t>
      </w:r>
      <w:r>
        <w:t xml:space="preserve"> </w:t>
      </w:r>
      <w:r>
        <w:t xml:space="preserve">run uses 3 replicates per scenario × severity cell and is retained</w:t>
      </w:r>
      <w:r>
        <w:t xml:space="preserve"> </w:t>
      </w:r>
      <w:r>
        <w:t xml:space="preserve">only as a fast reproducibility example. The case-study DQ</w:t>
      </w:r>
      <w:r>
        <w:t xml:space="preserve"> </w:t>
      </w:r>
      <w:r>
        <w:t xml:space="preserve">results should not be interpreted 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 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to confirm the minimax winner</w:t>
      </w:r>
      <w:r>
        <w:t xml:space="preserve"> </w:t>
      </w:r>
      <w:r>
        <w:t xml:space="preserve">under sufficient replicates.]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117"/>
    <w:bookmarkStart w:id="118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18"/>
    <w:bookmarkEnd w:id="119"/>
    <w:bookmarkEnd w:id="120"/>
    <w:bookmarkStart w:id="134" w:name="sec-discussion"/>
    <w:p>
      <w:pPr>
        <w:pStyle w:val="Heading1"/>
      </w:pPr>
      <w:r>
        <w:t xml:space="preserve">10. Discussion</w:t>
      </w:r>
    </w:p>
    <w:bookmarkStart w:id="121" w:name="what-cleantmle-contributes-operationally"/>
    <w:p>
      <w:pPr>
        <w:pStyle w:val="Heading2"/>
      </w:pPr>
      <w:r>
        <w:t xml:space="preserve">10.1 What cleanTMLE contributes operationally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21"/>
    <w:bookmarkStart w:id="122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22"/>
    <w:bookmarkStart w:id="123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guidance,</w:t>
      </w:r>
      <w:r>
        <w:t xml:space="preserve"> </w:t>
      </w:r>
      <w:r>
        <w:t xml:space="preserve">EMA RWD guidance, and the NICE RWE framework expect</w:t>
      </w:r>
      <w:r>
        <w:t xml:space="preserve"> </w:t>
      </w:r>
      <w:r>
        <w:t xml:space="preserve">(U.S. Food and Drug Administration 2018, 2024a, 2024c; European Medicines Agency 2024; National Institute for Health and Care Excellence 2022)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23"/>
    <w:bookmarkStart w:id="124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24"/>
    <w:bookmarkStart w:id="125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25"/>
    <w:bookmarkStart w:id="126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26"/>
    <w:bookmarkStart w:id="130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27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27"/>
    <w:bookmarkStart w:id="128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28"/>
    <w:bookmarkStart w:id="129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as alternative</w:t>
      </w:r>
      <w:r>
        <w:t xml:space="preserve"> </w:t>
      </w:r>
      <w:r>
        <w:t xml:space="preserve">implementations.</w:t>
      </w:r>
    </w:p>
    <w:bookmarkEnd w:id="129"/>
    <w:bookmarkEnd w:id="130"/>
    <w:bookmarkStart w:id="131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FIORD two-stage candidate selector</w:t>
      </w:r>
      <w:r>
        <w:t xml:space="preserve"> </w:t>
      </w:r>
      <w:r>
        <w:t xml:space="preserve">(Nance et al. 2026)</w:t>
      </w:r>
      <w:r>
        <w:t xml:space="preserve">:</w:t>
      </w:r>
      <w:r>
        <w:t xml:space="preserve"> </w:t>
      </w:r>
      <w:r>
        <w:t xml:space="preserve">separate the point-estimator selection (oracle-coverage screen</w:t>
      </w:r>
      <w:r>
        <w:t xml:space="preserve"> </w:t>
      </w:r>
      <w:r>
        <w:t xml:space="preserve">on the Monte Carlo empirical SE) from the variance-method</w:t>
      </w:r>
      <w:r>
        <w:t xml:space="preserve"> </w:t>
      </w:r>
      <w:r>
        <w:t xml:space="preserve">selection, in place of the current single-step RMSE rule.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Nonparametric bootstrap variance</w:t>
      </w:r>
      <w:r>
        <w:t xml:space="preserve"> </w:t>
      </w:r>
      <w:r>
        <w:t xml:space="preserve">as the default variance</w:t>
      </w:r>
      <w:r>
        <w:t xml:space="preserve"> </w:t>
      </w:r>
      <w:r>
        <w:t xml:space="preserve">method for IPTW and matched-cohort estimators (the FIORD</w:t>
      </w:r>
      <w:r>
        <w:t xml:space="preserve"> </w:t>
      </w:r>
      <w:r>
        <w:t xml:space="preserve">case-study winner; see also</w:t>
      </w:r>
      <w:r>
        <w:t xml:space="preserve"> </w:t>
      </w:r>
      <w:r>
        <w:t xml:space="preserve">Mertens, Zhang, et al. (2024)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Unmeasured-confounding severity gradient:</w:t>
      </w:r>
      <w:r>
        <w:t xml:space="preserve"> </w:t>
      </w:r>
      <w:r>
        <w:t xml:space="preserve">vary the strength</w:t>
      </w:r>
      <w:r>
        <w:t xml:space="preserve"> </w:t>
      </w:r>
      <w:r>
        <w:t xml:space="preserve">of the latent-U scenario across a prespecified grid rather than</w:t>
      </w:r>
      <w:r>
        <w:t xml:space="preserve"> </w:t>
      </w:r>
      <w:r>
        <w:t xml:space="preserve">running a single strong-U setting, so the DQ stress test</w:t>
      </w:r>
      <w:r>
        <w:t xml:space="preserve"> </w:t>
      </w:r>
      <w:r>
        <w:t xml:space="preserve">produces an E-value-style sensitivity curve as a by-product.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Pre-protocol stress-test mode:</w:t>
      </w:r>
      <w:r>
        <w:t xml:space="preserve"> </w:t>
      </w:r>
      <w:r>
        <w:t xml:space="preserve">allow the plasmode and DQ</w:t>
      </w:r>
      <w:r>
        <w:t xml:space="preserve"> </w:t>
      </w:r>
      <w:r>
        <w:t xml:space="preserve">stress test to run on user-specified covariate distributions</w:t>
      </w:r>
      <w:r>
        <w:t xml:space="preserve"> </w:t>
      </w:r>
      <w:r>
        <w:t xml:space="preserve">and treatment-mechanism strength (no real data required) so</w:t>
      </w:r>
      <w:r>
        <w:t xml:space="preserve"> </w:t>
      </w:r>
      <w:r>
        <w:t xml:space="preserve">that investigators can decide which dataset to use before any</w:t>
      </w:r>
      <w:r>
        <w:t xml:space="preserve"> </w:t>
      </w:r>
      <w:r>
        <w:t xml:space="preserve">data-use agreement is signed.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DGP-spectrum argument</w:t>
      </w:r>
      <w:r>
        <w:t xml:space="preserve"> </w:t>
      </w:r>
      <w:r>
        <w:t xml:space="preserve">for the plasmode generator: structural-</w:t>
      </w:r>
      <w:r>
        <w:t xml:space="preserve"> </w:t>
      </w:r>
      <w:r>
        <w:t xml:space="preserve">equation (</w:t>
      </w:r>
      <w:r>
        <w:rPr>
          <w:rStyle w:val="VerbatimChar"/>
        </w:rPr>
        <w:t xml:space="preserve">simcausal</w:t>
      </w:r>
      <w:r>
        <w:t xml:space="preserve">-style), hybrid (current default), and</w:t>
      </w:r>
      <w:r>
        <w:t xml:space="preserve"> </w:t>
      </w:r>
      <w:r>
        <w:t xml:space="preserve">parametric-bootstrap modes, with synthetic-data fidelity metrics</w:t>
      </w:r>
      <w:r>
        <w:t xml:space="preserve"> </w:t>
      </w:r>
      <w:r>
        <w:t xml:space="preserve">(Hellinger / Wasserstein, or covariate SMDs between real and</w:t>
      </w:r>
      <w:r>
        <w:t xml:space="preserve"> </w:t>
      </w:r>
      <w:r>
        <w:t xml:space="preserve">synthetic samples) so the analyst can judge whether the DGP is</w:t>
      </w:r>
      <w:r>
        <w:t xml:space="preserve"> </w:t>
      </w:r>
      <w:r>
        <w:t xml:space="preserve">faithful enough to base candidate selection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Matched-cohort vs full-cohort plasmode diagnostic:</w:t>
      </w:r>
      <w:r>
        <w:t xml:space="preserve"> </w:t>
      </w:r>
      <w:r>
        <w:t xml:space="preserve">under a</w:t>
      </w:r>
      <w:r>
        <w:t xml:space="preserve"> </w:t>
      </w:r>
      <w:r>
        <w:t xml:space="preserve">known synthetic truth, compare the two estimators side by side</w:t>
      </w:r>
      <w:r>
        <w:t xml:space="preserve"> </w:t>
      </w:r>
      <w:r>
        <w:t xml:space="preserve">to diagnose whether observed real-data gaps are sampling noise</w:t>
      </w:r>
      <w:r>
        <w:t xml:space="preserve"> </w:t>
      </w:r>
      <w:r>
        <w:t xml:space="preserve">or positivity-driven.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ltmle</w:t>
      </w:r>
      <w:r>
        <w:t xml:space="preserve"> </w:t>
      </w:r>
      <w:r>
        <w:t xml:space="preserve">for the longitudinal FIORD setting) inside the lock</w:t>
      </w:r>
      <w:r>
        <w:t xml:space="preserve"> </w:t>
      </w:r>
      <w:r>
        <w:t xml:space="preserve">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31"/>
    <w:bookmarkStart w:id="132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32"/>
    <w:bookmarkStart w:id="133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33"/>
    <w:bookmarkEnd w:id="134"/>
    <w:bookmarkStart w:id="137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package is available at</w:t>
      </w:r>
      <w:r>
        <w:t xml:space="preserve"> </w:t>
      </w:r>
      <w:hyperlink r:id="rId135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36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37"/>
    <w:bookmarkStart w:id="13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 the broader</w:t>
      </w:r>
      <w:r>
        <w:t xml:space="preserve"> </w:t>
      </w:r>
      <w:r>
        <w:t xml:space="preserve">cumulative-risk pharmacoepidemiology literature whose estimand</w:t>
      </w:r>
      <w:r>
        <w:t xml:space="preserve"> </w:t>
      </w:r>
      <w:r>
        <w:t xml:space="preserve">framing motivated several of our diagnostic helpers. Any errors</w:t>
      </w:r>
      <w:r>
        <w:t xml:space="preserve"> </w:t>
      </w:r>
      <w:r>
        <w:t xml:space="preserve">are ours.</w:t>
      </w:r>
    </w:p>
    <w:bookmarkEnd w:id="138"/>
    <w:bookmarkStart w:id="224" w:name="references"/>
    <w:p>
      <w:pPr>
        <w:pStyle w:val="Heading1"/>
      </w:pPr>
      <w:r>
        <w:t xml:space="preserve">References</w:t>
      </w:r>
    </w:p>
    <w:bookmarkStart w:id="223" w:name="refs"/>
    <w:bookmarkStart w:id="140" w:name="ref-austin2009ps"/>
    <w:p>
      <w:pPr>
        <w:pStyle w:val="Bibliography"/>
      </w:pPr>
      <w:r>
        <w:t xml:space="preserve">Austin, Peter C. 2009.</w:t>
      </w:r>
      <w:r>
        <w:t xml:space="preserve"> </w:t>
      </w:r>
      <w:r>
        <w:t xml:space="preserve">“Balance Diagnostics for Comparing the Distribution of Baseline Covariates Between Treatment Groups in Propensity-Score Matched Samples.”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28 (25): 3083–3107.</w:t>
      </w:r>
      <w:r>
        <w:t xml:space="preserve"> </w:t>
      </w:r>
      <w:hyperlink r:id="rId139">
        <w:r>
          <w:rPr>
            <w:rStyle w:val="Hyperlink"/>
          </w:rPr>
          <w:t xml:space="preserve">https://doi.org/10.1002/sim.3697</w:t>
        </w:r>
      </w:hyperlink>
      <w:r>
        <w:t xml:space="preserve">.</w:t>
      </w:r>
    </w:p>
    <w:bookmarkEnd w:id="140"/>
    <w:bookmarkStart w:id="141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41"/>
    <w:bookmarkStart w:id="143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43"/>
    <w:bookmarkStart w:id="145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44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45"/>
    <w:bookmarkStart w:id="147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46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47"/>
    <w:bookmarkStart w:id="149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48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49"/>
    <w:bookmarkStart w:id="151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50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51"/>
    <w:bookmarkStart w:id="153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52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53"/>
    <w:bookmarkStart w:id="154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54"/>
    <w:bookmarkStart w:id="156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55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56"/>
    <w:bookmarkStart w:id="158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57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58"/>
    <w:bookmarkStart w:id="160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59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60"/>
    <w:bookmarkStart w:id="162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61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62"/>
    <w:bookmarkStart w:id="164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63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64"/>
    <w:bookmarkStart w:id="166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65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66"/>
    <w:bookmarkStart w:id="167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65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67"/>
    <w:bookmarkStart w:id="168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68"/>
    <w:bookmarkStart w:id="169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69"/>
    <w:bookmarkStart w:id="170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70"/>
    <w:bookmarkStart w:id="172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71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72"/>
    <w:bookmarkStart w:id="173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73"/>
    <w:bookmarkStart w:id="175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74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75"/>
    <w:bookmarkStart w:id="177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76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77"/>
    <w:bookmarkStart w:id="179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78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79"/>
    <w:bookmarkStart w:id="181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80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81"/>
    <w:bookmarkStart w:id="183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82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83"/>
    <w:bookmarkStart w:id="185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84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85"/>
    <w:bookmarkStart w:id="187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86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87"/>
    <w:bookmarkStart w:id="188" w:name="ref-mertens2024danish"/>
    <w:p>
      <w:pPr>
        <w:pStyle w:val="Bibliography"/>
      </w:pPr>
      <w:r>
        <w:t xml:space="preserve">Mertens, Andrew, Zhiwei Zhang, et al. 2024.</w:t>
      </w:r>
      <w:r>
        <w:t xml:space="preserve"> </w:t>
      </w:r>
      <w:r>
        <w:t xml:space="preserve">“Bootstrap Variance Estimation for TMLE Under Positivity Strain in a Danish Registry Comparative-Effectiveness Study.”</w:t>
      </w:r>
      <w:r>
        <w:t xml:space="preserve"> </w:t>
      </w:r>
      <w:r>
        <w:rPr>
          <w:i/>
          <w:iCs/>
        </w:rPr>
        <w:t xml:space="preserve">Working Paper</w:t>
      </w:r>
      <w:r>
        <w:t xml:space="preserve">.</w:t>
      </w:r>
    </w:p>
    <w:bookmarkEnd w:id="188"/>
    <w:bookmarkStart w:id="190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89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90"/>
    <w:bookmarkStart w:id="191" w:name="ref-nance2026fiord"/>
    <w:p>
      <w:pPr>
        <w:pStyle w:val="Bibliography"/>
      </w:pPr>
      <w:r>
        <w:t xml:space="preserve">Nance, Nerissa, Susan Gruber, Hashim Khan, Lina Han, Maya Petersen, Andrew Mertens, Mark J. van der Laan, and FIORD collaborators. 2026.</w:t>
      </w:r>
      <w:r>
        <w:t xml:space="preserve"> </w:t>
      </w:r>
      <w:r>
        <w:t xml:space="preserve">“Simulations to Specify Estimation Choices in Causal Analyses: A Longitudinal Case Study.”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.</w:t>
      </w:r>
    </w:p>
    <w:bookmarkEnd w:id="191"/>
    <w:bookmarkStart w:id="193" w:name="ref-nice2022rwe"/>
    <w:p>
      <w:pPr>
        <w:pStyle w:val="Bibliography"/>
      </w:pPr>
      <w:r>
        <w:t xml:space="preserve">National Institute for Health and Care Excellence. 2022.</w:t>
      </w:r>
      <w:r>
        <w:t xml:space="preserve"> </w:t>
      </w:r>
      <w:r>
        <w:t xml:space="preserve">“</w:t>
      </w:r>
      <w:r>
        <w:t xml:space="preserve">NICE</w:t>
      </w:r>
      <w:r>
        <w:t xml:space="preserve"> </w:t>
      </w:r>
      <w:r>
        <w:t xml:space="preserve">Real-World Evidence Framework (ECD9).”</w:t>
      </w:r>
      <w:r>
        <w:t xml:space="preserve"> </w:t>
      </w:r>
      <w:r>
        <w:t xml:space="preserve">NICE corporate document, London.</w:t>
      </w:r>
      <w:r>
        <w:t xml:space="preserve"> </w:t>
      </w:r>
      <w:hyperlink r:id="rId192">
        <w:r>
          <w:rPr>
            <w:rStyle w:val="Hyperlink"/>
          </w:rPr>
          <w:t xml:space="preserve">https://www.nice.org.uk/corporate/ecd9</w:t>
        </w:r>
      </w:hyperlink>
      <w:r>
        <w:t xml:space="preserve">.</w:t>
      </w:r>
    </w:p>
    <w:bookmarkEnd w:id="193"/>
    <w:bookmarkStart w:id="195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94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95"/>
    <w:bookmarkStart w:id="197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96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97"/>
    <w:bookmarkStart w:id="199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98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99"/>
    <w:bookmarkStart w:id="200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200"/>
    <w:bookmarkStart w:id="201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201"/>
    <w:bookmarkStart w:id="202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202"/>
    <w:bookmarkStart w:id="204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203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204"/>
    <w:bookmarkStart w:id="206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205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206"/>
    <w:bookmarkStart w:id="208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207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208"/>
    <w:bookmarkStart w:id="210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209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210"/>
    <w:bookmarkStart w:id="212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211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212"/>
    <w:bookmarkStart w:id="214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213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214"/>
    <w:bookmarkStart w:id="216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15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216"/>
    <w:bookmarkStart w:id="218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217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218"/>
    <w:bookmarkStart w:id="220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220"/>
    <w:bookmarkStart w:id="221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221"/>
    <w:bookmarkStart w:id="222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22"/>
    <w:bookmarkEnd w:id="223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png_0.1-8         </w:t>
      </w:r>
      <w:r>
        <w:br/>
      </w:r>
      <w:r>
        <w:rPr>
          <w:rStyle w:val="VerbatimChar"/>
        </w:rPr>
        <w:t xml:space="preserve">R&gt;   [9] splines_4.4.2      scales_1.4.0       yaml_2.3.10        fastmap_1.2.0     </w:t>
      </w:r>
      <w:r>
        <w:br/>
      </w:r>
      <w:r>
        <w:rPr>
          <w:rStyle w:val="VerbatimChar"/>
        </w:rPr>
        <w:t xml:space="preserve">R&gt;  [13] lattice_0.22-6     R6_2.6.1           labeling_0.4.3     generics_0.1.3    </w:t>
      </w:r>
      <w:r>
        <w:br/>
      </w:r>
      <w:r>
        <w:rPr>
          <w:rStyle w:val="VerbatimChar"/>
        </w:rPr>
        <w:t xml:space="preserve">R&gt;  [17] knitr_1.49         tibble_3.2.1       pillar_1.9.0       RColorBrewer_1.1-3</w:t>
      </w:r>
      <w:r>
        <w:br/>
      </w:r>
      <w:r>
        <w:rPr>
          <w:rStyle w:val="VerbatimChar"/>
        </w:rPr>
        <w:t xml:space="preserve">R&gt;  [21] rlang_1.1.7        utf8_1.2.4         xfun_0.49          S7_0.2.1          </w:t>
      </w:r>
      <w:r>
        <w:br/>
      </w:r>
      <w:r>
        <w:rPr>
          <w:rStyle w:val="VerbatimChar"/>
        </w:rPr>
        <w:t xml:space="preserve">R&gt;  [25] cli_3.6.5          withr_3.0.2        magrittr_2.0.3     digest_0.6.37     </w:t>
      </w:r>
      <w:r>
        <w:br/>
      </w:r>
      <w:r>
        <w:rPr>
          <w:rStyle w:val="VerbatimChar"/>
        </w:rPr>
        <w:t xml:space="preserve">R&gt;  [29] grid_4.4.2         sandwich_3.1-1     lifecycle_1.0.5    vctrs_0.7.1       </w:t>
      </w:r>
      <w:r>
        <w:br/>
      </w:r>
      <w:r>
        <w:rPr>
          <w:rStyle w:val="VerbatimChar"/>
        </w:rPr>
        <w:t xml:space="preserve">R&gt;  [33] evaluate_1.0.5     glue_1.8.0         farver_2.1.2       zoo_1.8-15        </w:t>
      </w:r>
      <w:r>
        <w:br/>
      </w:r>
      <w:r>
        <w:rPr>
          <w:rStyle w:val="VerbatimChar"/>
        </w:rPr>
        <w:t xml:space="preserve">R&gt;  [37] survival_3.7-0     fansi_1.0.6        rmarkdown_2.29     tools_4.4.2       </w:t>
      </w:r>
      <w:r>
        <w:br/>
      </w:r>
      <w:r>
        <w:rPr>
          <w:rStyle w:val="VerbatimChar"/>
        </w:rPr>
        <w:t xml:space="preserve">R&gt;  [41] pkgconfig_2.0.3    htmltools_0.5.8.1</w:t>
      </w:r>
    </w:p>
    <w:bookmarkEnd w:id="2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22" Target="media/rId22.png" /><Relationship Type="http://schemas.openxmlformats.org/officeDocument/2006/relationships/image" Id="rId76" Target="media/rId76.png" /><Relationship Type="http://schemas.openxmlformats.org/officeDocument/2006/relationships/image" Id="rId90" Target="media/rId90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29" Target="media/rId29.png" /><Relationship Type="http://schemas.openxmlformats.org/officeDocument/2006/relationships/image" Id="rId111" Target="media/rId111.png" /><Relationship Type="http://schemas.openxmlformats.org/officeDocument/2006/relationships/image" Id="rId99" Target="media/rId99.png" /><Relationship Type="http://schemas.openxmlformats.org/officeDocument/2006/relationships/image" Id="rId32" Target="media/rId32.png" /><Relationship Type="http://schemas.openxmlformats.org/officeDocument/2006/relationships/hyperlink" Id="rId186" Target="https://doi.org/10.1002/cpt.2399" TargetMode="External" /><Relationship Type="http://schemas.openxmlformats.org/officeDocument/2006/relationships/hyperlink" Id="rId157" Target="https://doi.org/10.1002/cpt.2466" TargetMode="External" /><Relationship Type="http://schemas.openxmlformats.org/officeDocument/2006/relationships/hyperlink" Id="rId159" Target="https://doi.org/10.1002/cpt.2883" TargetMode="External" /><Relationship Type="http://schemas.openxmlformats.org/officeDocument/2006/relationships/hyperlink" Id="rId182" Target="https://doi.org/10.1002/pds.5623" TargetMode="External" /><Relationship Type="http://schemas.openxmlformats.org/officeDocument/2006/relationships/hyperlink" Id="rId219" Target="https://doi.org/10.1002/pds.5642" TargetMode="External" /><Relationship Type="http://schemas.openxmlformats.org/officeDocument/2006/relationships/hyperlink" Id="rId189" Target="https://doi.org/10.1002/pds.5770" TargetMode="External" /><Relationship Type="http://schemas.openxmlformats.org/officeDocument/2006/relationships/hyperlink" Id="rId139" Target="https://doi.org/10.1002/sim.3697" TargetMode="External" /><Relationship Type="http://schemas.openxmlformats.org/officeDocument/2006/relationships/hyperlink" Id="rId176" Target="https://doi.org/10.1007/978-1-4419-9782-1" TargetMode="External" /><Relationship Type="http://schemas.openxmlformats.org/officeDocument/2006/relationships/hyperlink" Id="rId155" Target="https://doi.org/10.1016/j.csda.2013.10.018" TargetMode="External" /><Relationship Type="http://schemas.openxmlformats.org/officeDocument/2006/relationships/hyperlink" Id="rId146" Target="https://doi.org/10.1017/cts.2023.635" TargetMode="External" /><Relationship Type="http://schemas.openxmlformats.org/officeDocument/2006/relationships/hyperlink" Id="rId161" Target="https://doi.org/10.1080/19466315.2022.2116104" TargetMode="External" /><Relationship Type="http://schemas.openxmlformats.org/officeDocument/2006/relationships/hyperlink" Id="rId165" Target="https://doi.org/10.1093/aje/kwv254" TargetMode="External" /><Relationship Type="http://schemas.openxmlformats.org/officeDocument/2006/relationships/hyperlink" Id="rId203" Target="https://doi.org/10.1093/aje/kww165" TargetMode="External" /><Relationship Type="http://schemas.openxmlformats.org/officeDocument/2006/relationships/hyperlink" Id="rId196" Target="https://doi.org/10.1093/ije/dyad023" TargetMode="External" /><Relationship Type="http://schemas.openxmlformats.org/officeDocument/2006/relationships/hyperlink" Id="rId180" Target="https://doi.org/10.1093/ije/dyu149" TargetMode="External" /><Relationship Type="http://schemas.openxmlformats.org/officeDocument/2006/relationships/hyperlink" Id="rId194" Target="https://doi.org/10.1097/EDE.0000000000000078" TargetMode="External" /><Relationship Type="http://schemas.openxmlformats.org/officeDocument/2006/relationships/hyperlink" Id="rId184" Target="https://doi.org/10.1097/EDE.0b013e3181d61eeb" TargetMode="External" /><Relationship Type="http://schemas.openxmlformats.org/officeDocument/2006/relationships/hyperlink" Id="rId144" Target="https://doi.org/10.1111/ectj.12097" TargetMode="External" /><Relationship Type="http://schemas.openxmlformats.org/officeDocument/2006/relationships/hyperlink" Id="rId142" Target="https://doi.org/10.1136/bmj-2024-080483" TargetMode="External" /><Relationship Type="http://schemas.openxmlformats.org/officeDocument/2006/relationships/hyperlink" Id="rId217" Target="https://doi.org/10.1136/bmj.m4856" TargetMode="External" /><Relationship Type="http://schemas.openxmlformats.org/officeDocument/2006/relationships/hyperlink" Id="rId163" Target="https://doi.org/10.1186/s12874-024-02244-z" TargetMode="External" /><Relationship Type="http://schemas.openxmlformats.org/officeDocument/2006/relationships/hyperlink" Id="rId171" Target="https://doi.org/10.13063/2327-9214.1244" TargetMode="External" /><Relationship Type="http://schemas.openxmlformats.org/officeDocument/2006/relationships/hyperlink" Id="rId148" Target="https://doi.org/10.1515/ijb-2013-0004" TargetMode="External" /><Relationship Type="http://schemas.openxmlformats.org/officeDocument/2006/relationships/hyperlink" Id="rId174" Target="https://doi.org/10.2202/1544-6115.1309" TargetMode="External" /><Relationship Type="http://schemas.openxmlformats.org/officeDocument/2006/relationships/hyperlink" Id="rId178" Target="https://doi.org/10.2202/1557-4679.1043" TargetMode="External" /><Relationship Type="http://schemas.openxmlformats.org/officeDocument/2006/relationships/hyperlink" Id="rId215" Target="https://doi.org/10.7326/M16-2607" TargetMode="External" /><Relationship Type="http://schemas.openxmlformats.org/officeDocument/2006/relationships/hyperlink" Id="rId136" Target="https://github.com/amertens/clean-room-sim" TargetMode="External" /><Relationship Type="http://schemas.openxmlformats.org/officeDocument/2006/relationships/hyperlink" Id="rId135" Target="https://github.com/amertens/cleanTMLE" TargetMode="External" /><Relationship Type="http://schemas.openxmlformats.org/officeDocument/2006/relationships/hyperlink" Id="rId198" Target="https://www.R-project.org/" TargetMode="External" /><Relationship Type="http://schemas.openxmlformats.org/officeDocument/2006/relationships/hyperlink" Id="rId152" Target="https://www.ema.europa.eu/en/about-us/how-we-work/big-data/real-world-evidence" TargetMode="External" /><Relationship Type="http://schemas.openxmlformats.org/officeDocument/2006/relationships/hyperlink" Id="rId150" Target="https://www.ema.europa.eu/en/guideline-registry-based-studies-scientific-guideline" TargetMode="External" /><Relationship Type="http://schemas.openxmlformats.org/officeDocument/2006/relationships/hyperlink" Id="rId205" Target="https://www.fda.gov/media/120060/download" TargetMode="External" /><Relationship Type="http://schemas.openxmlformats.org/officeDocument/2006/relationships/hyperlink" Id="rId209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11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07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13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92" Target="https://www.nice.org.uk/corporate/ecd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https://doi.org/10.1002/cpt.2399" TargetMode="External" /><Relationship Type="http://schemas.openxmlformats.org/officeDocument/2006/relationships/hyperlink" Id="rId157" Target="https://doi.org/10.1002/cpt.2466" TargetMode="External" /><Relationship Type="http://schemas.openxmlformats.org/officeDocument/2006/relationships/hyperlink" Id="rId159" Target="https://doi.org/10.1002/cpt.2883" TargetMode="External" /><Relationship Type="http://schemas.openxmlformats.org/officeDocument/2006/relationships/hyperlink" Id="rId182" Target="https://doi.org/10.1002/pds.5623" TargetMode="External" /><Relationship Type="http://schemas.openxmlformats.org/officeDocument/2006/relationships/hyperlink" Id="rId219" Target="https://doi.org/10.1002/pds.5642" TargetMode="External" /><Relationship Type="http://schemas.openxmlformats.org/officeDocument/2006/relationships/hyperlink" Id="rId189" Target="https://doi.org/10.1002/pds.5770" TargetMode="External" /><Relationship Type="http://schemas.openxmlformats.org/officeDocument/2006/relationships/hyperlink" Id="rId139" Target="https://doi.org/10.1002/sim.3697" TargetMode="External" /><Relationship Type="http://schemas.openxmlformats.org/officeDocument/2006/relationships/hyperlink" Id="rId176" Target="https://doi.org/10.1007/978-1-4419-9782-1" TargetMode="External" /><Relationship Type="http://schemas.openxmlformats.org/officeDocument/2006/relationships/hyperlink" Id="rId155" Target="https://doi.org/10.1016/j.csda.2013.10.018" TargetMode="External" /><Relationship Type="http://schemas.openxmlformats.org/officeDocument/2006/relationships/hyperlink" Id="rId146" Target="https://doi.org/10.1017/cts.2023.635" TargetMode="External" /><Relationship Type="http://schemas.openxmlformats.org/officeDocument/2006/relationships/hyperlink" Id="rId161" Target="https://doi.org/10.1080/19466315.2022.2116104" TargetMode="External" /><Relationship Type="http://schemas.openxmlformats.org/officeDocument/2006/relationships/hyperlink" Id="rId165" Target="https://doi.org/10.1093/aje/kwv254" TargetMode="External" /><Relationship Type="http://schemas.openxmlformats.org/officeDocument/2006/relationships/hyperlink" Id="rId203" Target="https://doi.org/10.1093/aje/kww165" TargetMode="External" /><Relationship Type="http://schemas.openxmlformats.org/officeDocument/2006/relationships/hyperlink" Id="rId196" Target="https://doi.org/10.1093/ije/dyad023" TargetMode="External" /><Relationship Type="http://schemas.openxmlformats.org/officeDocument/2006/relationships/hyperlink" Id="rId180" Target="https://doi.org/10.1093/ije/dyu149" TargetMode="External" /><Relationship Type="http://schemas.openxmlformats.org/officeDocument/2006/relationships/hyperlink" Id="rId194" Target="https://doi.org/10.1097/EDE.0000000000000078" TargetMode="External" /><Relationship Type="http://schemas.openxmlformats.org/officeDocument/2006/relationships/hyperlink" Id="rId184" Target="https://doi.org/10.1097/EDE.0b013e3181d61eeb" TargetMode="External" /><Relationship Type="http://schemas.openxmlformats.org/officeDocument/2006/relationships/hyperlink" Id="rId144" Target="https://doi.org/10.1111/ectj.12097" TargetMode="External" /><Relationship Type="http://schemas.openxmlformats.org/officeDocument/2006/relationships/hyperlink" Id="rId142" Target="https://doi.org/10.1136/bmj-2024-080483" TargetMode="External" /><Relationship Type="http://schemas.openxmlformats.org/officeDocument/2006/relationships/hyperlink" Id="rId217" Target="https://doi.org/10.1136/bmj.m4856" TargetMode="External" /><Relationship Type="http://schemas.openxmlformats.org/officeDocument/2006/relationships/hyperlink" Id="rId163" Target="https://doi.org/10.1186/s12874-024-02244-z" TargetMode="External" /><Relationship Type="http://schemas.openxmlformats.org/officeDocument/2006/relationships/hyperlink" Id="rId171" Target="https://doi.org/10.13063/2327-9214.1244" TargetMode="External" /><Relationship Type="http://schemas.openxmlformats.org/officeDocument/2006/relationships/hyperlink" Id="rId148" Target="https://doi.org/10.1515/ijb-2013-0004" TargetMode="External" /><Relationship Type="http://schemas.openxmlformats.org/officeDocument/2006/relationships/hyperlink" Id="rId174" Target="https://doi.org/10.2202/1544-6115.1309" TargetMode="External" /><Relationship Type="http://schemas.openxmlformats.org/officeDocument/2006/relationships/hyperlink" Id="rId178" Target="https://doi.org/10.2202/1557-4679.1043" TargetMode="External" /><Relationship Type="http://schemas.openxmlformats.org/officeDocument/2006/relationships/hyperlink" Id="rId215" Target="https://doi.org/10.7326/M16-2607" TargetMode="External" /><Relationship Type="http://schemas.openxmlformats.org/officeDocument/2006/relationships/hyperlink" Id="rId136" Target="https://github.com/amertens/clean-room-sim" TargetMode="External" /><Relationship Type="http://schemas.openxmlformats.org/officeDocument/2006/relationships/hyperlink" Id="rId135" Target="https://github.com/amertens/cleanTMLE" TargetMode="External" /><Relationship Type="http://schemas.openxmlformats.org/officeDocument/2006/relationships/hyperlink" Id="rId198" Target="https://www.R-project.org/" TargetMode="External" /><Relationship Type="http://schemas.openxmlformats.org/officeDocument/2006/relationships/hyperlink" Id="rId152" Target="https://www.ema.europa.eu/en/about-us/how-we-work/big-data/real-world-evidence" TargetMode="External" /><Relationship Type="http://schemas.openxmlformats.org/officeDocument/2006/relationships/hyperlink" Id="rId150" Target="https://www.ema.europa.eu/en/guideline-registry-based-studies-scientific-guideline" TargetMode="External" /><Relationship Type="http://schemas.openxmlformats.org/officeDocument/2006/relationships/hyperlink" Id="rId205" Target="https://www.fda.gov/media/120060/download" TargetMode="External" /><Relationship Type="http://schemas.openxmlformats.org/officeDocument/2006/relationships/hyperlink" Id="rId209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11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07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13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92" Target="https://www.nice.org.uk/corporate/ecd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2026-05-11T18:29:11Z</dcterms:created>
  <dcterms:modified xsi:type="dcterms:W3CDTF">2026-05-11T18:29:11Z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