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108.png" ContentType="image/png"/>
  <Override PartName="/word/media/rId22.png" ContentType="image/png"/>
  <Override PartName="/word/media/rId76.png" ContentType="image/png"/>
  <Override PartName="/word/media/rId90.png" ContentType="image/png"/>
  <Override PartName="/word/media/rId73.png" ContentType="image/png"/>
  <Override PartName="/word/media/rId82.png" ContentType="image/png"/>
  <Override PartName="/word/media/rId79.png" ContentType="image/png"/>
  <Override PartName="/word/media/rId29.png" ContentType="image/png"/>
  <Override PartName="/word/media/rId111.png" ContentType="image/png"/>
  <Override PartName="/word/media/rId9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authorisation state. cleanTMLE authorisation</w:t>
      </w:r>
      <w:r>
        <w:t xml:space="preserve"> </w:t>
      </w:r>
      <w:r>
        <w:t xml:space="preserve">checks restrict the package’s exported primary-analysis functions</w:t>
      </w:r>
      <w:r>
        <w:t xml:space="preserve"> </w:t>
      </w:r>
      <w:r>
        <w:t xml:space="preserve">until the required checkpoints have been recorded. These checks</w:t>
      </w:r>
      <w:r>
        <w:t xml:space="preserve"> </w:t>
      </w:r>
      <w:r>
        <w:t xml:space="preserve">do not control raw-data access outside the package and therefore</w:t>
      </w:r>
      <w:r>
        <w:t xml:space="preserve"> </w:t>
      </w:r>
      <w:r>
        <w:t xml:space="preserve">complement, but do not replace, institutional clean-room</w:t>
      </w:r>
      <w:r>
        <w:t xml:space="preserve"> </w:t>
      </w:r>
      <w:r>
        <w:t xml:space="preserve">safeguards such as role separation, credentialed folders, and</w:t>
      </w:r>
      <w:r>
        <w:t xml:space="preserve"> </w:t>
      </w:r>
      <w:r>
        <w:t xml:space="preserve">review-team checkpoints. The package does not implement personnel</w:t>
      </w:r>
      <w:r>
        <w:t xml:space="preserve"> </w:t>
      </w:r>
      <w:r>
        <w:t xml:space="preserve">separation, source-data access controls, protocol adjudication,</w:t>
      </w:r>
      <w:r>
        <w:t xml:space="preserve"> </w:t>
      </w:r>
      <w:r>
        <w:t xml:space="preserve">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 outcome missingness handled through</w:t>
            </w:r>
            <w:r>
              <w:t xml:space="preserve"> </w:t>
            </w:r>
            <w:r>
              <w:rPr>
                <w:b/>
                <w:bCs/>
              </w:rPr>
              <w:t xml:space="preserve">complete-case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IPCW</w:t>
            </w:r>
            <w:r>
              <w:t xml:space="preserve"> </w:t>
            </w:r>
            <w:r>
              <w:t xml:space="preserve">sensitivity paths under prespecified</w:t>
            </w:r>
            <w:r>
              <w:t xml:space="preserve"> </w:t>
            </w:r>
            <w:r>
              <w:t xml:space="preserve">missingness assumptions (a complete-case path that is unbiased under</w:t>
            </w:r>
            <w:r>
              <w:t xml:space="preserve"> </w:t>
            </w:r>
            <w:r>
              <w:t xml:space="preserve">MCAR, and an IPCW path that is unbiased under conditional</w:t>
            </w:r>
            <w:r>
              <w:t xml:space="preserve"> </w:t>
            </w:r>
            <w:r>
              <w:t xml:space="preserve">independent censoring given measured covariates and treatment). Within that scope, the package exposes the full</w:t>
            </w:r>
            <w:r>
              <w:t xml:space="preserve"> </w:t>
            </w:r>
            <w:r>
              <w:t xml:space="preserve">estimator spectrum: IPTW with stabilised weights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estimate_ipwrisk()</w:t>
            </w:r>
            <w:r>
              <w:t xml:space="preserve">), parametric g-computation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estimate_gcomprisk()</w:t>
            </w:r>
            <w:r>
              <w:t xml:space="preserve">), augmented IPW (</w:t>
            </w:r>
            <w:r>
              <w:rPr>
                <w:rStyle w:val="VerbatimChar"/>
              </w:rPr>
              <w:t xml:space="preserve">estimate_aipwrisk()</w:t>
            </w:r>
            <w:r>
              <w:t xml:space="preserve">),</w:t>
            </w:r>
            <w:r>
              <w:t xml:space="preserve"> </w:t>
            </w:r>
            <w:r>
              <w:t xml:space="preserve">and TMLE (</w:t>
            </w:r>
            <w:r>
              <w:rPr>
                <w:rStyle w:val="VerbatimChar"/>
              </w:rPr>
              <w:t xml:space="preserve">run_clean_tmle()</w:t>
            </w:r>
            <w:r>
              <w:t xml:space="preserve">, plus the modular</w:t>
            </w:r>
            <w:r>
              <w:t xml:space="preserve"> </w:t>
            </w:r>
            <w:r>
              <w:rPr>
                <w:rStyle w:val="VerbatimChar"/>
              </w:rPr>
              <w:t xml:space="preserve">fit_tmle_*()</w:t>
            </w:r>
            <w:r>
              <w:t xml:space="preserve"> </w:t>
            </w:r>
            <w:r>
              <w:t xml:space="preserve">primitives and the IPCW variant</w:t>
            </w:r>
            <w:r>
              <w:t xml:space="preserve"> </w:t>
            </w:r>
            <w:r>
              <w:rPr>
                <w:rStyle w:val="VerbatimChar"/>
              </w:rPr>
              <w:t xml:space="preserve">run_ipcw_tmle()</w:t>
            </w:r>
            <w:r>
              <w:t xml:space="preserve">). The</w:t>
            </w:r>
            <w:r>
              <w:t xml:space="preserve"> </w:t>
            </w:r>
            <w:r>
              <w:t xml:space="preserve">prespecified primary estimator is TMLE; the other three are</w:t>
            </w:r>
            <w:r>
              <w:t xml:space="preserve"> </w:t>
            </w:r>
            <w:r>
              <w:t xml:space="preserve">reported as concordance checks.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50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p>
      <w:pPr>
        <w:pStyle w:val="BodyText"/>
      </w:pPr>
      <w:r>
        <w:t xml:space="preserve">Clean-room guidance addresses a limitation of preregistration:</w:t>
      </w:r>
      <w:r>
        <w:t xml:space="preserve"> </w:t>
      </w:r>
      <w:r>
        <w:t xml:space="preserve">during RWE execution, investigators often encounter data</w:t>
      </w:r>
      <w:r>
        <w:t xml:space="preserve"> </w:t>
      </w:r>
      <w:r>
        <w:t xml:space="preserve">incompleteness, coding limitations, sparse events, covariate</w:t>
      </w:r>
      <w:r>
        <w:t xml:space="preserve"> </w:t>
      </w:r>
      <w:r>
        <w:t xml:space="preserve">imbalance, model-convergence problems, and censoring or</w:t>
      </w:r>
      <w:r>
        <w:t xml:space="preserve"> </w:t>
      </w:r>
      <w:r>
        <w:t xml:space="preserve">missingness issues that require decisions after data access but</w:t>
      </w:r>
      <w:r>
        <w:t xml:space="preserve"> </w:t>
      </w:r>
      <w:r>
        <w:t xml:space="preserve">before comparative effect estimation</w:t>
      </w:r>
      <w:r>
        <w:t xml:space="preserve"> </w:t>
      </w:r>
      <w:r>
        <w:t xml:space="preserve">(McGrath et al. 2021; Muntner et al. 2024)</w:t>
      </w:r>
      <w:r>
        <w:t xml:space="preserve">. cleanTMLE</w:t>
      </w:r>
      <w:r>
        <w:t xml:space="preserve"> </w:t>
      </w:r>
      <w:r>
        <w:t xml:space="preserve">operationalises the software portion of this process by recording</w:t>
      </w:r>
      <w:r>
        <w:t xml:space="preserve"> </w:t>
      </w:r>
      <w:r>
        <w:t xml:space="preserve">pre-outcome diagnostics, checkpoint decisions, deviations, and</w:t>
      </w:r>
      <w:r>
        <w:t xml:space="preserve"> </w:t>
      </w:r>
      <w:r>
        <w:t xml:space="preserve">authorisation status before the observed primary</w:t>
      </w:r>
      <w:r>
        <w:t xml:space="preserve"> </w:t>
      </w:r>
      <w:r>
        <w:t xml:space="preserve">treatment-outcome association is estimated.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Start w:id="49" w:name="X8366091c17716bf729a771323a4e967384c878f"/>
    <w:p>
      <w:pPr>
        <w:pStyle w:val="Heading2"/>
      </w:pPr>
      <w:r>
        <w:t xml:space="preserve">4.4 Reviewer-facing pre-outcome study dossier</w:t>
      </w:r>
    </w:p>
    <w:p>
      <w:pPr>
        <w:pStyle w:val="FirstParagraph"/>
      </w:pPr>
      <w:r>
        <w:t xml:space="preserve">The pre-outcome study dossier is a structured bundle the review</w:t>
      </w:r>
      <w:r>
        <w:t xml:space="preserve"> </w:t>
      </w:r>
      <w:r>
        <w:t xml:space="preserve">team can read before authorising the primary analysis. It</w:t>
      </w:r>
      <w:r>
        <w:t xml:space="preserve"> </w:t>
      </w:r>
      <w:r>
        <w:t xml:space="preserve">consists of: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cleanTMLE artefact</w:t>
            </w:r>
          </w:p>
        </w:tc>
        <w:tc>
          <w:tcPr/>
          <w:p>
            <w:pPr>
              <w:pStyle w:val="Compact"/>
            </w:pPr>
            <w:r>
              <w:t xml:space="preserve">Outcome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and target-trial 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attach_estimand()</w:t>
            </w:r>
            <w:r>
              <w:t xml:space="preserve"> </w:t>
            </w:r>
            <w:r>
              <w:t xml:space="preserve">+ target-trial timing table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 flow /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attrition_table()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Event-process 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clean_event_process_table()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clean_check_event_processes()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and missingness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make_table1()</w:t>
            </w:r>
            <w:r>
              <w:t xml:space="preserve">, missingness-pattern checks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overlap and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Treatment- and IPCW-weight diagnostics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clean_weight_diagnostics()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extreme_weights()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Event-count and precision adequacy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estimate_design_precision()</w:t>
            </w:r>
          </w:p>
        </w:tc>
        <w:tc>
          <w:tcPr/>
          <w:p>
            <w:pPr>
              <w:pStyle w:val="Compact"/>
            </w:pPr>
            <w:r>
              <w:t xml:space="preserve">Marginal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plasmode candidate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select_tmle_candidate()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stress-test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summarize_dq_degradation()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Negative-control eligibility and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, NC attrition diagram</w:t>
            </w:r>
          </w:p>
        </w:tc>
        <w:tc>
          <w:tcPr/>
          <w:p>
            <w:pPr>
              <w:pStyle w:val="Compact"/>
            </w:pPr>
            <w:r>
              <w:t xml:space="preserve">Negative-control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/ FLAG / STOP checkpoint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gate_all()</w:t>
            </w:r>
            <w:r>
              <w:t xml:space="preserve"> </w:t>
            </w:r>
            <w:r>
              <w:t xml:space="preserve">composite + per-checkpoint records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log and audit log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export_decision_log()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save_decision_log()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Authorisation record for primary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</w:tbl>
    <w:p>
      <w:pPr>
        <w:pStyle w:val="BodyText"/>
      </w:pPr>
      <w:r>
        <w:t xml:space="preserve">The dossier is the artefact the reviewer reads. Comparative</w:t>
      </w:r>
      <w:r>
        <w:t xml:space="preserve"> </w:t>
      </w:r>
      <w:r>
        <w:t xml:space="preserve">treatment-outcome estimates are not part of the dossier and are</w:t>
      </w:r>
      <w:r>
        <w:t xml:space="preserve"> </w:t>
      </w:r>
      <w:r>
        <w:t xml:space="preserve">produced only after authorisation.</w:t>
      </w:r>
    </w:p>
    <w:bookmarkEnd w:id="49"/>
    <w:bookmarkEnd w:id="50"/>
    <w:bookmarkStart w:id="57" w:name="sec-dq"/>
    <w:p>
      <w:pPr>
        <w:pStyle w:val="Heading1"/>
      </w:pPr>
      <w:r>
        <w:t xml:space="preserve">5. Data Quality as a Quantifiable Threat</w:t>
      </w:r>
    </w:p>
    <w:bookmarkStart w:id="51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1"/>
    <w:bookmarkStart w:id="52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2"/>
    <w:bookmarkStart w:id="53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3"/>
    <w:bookmarkStart w:id="55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5"/>
    <w:bookmarkStart w:id="56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6"/>
    <w:bookmarkEnd w:id="57"/>
    <w:bookmarkStart w:id="62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8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8"/>
    <w:bookmarkStart w:id="59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9"/>
    <w:bookmarkStart w:id="60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60"/>
    <w:bookmarkStart w:id="61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observed</w:t>
      </w:r>
      <w:r>
        <w:t xml:space="preserve"> </w:t>
      </w:r>
      <w:r>
        <w:t xml:space="preserve">primary treatment-outcome association is not read; depending on</w:t>
      </w:r>
      <w:r>
        <w:t xml:space="preserve"> </w:t>
      </w:r>
      <w:r>
        <w:t xml:space="preserve">the configured mode, the plasmode generator may use marginal</w:t>
      </w:r>
      <w:r>
        <w:t xml:space="preserve"> </w:t>
      </w:r>
      <w:r>
        <w:t xml:space="preserve">outcome information (the covariate-only mean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)</w:t>
      </w:r>
      <w:r>
        <w:t xml:space="preserve"> </w:t>
      </w:r>
      <w:r>
        <w:t xml:space="preserve">without using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relationship, or it may</w:t>
      </w:r>
      <w:r>
        <w:t xml:space="preserve"> </w:t>
      </w:r>
      <w:r>
        <w:t xml:space="preserve">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1"/>
    <w:bookmarkEnd w:id="62"/>
    <w:bookmarkStart w:id="68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3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3"/>
    <w:bookmarkStart w:id="64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4"/>
    <w:bookmarkStart w:id="65" w:name="cumulative-risk-workflow-considerations"/>
    <w:p>
      <w:pPr>
        <w:pStyle w:val="Heading2"/>
      </w:pPr>
      <w:r>
        <w:t xml:space="preserve">7.3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 These helpers record</w:t>
      </w:r>
      <w:r>
        <w:t xml:space="preserve"> </w:t>
      </w:r>
      <w:r>
        <w:t xml:space="preserve">and check event-process structure; v0.1 does not yet estimate</w:t>
      </w:r>
      <w:r>
        <w:t xml:space="preserve"> </w:t>
      </w:r>
      <w:r>
        <w:t xml:space="preserve">native competing-risk cumulative-incidence estimands.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65"/>
    <w:bookmarkStart w:id="66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6"/>
    <w:bookmarkStart w:id="67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7"/>
    <w:bookmarkEnd w:id="68"/>
    <w:bookmarkStart w:id="96" w:name="sec-simulation"/>
    <w:p>
      <w:pPr>
        <w:pStyle w:val="Heading1"/>
      </w:pPr>
      <w:r>
        <w:t xml:space="preserve">8. Simulation Study</w:t>
      </w:r>
    </w:p>
    <w:bookmarkStart w:id="69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9"/>
    <w:bookmarkStart w:id="86" w:name="monte-carlo-results"/>
    <w:p>
      <w:pPr>
        <w:pStyle w:val="Heading2"/>
      </w:pPr>
      <w:r>
        <w:t xml:space="preserve">8.2 Monte Carlo results</w:t>
      </w:r>
    </w:p>
    <w:bookmarkStart w:id="70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72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2"/>
    <w:bookmarkStart w:id="85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1992)</w:t>
      </w:r>
      <w:r>
        <w:t xml:space="preserve">.</w:t>
      </w:r>
      <w:r>
        <w:t xml:space="preserve"> </w:t>
      </w:r>
      <w:r>
        <w:t xml:space="preserve">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4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7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80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8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85"/>
    <w:bookmarkEnd w:id="86"/>
    <w:bookmarkStart w:id="94" w:name="plasmode-dq-stress-test-results"/>
    <w:p>
      <w:pPr>
        <w:pStyle w:val="Heading2"/>
      </w:pPr>
      <w:r>
        <w:t xml:space="preserve">8.3 Plasmode DQ stress-test results</w:t>
      </w:r>
    </w:p>
    <w:bookmarkStart w:id="87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7"/>
    <w:bookmarkStart w:id="88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8"/>
    <w:bookmarkStart w:id="89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9"/>
    <w:bookmarkStart w:id="93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91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93"/>
    <w:bookmarkEnd w:id="94"/>
    <w:bookmarkStart w:id="95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5"/>
    <w:bookmarkEnd w:id="96"/>
    <w:bookmarkStart w:id="120" w:name="sec-casestudy"/>
    <w:p>
      <w:pPr>
        <w:pStyle w:val="Heading1"/>
      </w:pPr>
      <w:r>
        <w:t xml:space="preserve">9. Case Study: Rescue.Co Kenya Trauma Registry</w:t>
      </w:r>
    </w:p>
    <w:bookmarkStart w:id="97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7"/>
    <w:bookmarkStart w:id="98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8"/>
    <w:bookmarkStart w:id="104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2" w:name="cohort-flow"/>
    <w:p>
      <w:pPr>
        <w:pStyle w:val="Heading3"/>
      </w:pPr>
      <w:r>
        <w:t xml:space="preserve">9.3.1 Cohort 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19855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TMLE.</w:t>
      </w:r>
      <w:r>
        <w:t xml:space="preserve"> </w:t>
      </w:r>
    </w:p>
    <w:bookmarkEnd w:id="102"/>
    <w:bookmarkStart w:id="103" w:name="analytic-setup-at-a-glance"/>
    <w:p>
      <w:pPr>
        <w:pStyle w:val="Heading3"/>
      </w:pPr>
      <w:r>
        <w:t xml:space="preserve">9.3.2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2049"/>
        <w:gridCol w:w="3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Primary: complete-outcome analysis; IPCW sensitivity under a conditional missingness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Outcome component / intercurrent event</w:t>
            </w:r>
          </w:p>
        </w:tc>
        <w:tc>
          <w:tcPr/>
          <w:p>
            <w:pPr>
              <w:pStyle w:val="Compact"/>
            </w:pPr>
            <w:r>
              <w:t xml:space="preserve">Coded as GOSE = 1 under a composite or worst-rank strategy;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Full-cohort marginal contrast estimated with stabilised, truncated treatment weights; truncation may approximate the practical estimand and should be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p>
      <w:pPr>
        <w:pStyle w:val="BodyText"/>
      </w:pPr>
      <w:r>
        <w:rPr>
          <w:b/>
          <w:bCs/>
        </w:rPr>
        <w:t xml:space="preserve">Target-trial timing table.</w:t>
      </w:r>
      <w:r>
        <w:t xml:space="preserve"> </w:t>
      </w:r>
      <w:r>
        <w:t xml:space="preserve">The following table records the</w:t>
      </w:r>
      <w:r>
        <w:t xml:space="preserve"> </w:t>
      </w:r>
      <w:r>
        <w:t xml:space="preserve">prespecified target-trial design elements and their lock status</w:t>
      </w:r>
      <w:r>
        <w:t xml:space="preserve"> </w:t>
      </w:r>
      <w:r>
        <w:t xml:space="preserve">before any outcome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element</w:t>
            </w:r>
          </w:p>
        </w:tc>
        <w:tc>
          <w:tcPr/>
          <w:p>
            <w:pPr>
              <w:pStyle w:val="Compact"/>
            </w:pPr>
            <w:r>
              <w:t xml:space="preserve">Rescue.Co implementation</w:t>
            </w:r>
          </w:p>
        </w:tc>
        <w:tc>
          <w:tcPr/>
          <w:p>
            <w:pPr>
              <w:pStyle w:val="Compact"/>
            </w:pPr>
            <w:r>
              <w:t xml:space="preserve">Pre-outcome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date / time zero</w:t>
            </w:r>
          </w:p>
        </w:tc>
        <w:tc>
          <w:tcPr/>
          <w:p>
            <w:pPr>
              <w:pStyle w:val="Compact"/>
            </w:pPr>
            <w:r>
              <w:t xml:space="preserve">Time of trauma-related ambulance arrival at participating hospital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identify_interval()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definition</w:t>
            </w:r>
          </w:p>
        </w:tc>
        <w:tc>
          <w:tcPr/>
          <w:p>
            <w:pPr>
              <w:pStyle w:val="Compact"/>
            </w:pPr>
            <w:r>
              <w:t xml:space="preserve">Rescue.Co EMS transport (A = 1) vs. other ambulance services (A = 0) at index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identify_treatment()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group</w:t>
            </w:r>
          </w:p>
        </w:tc>
        <w:tc>
          <w:tcPr/>
          <w:p>
            <w:pPr>
              <w:pStyle w:val="Compact"/>
            </w:pPr>
            <w:r>
              <w:t xml:space="preserve">Other ambulance services at the same hospitals during the same period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window</w:t>
            </w:r>
          </w:p>
        </w:tc>
        <w:tc>
          <w:tcPr/>
          <w:p>
            <w:pPr>
              <w:pStyle w:val="Compact"/>
            </w:pPr>
            <w:r>
              <w:t xml:space="preserve">2018 to 2024 trauma transports, direct-from-scene only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window</w:t>
            </w:r>
          </w:p>
        </w:tc>
        <w:tc>
          <w:tcPr/>
          <w:p>
            <w:pPr>
              <w:pStyle w:val="Compact"/>
            </w:pPr>
            <w:r>
              <w:t xml:space="preserve">At or before index (no post-index covariates)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window</w:t>
            </w:r>
          </w:p>
        </w:tc>
        <w:tc>
          <w:tcPr/>
          <w:p>
            <w:pPr>
              <w:pStyle w:val="Compact"/>
            </w:pPr>
            <w:r>
              <w:t xml:space="preserve">6 months from index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definition</w:t>
            </w:r>
          </w:p>
        </w:tc>
        <w:tc>
          <w:tcPr/>
          <w:p>
            <w:pPr>
              <w:pStyle w:val="Compact"/>
            </w:pPr>
            <w:r>
              <w:t xml:space="preserve">GOSE &gt; 4 at 6 months (good functional outcome)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Missingness / censoring definition</w:t>
            </w:r>
          </w:p>
        </w:tc>
        <w:tc>
          <w:tcPr/>
          <w:p>
            <w:pPr>
              <w:pStyle w:val="Compact"/>
            </w:pPr>
            <w:r>
              <w:t xml:space="preserve">Missing 6-month GOSE = missingness; primary complete-outcome with IPCW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discontinuation</w:t>
            </w:r>
          </w:p>
        </w:tc>
        <w:tc>
          <w:tcPr/>
          <w:p>
            <w:pPr>
              <w:pStyle w:val="Compact"/>
            </w:pPr>
            <w:r>
              <w:t xml:space="preserve">Not applicable (point exposure at scene)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end of follow-up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intercurrent events / transfer groups</w:t>
            </w:r>
          </w:p>
        </w:tc>
        <w:tc>
          <w:tcPr/>
          <w:p>
            <w:pPr>
              <w:pStyle w:val="Compact"/>
            </w:pPr>
            <w:r>
              <w:t xml:space="preserve">Inter-facility transfers excluded; recorded as</w:t>
            </w:r>
            <w:r>
              <w:t xml:space="preserve"> </w:t>
            </w:r>
            <w:r>
              <w:rPr>
                <w:rStyle w:val="VerbatimChar"/>
              </w:rPr>
              <w:t xml:space="preserve">is_transfer</w:t>
            </w:r>
            <w:r>
              <w:t xml:space="preserve"> </w:t>
            </w:r>
            <w:r>
              <w:t xml:space="preserve">for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dashboard.</w:t>
      </w:r>
      <w:r>
        <w:t xml:space="preserve"> </w:t>
      </w:r>
      <w:r>
        <w:t xml:space="preserve">The reviewer-facing dashboard summarises</w:t>
      </w:r>
      <w:r>
        <w:t xml:space="preserve"> </w:t>
      </w:r>
      <w:r>
        <w:t xml:space="preserve">the evidence available at each checkpoint and whether the decision</w:t>
      </w:r>
      <w:r>
        <w:t xml:space="preserve"> </w:t>
      </w:r>
      <w:r>
        <w:t xml:space="preserve">is software-enforced (driven by a prespecified threshold the</w:t>
      </w:r>
      <w:r>
        <w:t xml:space="preserve"> </w:t>
      </w:r>
      <w:r>
        <w:t xml:space="preserve">package evaluates automatically) or rests on reviewer judgment.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Evidence used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Reviewer interpretation</w:t>
            </w:r>
          </w:p>
        </w:tc>
        <w:tc>
          <w:tcPr/>
          <w:p>
            <w:pPr>
              <w:pStyle w:val="Compact"/>
            </w:pPr>
            <w:r>
              <w:t xml:space="preserve">Software-enforced vs 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 protocol/setup</w:t>
            </w:r>
          </w:p>
        </w:tc>
        <w:tc>
          <w:tcPr/>
          <w:p>
            <w:pPr>
              <w:pStyle w:val="Compact"/>
            </w:pPr>
            <w:r>
              <w:t xml:space="preserve">Target-trial timing table, SAP, lock fingerprint</w:t>
            </w:r>
          </w:p>
        </w:tc>
        <w:tc>
          <w:tcPr/>
          <w:p>
            <w:pPr>
              <w:pStyle w:val="Compact"/>
            </w:pPr>
            <w:r>
              <w:t xml:space="preserve">All design elements specified before data access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Cohort and estimand definitions complete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1b cohort adequacy and event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 </w:t>
            </w:r>
            <w:r>
              <w:t xml:space="preserve">output, attrition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min_n_per_arm</w:t>
            </w:r>
            <w:r>
              <w:t xml:space="preserve"> </w:t>
            </w:r>
            <w:r>
              <w:t xml:space="preserve">= 200,</w:t>
            </w:r>
            <w:r>
              <w:t xml:space="preserve"> </w:t>
            </w:r>
            <w:r>
              <w:rPr>
                <w:rStyle w:val="VerbatimChar"/>
              </w:rPr>
              <w:t xml:space="preserve">min_events</w:t>
            </w:r>
            <w:r>
              <w:t xml:space="preserve"> </w:t>
            </w:r>
            <w:r>
              <w:t xml:space="preserve">= 50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Adequate cohort for the prespecified estimand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2a overlap, balance, ESS, weight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clean_weight_diagnostics()</w:t>
            </w:r>
          </w:p>
        </w:tc>
        <w:tc>
          <w:tcPr/>
          <w:p>
            <w:pPr>
              <w:pStyle w:val="Compact"/>
            </w:pPr>
            <w:r>
              <w:t xml:space="preserve">PS in [0.01, 0.99]; max-SMD &lt;= 0.10 after weighting; max weight &lt;= 10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Positivity and balance acceptable for full-cohort target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2b baseline plasmode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 </w:t>
            </w:r>
            <w:r>
              <w:t xml:space="preserve">bias 0.001, coverage 0.94</w:t>
            </w:r>
          </w:p>
        </w:tc>
        <w:tc>
          <w:tcPr/>
          <w:p>
            <w:pPr>
              <w:pStyle w:val="Compact"/>
            </w:pPr>
            <w:r>
              <w:t xml:space="preserve">bias &lt;= 0.01, coverage &gt;= 0.90, SE/SD in (0.8, 1.2)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Candidate operates within prespecified envelope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2c DQ stress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 </w:t>
            </w:r>
            <w:r>
              <w:t xml:space="preserve">minimax rule</w:t>
            </w:r>
          </w:p>
        </w:tc>
        <w:tc>
          <w:tcPr/>
          <w:p>
            <w:pPr>
              <w:pStyle w:val="Compact"/>
            </w:pPr>
            <w:r>
              <w:t xml:space="preserve">Each scenario within thresholds across severities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Selected candidate is stable across prespecified threats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 negative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 </w:t>
            </w:r>
            <w:r>
              <w:t xml:space="preserve">(2 of 5 NCs survived NZV; both pass)</w:t>
            </w:r>
          </w:p>
        </w:tc>
        <w:tc>
          <w:tcPr/>
          <w:p>
            <w:pPr>
              <w:pStyle w:val="Compact"/>
            </w:pPr>
            <w:r>
              <w:t xml:space="preserve">All analysed NCs pass at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 0.05</w:t>
            </w:r>
          </w:p>
        </w:tc>
        <w:tc>
          <w:tcPr/>
          <w:p>
            <w:pPr>
              <w:pStyle w:val="Compact"/>
            </w:pPr>
            <w:r>
              <w:t xml:space="preserve">GO with FLAG</w:t>
            </w:r>
          </w:p>
        </w:tc>
        <w:tc>
          <w:tcPr/>
          <w:p>
            <w:pPr>
              <w:pStyle w:val="Compact"/>
            </w:pPr>
            <w:r>
              <w:t xml:space="preserve">Narrower NC panel than SAP; residual-confounding probe partial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authorisation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  <w:r>
              <w:t xml:space="preserve"> </w:t>
            </w:r>
            <w:r>
              <w:t xml:space="preserve">returns GO</w:t>
            </w:r>
          </w:p>
        </w:tc>
        <w:tc>
          <w:tcPr/>
          <w:p>
            <w:pPr>
              <w:pStyle w:val="Compact"/>
            </w:pPr>
            <w:r>
              <w:t xml:space="preserve">All preceding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Proceed to locked primary analysis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Decision-log example (illustrative).</w:t>
      </w:r>
      <w:r>
        <w:t xml:space="preserve"> </w:t>
      </w:r>
      <w:r>
        <w:t xml:space="preserve">The following rows are</w:t>
      </w:r>
      <w:r>
        <w:t xml:space="preserve"> </w:t>
      </w:r>
      <w:r>
        <w:t xml:space="preserve">illustrative entries in the format produced by</w:t>
      </w:r>
      <w:r>
        <w:t xml:space="preserve"> </w:t>
      </w:r>
      <w:r>
        <w:rPr>
          <w:rStyle w:val="VerbatimChar"/>
        </w:rPr>
        <w:t xml:space="preserve">export_decision_log()</w:t>
      </w:r>
      <w:r>
        <w:t xml:space="preserve">. They are not the literal log; they show</w:t>
      </w:r>
      <w:r>
        <w:t xml:space="preserve"> </w:t>
      </w:r>
      <w:r>
        <w:t xml:space="preserve">the structure a reviewer would read for each prespecified or</w:t>
      </w:r>
      <w:r>
        <w:t xml:space="preserve"> </w:t>
      </w:r>
      <w:r>
        <w:t xml:space="preserve">deviation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diagnostic or issue</w:t>
            </w:r>
          </w:p>
        </w:tc>
        <w:tc>
          <w:tcPr/>
          <w:p>
            <w:pPr>
              <w:pStyle w:val="Compact"/>
            </w:pPr>
            <w:r>
              <w:t xml:space="preserve">prespecified criterion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effect estimate visible?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  <w:tc>
          <w:tcPr/>
          <w:p>
            <w:pPr>
              <w:pStyle w:val="Compact"/>
            </w:pPr>
            <w:r>
              <w:t xml:space="preserve">override?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09:14</w:t>
            </w:r>
          </w:p>
        </w:tc>
        <w:tc>
          <w:tcPr/>
          <w:p>
            <w:pPr>
              <w:pStyle w:val="Compact"/>
            </w:pPr>
            <w:r>
              <w:t xml:space="preserve">Stage 2a</w:t>
            </w:r>
          </w:p>
        </w:tc>
        <w:tc>
          <w:tcPr/>
          <w:p>
            <w:pPr>
              <w:pStyle w:val="Compact"/>
            </w:pPr>
            <w:r>
              <w:t xml:space="preserve">Three NCs failed NZV filter</w:t>
            </w:r>
          </w:p>
        </w:tc>
        <w:tc>
          <w:tcPr/>
          <w:p>
            <w:pPr>
              <w:pStyle w:val="Compact"/>
            </w:pPr>
            <w:r>
              <w:t xml:space="preserve">NZV check at lock-fingerprint covariate set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Drop the three NCs; record narrower panel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Continue with 2 surviving NCs; note as limitation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11:02</w:t>
            </w:r>
          </w:p>
        </w:tc>
        <w:tc>
          <w:tcPr/>
          <w:p>
            <w:pPr>
              <w:pStyle w:val="Compact"/>
            </w:pPr>
            <w:r>
              <w:t xml:space="preserve">Stage 2c</w:t>
            </w:r>
          </w:p>
        </w:tc>
        <w:tc>
          <w:tcPr/>
          <w:p>
            <w:pPr>
              <w:pStyle w:val="Compact"/>
            </w:pPr>
            <w:r>
              <w:t xml:space="preserve">DQ stress run at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for fast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n_sims</w:t>
            </w:r>
            <w:r>
              <w:t xml:space="preserve"> </w:t>
            </w:r>
            <w:r>
              <w:t xml:space="preserve">&gt;= 200 for inferential interpretation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Bundle low-replicate run as workflow demo; companion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file confirms minimax winner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for inference; cite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only as smoke test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14:45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All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All preceding stages recorded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Authorise Stage 4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locked primary analysis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03"/>
    <w:bookmarkEnd w:id="104"/>
    <w:bookmarkStart w:id="114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" title="" id="106" name="Picture"/>
            <a:graphic>
              <a:graphicData uri="http://schemas.openxmlformats.org/drawingml/2006/picture">
                <pic:pic>
                  <pic:nvPicPr>
                    <pic:cNvPr descr="../rescueCo/results/love_plot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" title="" id="109" name="Picture"/>
            <a:graphic>
              <a:graphicData uri="http://schemas.openxmlformats.org/drawingml/2006/picture">
                <pic:pic>
                  <pic:nvPicPr>
                    <pic:cNvPr descr="../rescueCo/results/weighted_love_plo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</w:t>
      </w:r>
    </w:p>
    <w:p>
      <w:pPr>
        <w:pStyle w:val="BodyText"/>
      </w:pPr>
      <w:r>
        <w:t xml:space="preserve">The treatment- and IPCW-weight distributions are reported as</w:t>
      </w:r>
      <w:r>
        <w:t xml:space="preserve"> </w:t>
      </w:r>
      <w:r>
        <w:t xml:space="preserve">diagnostic objects: mean, SD, 99th percentile, maximum, and Kish</w:t>
      </w:r>
      <w:r>
        <w:t xml:space="preserve"> </w:t>
      </w:r>
      <w:r>
        <w:t xml:space="preserve">ESS for each weight type, with the prespecified instability flags</w:t>
      </w:r>
      <w:r>
        <w:t xml:space="preserve"> </w:t>
      </w:r>
      <w:r>
        <w:t xml:space="preserve">in the weight-diagnostics table above. The stabilised treatment</w:t>
      </w:r>
      <w:r>
        <w:t xml:space="preserve"> </w:t>
      </w:r>
      <w:r>
        <w:t xml:space="preserve">weights do not exceed the prespecified maximum (10) and combined</w:t>
      </w:r>
      <w:r>
        <w:t xml:space="preserve"> </w:t>
      </w:r>
      <w:r>
        <w:t xml:space="preserve">treatment-times-IPCW weights remain within the (15, 30 % ESS)</w:t>
      </w:r>
      <w:r>
        <w:t xml:space="preserve"> </w:t>
      </w:r>
      <w:r>
        <w:t xml:space="preserve">envelope for the IPCW row.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5334000" cy="12532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Negative-control attrition. Five negative-control endpoints were prespecified in the SAP. Three were dropped at the data-sanitisation step because they failed near-zero-variance (NZV) filtering on the locked cohort. The two surviving NCs (chronic_hypertension, household_urban) carried enough variation to fit a stable PS-adjusted model and both passed. The residual-confounding probe therefore rests on a narrower NC panel than originally specified; the audit log records the drops.</w:t>
      </w:r>
      <w:r>
        <w:t xml:space="preserve"> </w:t>
      </w:r>
    </w:p>
    <w:p>
      <w:pPr>
        <w:pStyle w:val="BodyText"/>
      </w:pPr>
      <w:r>
        <w:t xml:space="preserve">Demonstrated in this case study: cohort flow, event counts,</w:t>
      </w:r>
      <w:r>
        <w:t xml:space="preserve"> </w:t>
      </w:r>
      <w:r>
        <w:t xml:space="preserve">missingness summary, PS overlap, three-way Love plot, weight</w:t>
      </w:r>
      <w:r>
        <w:t xml:space="preserve"> </w:t>
      </w:r>
      <w:r>
        <w:t xml:space="preserve">diagnostics, ESS, negative-control attrition, baseline plasmode</w:t>
      </w:r>
      <w:r>
        <w:t xml:space="preserve"> </w:t>
      </w:r>
      <w:r>
        <w:t xml:space="preserve">results, DQ stress-test results, authorisation gate. Not yet</w:t>
      </w:r>
      <w:r>
        <w:t xml:space="preserve"> </w:t>
      </w:r>
      <w:r>
        <w:t xml:space="preserve">implemented in this release: native competing-risk</w:t>
      </w:r>
      <w:r>
        <w:t xml:space="preserve"> </w:t>
      </w:r>
      <w:r>
        <w:t xml:space="preserve">cumulative-incidence estimands, time-varying treatment, MAR/MNAR</w:t>
      </w:r>
      <w:r>
        <w:t xml:space="preserve"> </w:t>
      </w:r>
      <w:r>
        <w:t xml:space="preserve">missingness models, full-cohort Delta-path IPCW-TMLE (the</w:t>
      </w:r>
      <w:r>
        <w:t xml:space="preserve"> </w:t>
      </w:r>
      <w:r>
        <w:t xml:space="preserve">function falls back to weighted complete-case).</w:t>
      </w:r>
    </w:p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14"/>
    <w:bookmarkStart w:id="115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The last row is a</w:t>
      </w:r>
      <w:r>
        <w:t xml:space="preserve"> </w:t>
      </w:r>
      <w:r>
        <w:rPr>
          <w:i/>
          <w:iCs/>
        </w:rPr>
        <w:t xml:space="preserve">complete-outcome</w:t>
      </w:r>
      <w:r>
        <w:t xml:space="preserve"> </w:t>
      </w:r>
      <w:r>
        <w:t xml:space="preserve">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the complete-case path with IPCW obsWeights; the function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The last row is a complete-outcome 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 tmle::tmle() Delta-path raised an error on this lock and run_ipcw_tmle() fell back to the complete-case path with IPCW obsWeights; the function records method_used = 'ipcw_weighted_complete_case' in the result object. A full-cohort Delta-path run is on the cleanTMLE 0.2 roadmap once the upstream tmle interface is pinned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outcome; the prespecified primary estimator does</w:t>
      </w:r>
      <w:r>
        <w:t xml:space="preserve"> </w:t>
      </w:r>
      <w:r>
        <w:t xml:space="preserve">not confirm the signal under the prespecified workflow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analysis proceeded under prespecified</w:t>
      </w:r>
      <w:r>
        <w:t xml:space="preserve"> </w:t>
      </w:r>
      <w:r>
        <w:t xml:space="preserve">diagnostics.”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15"/>
    <w:bookmarkStart w:id="119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116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116"/>
    <w:bookmarkStart w:id="117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17"/>
    <w:bookmarkStart w:id="118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18"/>
    <w:bookmarkEnd w:id="119"/>
    <w:bookmarkEnd w:id="120"/>
    <w:bookmarkStart w:id="134" w:name="sec-discussion"/>
    <w:p>
      <w:pPr>
        <w:pStyle w:val="Heading1"/>
      </w:pPr>
      <w:r>
        <w:t xml:space="preserve">10. Discussion</w:t>
      </w:r>
    </w:p>
    <w:bookmarkStart w:id="121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21"/>
    <w:bookmarkStart w:id="122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22"/>
    <w:bookmarkStart w:id="123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23"/>
    <w:bookmarkStart w:id="124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24"/>
    <w:bookmarkStart w:id="125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25"/>
    <w:bookmarkStart w:id="126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26"/>
    <w:bookmarkStart w:id="130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27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27"/>
    <w:bookmarkStart w:id="128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28"/>
    <w:bookmarkStart w:id="129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29"/>
    <w:bookmarkEnd w:id="130"/>
    <w:bookmarkStart w:id="131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31"/>
    <w:bookmarkStart w:id="132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32"/>
    <w:bookmarkStart w:id="133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33"/>
    <w:bookmarkEnd w:id="134"/>
    <w:bookmarkStart w:id="137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35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36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37"/>
    <w:bookmarkStart w:id="13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38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140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39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40"/>
    <w:bookmarkStart w:id="14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41"/>
    <w:bookmarkStart w:id="143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43"/>
    <w:bookmarkStart w:id="145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44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45"/>
    <w:bookmarkStart w:id="147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46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47"/>
    <w:bookmarkStart w:id="149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48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49"/>
    <w:bookmarkStart w:id="151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50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51"/>
    <w:bookmarkStart w:id="153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52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53"/>
    <w:bookmarkStart w:id="154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54"/>
    <w:bookmarkStart w:id="156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55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56"/>
    <w:bookmarkStart w:id="158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57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58"/>
    <w:bookmarkStart w:id="160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59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60"/>
    <w:bookmarkStart w:id="162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61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62"/>
    <w:bookmarkStart w:id="164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63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64"/>
    <w:bookmarkStart w:id="166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6"/>
    <w:bookmarkStart w:id="167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7"/>
    <w:bookmarkStart w:id="168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68"/>
    <w:bookmarkStart w:id="169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69"/>
    <w:bookmarkStart w:id="170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70"/>
    <w:bookmarkStart w:id="172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71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72"/>
    <w:bookmarkStart w:id="173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73"/>
    <w:bookmarkStart w:id="175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74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75"/>
    <w:bookmarkStart w:id="177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76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77"/>
    <w:bookmarkStart w:id="179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78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79"/>
    <w:bookmarkStart w:id="181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80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81"/>
    <w:bookmarkStart w:id="183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82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83"/>
    <w:bookmarkStart w:id="185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84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85"/>
    <w:bookmarkStart w:id="187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86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87"/>
    <w:bookmarkStart w:id="189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88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89"/>
    <w:bookmarkStart w:id="191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90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91"/>
    <w:bookmarkStart w:id="193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92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93"/>
    <w:bookmarkStart w:id="195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94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95"/>
    <w:bookmarkStart w:id="197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96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97"/>
    <w:bookmarkStart w:id="198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98"/>
    <w:bookmarkStart w:id="199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99"/>
    <w:bookmarkStart w:id="200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200"/>
    <w:bookmarkStart w:id="202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201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202"/>
    <w:bookmarkStart w:id="204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203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204"/>
    <w:bookmarkStart w:id="206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205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206"/>
    <w:bookmarkStart w:id="208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207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208"/>
    <w:bookmarkStart w:id="210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209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10"/>
    <w:bookmarkStart w:id="212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11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12"/>
    <w:bookmarkStart w:id="214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13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14"/>
    <w:bookmarkStart w:id="216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15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16"/>
    <w:bookmarkStart w:id="218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18"/>
    <w:bookmarkStart w:id="219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19"/>
    <w:bookmarkStart w:id="220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220"/>
    <w:bookmarkStart w:id="221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21"/>
    <w:bookmarkEnd w:id="222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png_0.1-8         </w:t>
      </w:r>
      <w:r>
        <w:br/>
      </w:r>
      <w:r>
        <w:rPr>
          <w:rStyle w:val="VerbatimChar"/>
        </w:rPr>
        <w:t xml:space="preserve">R&gt;   [9] splines_4.4.2      scales_1.4.0       yaml_2.3.10        fastmap_1.2.0     </w:t>
      </w:r>
      <w:r>
        <w:br/>
      </w:r>
      <w:r>
        <w:rPr>
          <w:rStyle w:val="VerbatimChar"/>
        </w:rPr>
        <w:t xml:space="preserve">R&gt;  [13] lattice_0.22-6     R6_2.6.1           labeling_0.4.3     generics_0.1.3    </w:t>
      </w:r>
      <w:r>
        <w:br/>
      </w:r>
      <w:r>
        <w:rPr>
          <w:rStyle w:val="VerbatimChar"/>
        </w:rPr>
        <w:t xml:space="preserve">R&gt;  [17] knitr_1.49         tibble_3.2.1       pillar_1.9.0       RColorBrewer_1.1-3</w:t>
      </w:r>
      <w:r>
        <w:br/>
      </w:r>
      <w:r>
        <w:rPr>
          <w:rStyle w:val="VerbatimChar"/>
        </w:rPr>
        <w:t xml:space="preserve">R&gt;  [21] rlang_1.1.7        utf8_1.2.4         xfun_0.49          S7_0.2.1          </w:t>
      </w:r>
      <w:r>
        <w:br/>
      </w:r>
      <w:r>
        <w:rPr>
          <w:rStyle w:val="VerbatimChar"/>
        </w:rPr>
        <w:t xml:space="preserve">R&gt;  [25] cli_3.6.5          withr_3.0.2        magrittr_2.0.3     digest_0.6.37     </w:t>
      </w:r>
      <w:r>
        <w:br/>
      </w:r>
      <w:r>
        <w:rPr>
          <w:rStyle w:val="VerbatimChar"/>
        </w:rPr>
        <w:t xml:space="preserve">R&gt;  [29] grid_4.4.2         sandwich_3.1-1     lifecycle_1.0.5    vctrs_0.7.1       </w:t>
      </w:r>
      <w:r>
        <w:br/>
      </w:r>
      <w:r>
        <w:rPr>
          <w:rStyle w:val="VerbatimChar"/>
        </w:rPr>
        <w:t xml:space="preserve">R&gt;  [33] evaluate_1.0.5     glue_1.8.0         farver_2.1.2       zoo_1.8-15        </w:t>
      </w:r>
      <w:r>
        <w:br/>
      </w:r>
      <w:r>
        <w:rPr>
          <w:rStyle w:val="VerbatimChar"/>
        </w:rPr>
        <w:t xml:space="preserve">R&gt;  [37] survival_3.7-0     fansi_1.0.6        rmarkdown_2.29     tools_4.4.2       </w:t>
      </w:r>
      <w:r>
        <w:br/>
      </w:r>
      <w:r>
        <w:rPr>
          <w:rStyle w:val="VerbatimChar"/>
        </w:rPr>
        <w:t xml:space="preserve">R&gt;  [41] pkgconfig_2.0.3    htmltools_0.5.8.1</w:t>
      </w:r>
    </w:p>
    <w:bookmarkEnd w:id="2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90" Target="media/rId90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29" Target="media/rId29.png" /><Relationship Type="http://schemas.openxmlformats.org/officeDocument/2006/relationships/image" Id="rId111" Target="media/rId111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hyperlink" Id="rId186" Target="https://doi.org/10.1002/cpt.2399" TargetMode="External" /><Relationship Type="http://schemas.openxmlformats.org/officeDocument/2006/relationships/hyperlink" Id="rId157" Target="https://doi.org/10.1002/cpt.2466" TargetMode="External" /><Relationship Type="http://schemas.openxmlformats.org/officeDocument/2006/relationships/hyperlink" Id="rId159" Target="https://doi.org/10.1002/cpt.2883" TargetMode="External" /><Relationship Type="http://schemas.openxmlformats.org/officeDocument/2006/relationships/hyperlink" Id="rId182" Target="https://doi.org/10.1002/pds.5623" TargetMode="External" /><Relationship Type="http://schemas.openxmlformats.org/officeDocument/2006/relationships/hyperlink" Id="rId217" Target="https://doi.org/10.1002/pds.5642" TargetMode="External" /><Relationship Type="http://schemas.openxmlformats.org/officeDocument/2006/relationships/hyperlink" Id="rId188" Target="https://doi.org/10.1002/pds.5770" TargetMode="External" /><Relationship Type="http://schemas.openxmlformats.org/officeDocument/2006/relationships/hyperlink" Id="rId139" Target="https://doi.org/10.1002/sim.3697" TargetMode="External" /><Relationship Type="http://schemas.openxmlformats.org/officeDocument/2006/relationships/hyperlink" Id="rId176" Target="https://doi.org/10.1007/978-1-4419-9782-1" TargetMode="External" /><Relationship Type="http://schemas.openxmlformats.org/officeDocument/2006/relationships/hyperlink" Id="rId155" Target="https://doi.org/10.1016/j.csda.2013.10.018" TargetMode="External" /><Relationship Type="http://schemas.openxmlformats.org/officeDocument/2006/relationships/hyperlink" Id="rId146" Target="https://doi.org/10.1017/cts.2023.635" TargetMode="External" /><Relationship Type="http://schemas.openxmlformats.org/officeDocument/2006/relationships/hyperlink" Id="rId161" Target="https://doi.org/10.1080/19466315.2022.2116104" TargetMode="External" /><Relationship Type="http://schemas.openxmlformats.org/officeDocument/2006/relationships/hyperlink" Id="rId165" Target="https://doi.org/10.1093/aje/kwv254" TargetMode="External" /><Relationship Type="http://schemas.openxmlformats.org/officeDocument/2006/relationships/hyperlink" Id="rId201" Target="https://doi.org/10.1093/aje/kww165" TargetMode="External" /><Relationship Type="http://schemas.openxmlformats.org/officeDocument/2006/relationships/hyperlink" Id="rId194" Target="https://doi.org/10.1093/ije/dyad023" TargetMode="External" /><Relationship Type="http://schemas.openxmlformats.org/officeDocument/2006/relationships/hyperlink" Id="rId180" Target="https://doi.org/10.1093/ije/dyu149" TargetMode="External" /><Relationship Type="http://schemas.openxmlformats.org/officeDocument/2006/relationships/hyperlink" Id="rId192" Target="https://doi.org/10.1097/EDE.0000000000000078" TargetMode="External" /><Relationship Type="http://schemas.openxmlformats.org/officeDocument/2006/relationships/hyperlink" Id="rId184" Target="https://doi.org/10.1097/EDE.0b013e3181d61eeb" TargetMode="External" /><Relationship Type="http://schemas.openxmlformats.org/officeDocument/2006/relationships/hyperlink" Id="rId144" Target="https://doi.org/10.1111/ectj.12097" TargetMode="External" /><Relationship Type="http://schemas.openxmlformats.org/officeDocument/2006/relationships/hyperlink" Id="rId142" Target="https://doi.org/10.1136/bmj-2024-080483" TargetMode="External" /><Relationship Type="http://schemas.openxmlformats.org/officeDocument/2006/relationships/hyperlink" Id="rId215" Target="https://doi.org/10.1136/bmj.m4856" TargetMode="External" /><Relationship Type="http://schemas.openxmlformats.org/officeDocument/2006/relationships/hyperlink" Id="rId163" Target="https://doi.org/10.1186/s12874-024-02244-z" TargetMode="External" /><Relationship Type="http://schemas.openxmlformats.org/officeDocument/2006/relationships/hyperlink" Id="rId171" Target="https://doi.org/10.13063/2327-9214.1244" TargetMode="External" /><Relationship Type="http://schemas.openxmlformats.org/officeDocument/2006/relationships/hyperlink" Id="rId148" Target="https://doi.org/10.1515/ijb-2013-0004" TargetMode="External" /><Relationship Type="http://schemas.openxmlformats.org/officeDocument/2006/relationships/hyperlink" Id="rId174" Target="https://doi.org/10.2202/1544-6115.1309" TargetMode="External" /><Relationship Type="http://schemas.openxmlformats.org/officeDocument/2006/relationships/hyperlink" Id="rId178" Target="https://doi.org/10.2202/1557-4679.1043" TargetMode="External" /><Relationship Type="http://schemas.openxmlformats.org/officeDocument/2006/relationships/hyperlink" Id="rId213" Target="https://doi.org/10.7326/M16-2607" TargetMode="External" /><Relationship Type="http://schemas.openxmlformats.org/officeDocument/2006/relationships/hyperlink" Id="rId136" Target="https://github.com/amertens/clean-room-sim" TargetMode="External" /><Relationship Type="http://schemas.openxmlformats.org/officeDocument/2006/relationships/hyperlink" Id="rId135" Target="https://github.com/amertens/cleanTMLE" TargetMode="External" /><Relationship Type="http://schemas.openxmlformats.org/officeDocument/2006/relationships/hyperlink" Id="rId196" Target="https://www.R-project.org/" TargetMode="External" /><Relationship Type="http://schemas.openxmlformats.org/officeDocument/2006/relationships/hyperlink" Id="rId152" Target="https://www.ema.europa.eu/en/about-us/how-we-work/big-data/real-world-evidence" TargetMode="External" /><Relationship Type="http://schemas.openxmlformats.org/officeDocument/2006/relationships/hyperlink" Id="rId150" Target="https://www.ema.europa.eu/en/guideline-registry-based-studies-scientific-guideline" TargetMode="External" /><Relationship Type="http://schemas.openxmlformats.org/officeDocument/2006/relationships/hyperlink" Id="rId203" Target="https://www.fda.gov/media/120060/download" TargetMode="External" /><Relationship Type="http://schemas.openxmlformats.org/officeDocument/2006/relationships/hyperlink" Id="rId20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0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0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https://doi.org/10.1002/cpt.2399" TargetMode="External" /><Relationship Type="http://schemas.openxmlformats.org/officeDocument/2006/relationships/hyperlink" Id="rId157" Target="https://doi.org/10.1002/cpt.2466" TargetMode="External" /><Relationship Type="http://schemas.openxmlformats.org/officeDocument/2006/relationships/hyperlink" Id="rId159" Target="https://doi.org/10.1002/cpt.2883" TargetMode="External" /><Relationship Type="http://schemas.openxmlformats.org/officeDocument/2006/relationships/hyperlink" Id="rId182" Target="https://doi.org/10.1002/pds.5623" TargetMode="External" /><Relationship Type="http://schemas.openxmlformats.org/officeDocument/2006/relationships/hyperlink" Id="rId217" Target="https://doi.org/10.1002/pds.5642" TargetMode="External" /><Relationship Type="http://schemas.openxmlformats.org/officeDocument/2006/relationships/hyperlink" Id="rId188" Target="https://doi.org/10.1002/pds.5770" TargetMode="External" /><Relationship Type="http://schemas.openxmlformats.org/officeDocument/2006/relationships/hyperlink" Id="rId139" Target="https://doi.org/10.1002/sim.3697" TargetMode="External" /><Relationship Type="http://schemas.openxmlformats.org/officeDocument/2006/relationships/hyperlink" Id="rId176" Target="https://doi.org/10.1007/978-1-4419-9782-1" TargetMode="External" /><Relationship Type="http://schemas.openxmlformats.org/officeDocument/2006/relationships/hyperlink" Id="rId155" Target="https://doi.org/10.1016/j.csda.2013.10.018" TargetMode="External" /><Relationship Type="http://schemas.openxmlformats.org/officeDocument/2006/relationships/hyperlink" Id="rId146" Target="https://doi.org/10.1017/cts.2023.635" TargetMode="External" /><Relationship Type="http://schemas.openxmlformats.org/officeDocument/2006/relationships/hyperlink" Id="rId161" Target="https://doi.org/10.1080/19466315.2022.2116104" TargetMode="External" /><Relationship Type="http://schemas.openxmlformats.org/officeDocument/2006/relationships/hyperlink" Id="rId165" Target="https://doi.org/10.1093/aje/kwv254" TargetMode="External" /><Relationship Type="http://schemas.openxmlformats.org/officeDocument/2006/relationships/hyperlink" Id="rId201" Target="https://doi.org/10.1093/aje/kww165" TargetMode="External" /><Relationship Type="http://schemas.openxmlformats.org/officeDocument/2006/relationships/hyperlink" Id="rId194" Target="https://doi.org/10.1093/ije/dyad023" TargetMode="External" /><Relationship Type="http://schemas.openxmlformats.org/officeDocument/2006/relationships/hyperlink" Id="rId180" Target="https://doi.org/10.1093/ije/dyu149" TargetMode="External" /><Relationship Type="http://schemas.openxmlformats.org/officeDocument/2006/relationships/hyperlink" Id="rId192" Target="https://doi.org/10.1097/EDE.0000000000000078" TargetMode="External" /><Relationship Type="http://schemas.openxmlformats.org/officeDocument/2006/relationships/hyperlink" Id="rId184" Target="https://doi.org/10.1097/EDE.0b013e3181d61eeb" TargetMode="External" /><Relationship Type="http://schemas.openxmlformats.org/officeDocument/2006/relationships/hyperlink" Id="rId144" Target="https://doi.org/10.1111/ectj.12097" TargetMode="External" /><Relationship Type="http://schemas.openxmlformats.org/officeDocument/2006/relationships/hyperlink" Id="rId142" Target="https://doi.org/10.1136/bmj-2024-080483" TargetMode="External" /><Relationship Type="http://schemas.openxmlformats.org/officeDocument/2006/relationships/hyperlink" Id="rId215" Target="https://doi.org/10.1136/bmj.m4856" TargetMode="External" /><Relationship Type="http://schemas.openxmlformats.org/officeDocument/2006/relationships/hyperlink" Id="rId163" Target="https://doi.org/10.1186/s12874-024-02244-z" TargetMode="External" /><Relationship Type="http://schemas.openxmlformats.org/officeDocument/2006/relationships/hyperlink" Id="rId171" Target="https://doi.org/10.13063/2327-9214.1244" TargetMode="External" /><Relationship Type="http://schemas.openxmlformats.org/officeDocument/2006/relationships/hyperlink" Id="rId148" Target="https://doi.org/10.1515/ijb-2013-0004" TargetMode="External" /><Relationship Type="http://schemas.openxmlformats.org/officeDocument/2006/relationships/hyperlink" Id="rId174" Target="https://doi.org/10.2202/1544-6115.1309" TargetMode="External" /><Relationship Type="http://schemas.openxmlformats.org/officeDocument/2006/relationships/hyperlink" Id="rId178" Target="https://doi.org/10.2202/1557-4679.1043" TargetMode="External" /><Relationship Type="http://schemas.openxmlformats.org/officeDocument/2006/relationships/hyperlink" Id="rId213" Target="https://doi.org/10.7326/M16-2607" TargetMode="External" /><Relationship Type="http://schemas.openxmlformats.org/officeDocument/2006/relationships/hyperlink" Id="rId136" Target="https://github.com/amertens/clean-room-sim" TargetMode="External" /><Relationship Type="http://schemas.openxmlformats.org/officeDocument/2006/relationships/hyperlink" Id="rId135" Target="https://github.com/amertens/cleanTMLE" TargetMode="External" /><Relationship Type="http://schemas.openxmlformats.org/officeDocument/2006/relationships/hyperlink" Id="rId196" Target="https://www.R-project.org/" TargetMode="External" /><Relationship Type="http://schemas.openxmlformats.org/officeDocument/2006/relationships/hyperlink" Id="rId152" Target="https://www.ema.europa.eu/en/about-us/how-we-work/big-data/real-world-evidence" TargetMode="External" /><Relationship Type="http://schemas.openxmlformats.org/officeDocument/2006/relationships/hyperlink" Id="rId150" Target="https://www.ema.europa.eu/en/guideline-registry-based-studies-scientific-guideline" TargetMode="External" /><Relationship Type="http://schemas.openxmlformats.org/officeDocument/2006/relationships/hyperlink" Id="rId203" Target="https://www.fda.gov/media/120060/download" TargetMode="External" /><Relationship Type="http://schemas.openxmlformats.org/officeDocument/2006/relationships/hyperlink" Id="rId20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0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0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2026-05-11T15:53:09Z</dcterms:created>
  <dcterms:modified xsi:type="dcterms:W3CDTF">2026-05-11T15:53:09Z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