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222222"/>
          <w:sz w:val="20"/>
          <w:szCs w:val="20"/>
          <w:highlight w:val="white"/>
        </w:rPr>
      </w:pPr>
      <w:r w:rsidDel="00000000" w:rsidR="00000000" w:rsidRPr="00000000">
        <w:rPr>
          <w:color w:val="222222"/>
          <w:sz w:val="20"/>
          <w:szCs w:val="20"/>
          <w:highlight w:val="white"/>
          <w:rtl w:val="0"/>
        </w:rPr>
        <w:t xml:space="preserve">Dang LE, Gruber S, Lee H, Dahabreh IJ, Stuart EA, Williamson BD, Wyss R, Díaz I, Ghosh D, Kıcıman E, Alemayehu D. </w:t>
      </w:r>
    </w:p>
    <w:p w:rsidR="00000000" w:rsidDel="00000000" w:rsidP="00000000" w:rsidRDefault="00000000" w:rsidRPr="00000000" w14:paraId="00000002">
      <w:pPr>
        <w:rPr>
          <w:color w:val="222222"/>
          <w:highlight w:val="white"/>
        </w:rPr>
      </w:pPr>
      <w:hyperlink r:id="rId6">
        <w:r w:rsidDel="00000000" w:rsidR="00000000" w:rsidRPr="00000000">
          <w:rPr>
            <w:b w:val="1"/>
            <w:color w:val="0000ee"/>
            <w:highlight w:val="white"/>
            <w:u w:val="single"/>
            <w:rtl w:val="0"/>
          </w:rPr>
          <w:t xml:space="preserve">A causal roadmap for generating high-quality real-world evidence.pdf</w:t>
        </w:r>
      </w:hyperlink>
      <w:r w:rsidDel="00000000" w:rsidR="00000000" w:rsidRPr="00000000">
        <w:rPr>
          <w:rtl w:val="0"/>
        </w:rPr>
      </w:r>
    </w:p>
    <w:p w:rsidR="00000000" w:rsidDel="00000000" w:rsidP="00000000" w:rsidRDefault="00000000" w:rsidRPr="00000000" w14:paraId="00000003">
      <w:pPr>
        <w:rPr>
          <w:color w:val="ff0000"/>
          <w:sz w:val="20"/>
          <w:szCs w:val="20"/>
          <w:highlight w:val="white"/>
        </w:rPr>
      </w:pPr>
      <w:r w:rsidDel="00000000" w:rsidR="00000000" w:rsidRPr="00000000">
        <w:rPr>
          <w:color w:val="222222"/>
          <w:sz w:val="20"/>
          <w:szCs w:val="20"/>
          <w:highlight w:val="white"/>
          <w:rtl w:val="0"/>
        </w:rPr>
        <w:t xml:space="preserve">Journal of Clinical and Translational Science. 2023 Jan;7(1):e212.</w:t>
      </w:r>
      <w:r w:rsidDel="00000000" w:rsidR="00000000" w:rsidRPr="00000000">
        <w:rPr>
          <w:rtl w:val="0"/>
        </w:rPr>
      </w:r>
    </w:p>
    <w:p w:rsidR="00000000" w:rsidDel="00000000" w:rsidP="00000000" w:rsidRDefault="00000000" w:rsidRPr="00000000" w14:paraId="00000004">
      <w:pPr>
        <w:numPr>
          <w:ilvl w:val="0"/>
          <w:numId w:val="1"/>
        </w:numPr>
        <w:ind w:left="720" w:hanging="360"/>
        <w:rPr>
          <w:color w:val="222222"/>
          <w:sz w:val="20"/>
          <w:szCs w:val="20"/>
          <w:highlight w:val="white"/>
        </w:rPr>
      </w:pPr>
      <w:r w:rsidDel="00000000" w:rsidR="00000000" w:rsidRPr="00000000">
        <w:rPr>
          <w:color w:val="ff0000"/>
          <w:sz w:val="20"/>
          <w:szCs w:val="20"/>
          <w:highlight w:val="white"/>
          <w:rtl w:val="0"/>
        </w:rPr>
        <w:t xml:space="preserve">Recommended starting point</w:t>
      </w:r>
      <w:r w:rsidDel="00000000" w:rsidR="00000000" w:rsidRPr="00000000">
        <w:rPr>
          <w:rtl w:val="0"/>
        </w:rPr>
      </w:r>
    </w:p>
    <w:p w:rsidR="00000000" w:rsidDel="00000000" w:rsidP="00000000" w:rsidRDefault="00000000" w:rsidRPr="00000000" w14:paraId="00000005">
      <w:pPr>
        <w:numPr>
          <w:ilvl w:val="0"/>
          <w:numId w:val="1"/>
        </w:numPr>
        <w:ind w:left="720" w:hanging="360"/>
        <w:rPr>
          <w:color w:val="222222"/>
          <w:sz w:val="20"/>
          <w:szCs w:val="20"/>
          <w:highlight w:val="white"/>
        </w:rPr>
      </w:pPr>
      <w:r w:rsidDel="00000000" w:rsidR="00000000" w:rsidRPr="00000000">
        <w:rPr>
          <w:color w:val="222222"/>
          <w:sz w:val="20"/>
          <w:szCs w:val="20"/>
          <w:highlight w:val="white"/>
          <w:rtl w:val="0"/>
        </w:rPr>
        <w:t xml:space="preserve">The </w:t>
      </w:r>
      <w:r w:rsidDel="00000000" w:rsidR="00000000" w:rsidRPr="00000000">
        <w:rPr>
          <w:i w:val="1"/>
          <w:color w:val="222222"/>
          <w:sz w:val="20"/>
          <w:szCs w:val="20"/>
          <w:highlight w:val="white"/>
          <w:rtl w:val="0"/>
        </w:rPr>
        <w:t xml:space="preserve">Causal Roadmap</w:t>
      </w:r>
      <w:r w:rsidDel="00000000" w:rsidR="00000000" w:rsidRPr="00000000">
        <w:rPr>
          <w:color w:val="222222"/>
          <w:sz w:val="20"/>
          <w:szCs w:val="20"/>
          <w:highlight w:val="white"/>
          <w:rtl w:val="0"/>
        </w:rPr>
        <w:t xml:space="preserve"> is an explicit, itemized, iterative process that guides investigators to prespecify study design and analysis plans; it addresses a wide range of guidance within a single framework. </w:t>
      </w:r>
    </w:p>
    <w:p w:rsidR="00000000" w:rsidDel="00000000" w:rsidP="00000000" w:rsidRDefault="00000000" w:rsidRPr="00000000" w14:paraId="00000006">
      <w:pPr>
        <w:numPr>
          <w:ilvl w:val="0"/>
          <w:numId w:val="1"/>
        </w:numPr>
        <w:ind w:left="720" w:hanging="360"/>
        <w:rPr>
          <w:color w:val="222222"/>
          <w:sz w:val="20"/>
          <w:szCs w:val="20"/>
          <w:highlight w:val="white"/>
        </w:rPr>
      </w:pPr>
      <w:r w:rsidDel="00000000" w:rsidR="00000000" w:rsidRPr="00000000">
        <w:rPr>
          <w:color w:val="222222"/>
          <w:sz w:val="20"/>
          <w:szCs w:val="20"/>
          <w:highlight w:val="white"/>
          <w:rtl w:val="0"/>
        </w:rPr>
        <w:t xml:space="preserve">By supporting the transparent evaluation of causal assumptions and facilitating objective comparisons of design and analysis choices based on pre specified criteria, the </w:t>
      </w:r>
      <w:r w:rsidDel="00000000" w:rsidR="00000000" w:rsidRPr="00000000">
        <w:rPr>
          <w:color w:val="222222"/>
          <w:sz w:val="20"/>
          <w:szCs w:val="20"/>
          <w:highlight w:val="white"/>
          <w:rtl w:val="0"/>
        </w:rPr>
        <w:t xml:space="preserve">Roadmap</w:t>
      </w:r>
      <w:r w:rsidDel="00000000" w:rsidR="00000000" w:rsidRPr="00000000">
        <w:rPr>
          <w:color w:val="222222"/>
          <w:sz w:val="20"/>
          <w:szCs w:val="20"/>
          <w:highlight w:val="white"/>
          <w:rtl w:val="0"/>
        </w:rPr>
        <w:t xml:space="preserve"> can help investigators to evaluate the quality of evidence that a given study is likely to produce, specify a study to generate high-quality RWE, and communicate effectively with regulatory agencies and other stakeholders. </w:t>
      </w:r>
    </w:p>
    <w:p w:rsidR="00000000" w:rsidDel="00000000" w:rsidP="00000000" w:rsidRDefault="00000000" w:rsidRPr="00000000" w14:paraId="00000007">
      <w:pPr>
        <w:numPr>
          <w:ilvl w:val="0"/>
          <w:numId w:val="1"/>
        </w:numPr>
        <w:ind w:left="720" w:hanging="360"/>
        <w:rPr>
          <w:color w:val="222222"/>
          <w:sz w:val="20"/>
          <w:szCs w:val="20"/>
          <w:highlight w:val="white"/>
        </w:rPr>
      </w:pPr>
      <w:r w:rsidDel="00000000" w:rsidR="00000000" w:rsidRPr="00000000">
        <w:rPr>
          <w:color w:val="222222"/>
          <w:sz w:val="20"/>
          <w:szCs w:val="20"/>
          <w:highlight w:val="white"/>
          <w:rtl w:val="0"/>
        </w:rPr>
        <w:t xml:space="preserve">This paper aims to </w:t>
      </w:r>
      <w:r w:rsidDel="00000000" w:rsidR="00000000" w:rsidRPr="00000000">
        <w:rPr>
          <w:color w:val="0000ff"/>
          <w:sz w:val="20"/>
          <w:szCs w:val="20"/>
          <w:highlight w:val="white"/>
          <w:rtl w:val="0"/>
        </w:rPr>
        <w:t xml:space="preserve">disseminate and extend the </w:t>
      </w:r>
      <w:r w:rsidDel="00000000" w:rsidR="00000000" w:rsidRPr="00000000">
        <w:rPr>
          <w:color w:val="0000ff"/>
          <w:sz w:val="20"/>
          <w:szCs w:val="20"/>
          <w:highlight w:val="white"/>
          <w:rtl w:val="0"/>
        </w:rPr>
        <w:t xml:space="preserve">Causal Roadmap</w:t>
      </w:r>
      <w:r w:rsidDel="00000000" w:rsidR="00000000" w:rsidRPr="00000000">
        <w:rPr>
          <w:color w:val="0000ff"/>
          <w:sz w:val="20"/>
          <w:szCs w:val="20"/>
          <w:highlight w:val="white"/>
          <w:rtl w:val="0"/>
        </w:rPr>
        <w:t xml:space="preserve"> framework for use by clinical and translational researchers</w:t>
      </w:r>
      <w:r w:rsidDel="00000000" w:rsidR="00000000" w:rsidRPr="00000000">
        <w:rPr>
          <w:color w:val="222222"/>
          <w:sz w:val="20"/>
          <w:szCs w:val="20"/>
          <w:highlight w:val="white"/>
          <w:rtl w:val="0"/>
        </w:rPr>
        <w:t xml:space="preserve">.</w:t>
      </w:r>
    </w:p>
    <w:p w:rsidR="00000000" w:rsidDel="00000000" w:rsidP="00000000" w:rsidRDefault="00000000" w:rsidRPr="00000000" w14:paraId="00000008">
      <w:pPr>
        <w:rPr>
          <w:color w:val="222222"/>
          <w:sz w:val="20"/>
          <w:szCs w:val="20"/>
          <w:highlight w:val="white"/>
        </w:rPr>
      </w:pPr>
      <w:r w:rsidDel="00000000" w:rsidR="00000000" w:rsidRPr="00000000">
        <w:rPr>
          <w:rtl w:val="0"/>
        </w:rPr>
      </w:r>
    </w:p>
    <w:p w:rsidR="00000000" w:rsidDel="00000000" w:rsidP="00000000" w:rsidRDefault="00000000" w:rsidRPr="00000000" w14:paraId="00000009">
      <w:pPr>
        <w:rPr>
          <w:color w:val="222222"/>
          <w:sz w:val="20"/>
          <w:szCs w:val="20"/>
          <w:highlight w:val="white"/>
        </w:rPr>
      </w:pPr>
      <w:r w:rsidDel="00000000" w:rsidR="00000000" w:rsidRPr="00000000">
        <w:rPr>
          <w:color w:val="222222"/>
          <w:sz w:val="20"/>
          <w:szCs w:val="20"/>
          <w:highlight w:val="white"/>
          <w:rtl w:val="0"/>
        </w:rPr>
        <w:t xml:space="preserve">Gruber S, Lee H, Phillips R, Ho M, van der Laan M. </w:t>
      </w:r>
    </w:p>
    <w:p w:rsidR="00000000" w:rsidDel="00000000" w:rsidP="00000000" w:rsidRDefault="00000000" w:rsidRPr="00000000" w14:paraId="0000000A">
      <w:pPr>
        <w:rPr>
          <w:color w:val="222222"/>
          <w:highlight w:val="white"/>
        </w:rPr>
      </w:pPr>
      <w:hyperlink r:id="rId7">
        <w:r w:rsidDel="00000000" w:rsidR="00000000" w:rsidRPr="00000000">
          <w:rPr>
            <w:b w:val="1"/>
            <w:color w:val="0000ee"/>
            <w:highlight w:val="white"/>
            <w:u w:val="single"/>
            <w:rtl w:val="0"/>
          </w:rPr>
          <w:t xml:space="preserve">Developing a TL-Based SAP.pdf</w:t>
        </w:r>
      </w:hyperlink>
      <w:r w:rsidDel="00000000" w:rsidR="00000000" w:rsidRPr="00000000">
        <w:rPr>
          <w:color w:val="222222"/>
          <w:highlight w:val="white"/>
          <w:rtl w:val="0"/>
        </w:rPr>
        <w:t xml:space="preserve"> </w:t>
      </w:r>
    </w:p>
    <w:p w:rsidR="00000000" w:rsidDel="00000000" w:rsidP="00000000" w:rsidRDefault="00000000" w:rsidRPr="00000000" w14:paraId="0000000B">
      <w:pPr>
        <w:rPr>
          <w:color w:val="222222"/>
          <w:sz w:val="20"/>
          <w:szCs w:val="20"/>
          <w:highlight w:val="white"/>
        </w:rPr>
      </w:pPr>
      <w:r w:rsidDel="00000000" w:rsidR="00000000" w:rsidRPr="00000000">
        <w:rPr>
          <w:color w:val="222222"/>
          <w:sz w:val="20"/>
          <w:szCs w:val="20"/>
          <w:highlight w:val="white"/>
          <w:rtl w:val="0"/>
        </w:rPr>
        <w:t xml:space="preserve">Statistics in Biopharmaceutical Research. 2023 Jul 3;15(3):468-75.</w:t>
      </w:r>
    </w:p>
    <w:p w:rsidR="00000000" w:rsidDel="00000000" w:rsidP="00000000" w:rsidRDefault="00000000" w:rsidRPr="00000000" w14:paraId="0000000C">
      <w:pPr>
        <w:numPr>
          <w:ilvl w:val="0"/>
          <w:numId w:val="1"/>
        </w:numPr>
        <w:spacing w:after="0" w:before="0" w:lineRule="auto"/>
        <w:ind w:left="720" w:hanging="360"/>
        <w:rPr>
          <w:color w:val="222222"/>
          <w:sz w:val="20"/>
          <w:szCs w:val="20"/>
          <w:highlight w:val="white"/>
          <w:u w:val="none"/>
        </w:rPr>
      </w:pPr>
      <w:r w:rsidDel="00000000" w:rsidR="00000000" w:rsidRPr="00000000">
        <w:rPr>
          <w:color w:val="222222"/>
          <w:sz w:val="20"/>
          <w:szCs w:val="20"/>
          <w:highlight w:val="white"/>
          <w:rtl w:val="0"/>
        </w:rPr>
        <w:t xml:space="preserve">We step through the TL roadmap, considering </w:t>
      </w:r>
      <w:r w:rsidDel="00000000" w:rsidR="00000000" w:rsidRPr="00000000">
        <w:rPr>
          <w:color w:val="0000ff"/>
          <w:sz w:val="20"/>
          <w:szCs w:val="20"/>
          <w:highlight w:val="white"/>
          <w:rtl w:val="0"/>
        </w:rPr>
        <w:t xml:space="preserve">longitudinal data</w:t>
      </w:r>
      <w:r w:rsidDel="00000000" w:rsidR="00000000" w:rsidRPr="00000000">
        <w:rPr>
          <w:color w:val="222222"/>
          <w:sz w:val="20"/>
          <w:szCs w:val="20"/>
          <w:highlight w:val="white"/>
          <w:rtl w:val="0"/>
        </w:rPr>
        <w:t xml:space="preserve"> and intention-to-treat and per-protocol estimands as a running example.</w:t>
      </w:r>
    </w:p>
    <w:p w:rsidR="00000000" w:rsidDel="00000000" w:rsidP="00000000" w:rsidRDefault="00000000" w:rsidRPr="00000000" w14:paraId="0000000D">
      <w:pPr>
        <w:numPr>
          <w:ilvl w:val="0"/>
          <w:numId w:val="1"/>
        </w:numPr>
        <w:spacing w:after="0" w:before="0" w:lineRule="auto"/>
        <w:ind w:left="720" w:hanging="360"/>
        <w:rPr>
          <w:color w:val="222222"/>
          <w:sz w:val="20"/>
          <w:szCs w:val="20"/>
          <w:highlight w:val="white"/>
          <w:u w:val="none"/>
        </w:rPr>
      </w:pPr>
      <w:r w:rsidDel="00000000" w:rsidR="00000000" w:rsidRPr="00000000">
        <w:rPr>
          <w:color w:val="222222"/>
          <w:sz w:val="20"/>
          <w:szCs w:val="20"/>
          <w:highlight w:val="white"/>
          <w:rtl w:val="0"/>
        </w:rPr>
        <w:t xml:space="preserve">An </w:t>
      </w:r>
      <w:r w:rsidDel="00000000" w:rsidR="00000000" w:rsidRPr="00000000">
        <w:rPr>
          <w:color w:val="0000ff"/>
          <w:sz w:val="20"/>
          <w:szCs w:val="20"/>
          <w:highlight w:val="white"/>
          <w:rtl w:val="0"/>
        </w:rPr>
        <w:t xml:space="preserve">annotated SAP, completed checklists for pre-specifying the estimation procedure, and sample data analysis R code</w:t>
      </w:r>
      <w:r w:rsidDel="00000000" w:rsidR="00000000" w:rsidRPr="00000000">
        <w:rPr>
          <w:color w:val="222222"/>
          <w:sz w:val="20"/>
          <w:szCs w:val="20"/>
          <w:highlight w:val="white"/>
          <w:rtl w:val="0"/>
        </w:rPr>
        <w:t xml:space="preserve"> are provided as supplementary materials. </w:t>
      </w:r>
      <w:hyperlink r:id="rId8">
        <w:r w:rsidDel="00000000" w:rsidR="00000000" w:rsidRPr="00000000">
          <w:rPr>
            <w:color w:val="0000ee"/>
            <w:sz w:val="20"/>
            <w:szCs w:val="20"/>
            <w:highlight w:val="white"/>
            <w:u w:val="single"/>
            <w:rtl w:val="0"/>
          </w:rPr>
          <w:t xml:space="preserve">Developing a TL-Based SAP - Supplement.pdf</w:t>
        </w:r>
      </w:hyperlink>
      <w:r w:rsidDel="00000000" w:rsidR="00000000" w:rsidRPr="00000000">
        <w:rPr>
          <w:rtl w:val="0"/>
        </w:rPr>
      </w:r>
    </w:p>
    <w:p w:rsidR="00000000" w:rsidDel="00000000" w:rsidP="00000000" w:rsidRDefault="00000000" w:rsidRPr="00000000" w14:paraId="0000000E">
      <w:pPr>
        <w:rPr>
          <w:color w:val="222222"/>
          <w:sz w:val="20"/>
          <w:szCs w:val="20"/>
          <w:highlight w:val="white"/>
        </w:rPr>
      </w:pPr>
      <w:r w:rsidDel="00000000" w:rsidR="00000000" w:rsidRPr="00000000">
        <w:rPr>
          <w:rtl w:val="0"/>
        </w:rPr>
      </w:r>
    </w:p>
    <w:p w:rsidR="00000000" w:rsidDel="00000000" w:rsidP="00000000" w:rsidRDefault="00000000" w:rsidRPr="00000000" w14:paraId="0000000F">
      <w:pPr>
        <w:rPr>
          <w:color w:val="222222"/>
          <w:sz w:val="20"/>
          <w:szCs w:val="20"/>
          <w:highlight w:val="white"/>
        </w:rPr>
      </w:pPr>
      <w:r w:rsidDel="00000000" w:rsidR="00000000" w:rsidRPr="00000000">
        <w:rPr>
          <w:color w:val="222222"/>
          <w:sz w:val="20"/>
          <w:szCs w:val="20"/>
          <w:highlight w:val="white"/>
          <w:rtl w:val="0"/>
        </w:rPr>
        <w:t xml:space="preserve">Gruber S, Phillips RV, Lee H, Concato J, van der Laan M. </w:t>
      </w:r>
      <w:hyperlink r:id="rId9">
        <w:r w:rsidDel="00000000" w:rsidR="00000000" w:rsidRPr="00000000">
          <w:rPr>
            <w:b w:val="1"/>
            <w:color w:val="0000ee"/>
            <w:highlight w:val="white"/>
            <w:u w:val="single"/>
            <w:rtl w:val="0"/>
          </w:rPr>
          <w:t xml:space="preserve">Evaluating and improving RWE with TL.pdf</w:t>
        </w:r>
      </w:hyperlink>
      <w:r w:rsidDel="00000000" w:rsidR="00000000" w:rsidRPr="00000000">
        <w:rPr>
          <w:color w:val="222222"/>
          <w:sz w:val="20"/>
          <w:szCs w:val="20"/>
          <w:highlight w:val="white"/>
          <w:rtl w:val="0"/>
        </w:rPr>
        <w:t xml:space="preserve"> </w:t>
      </w:r>
    </w:p>
    <w:p w:rsidR="00000000" w:rsidDel="00000000" w:rsidP="00000000" w:rsidRDefault="00000000" w:rsidRPr="00000000" w14:paraId="00000010">
      <w:pPr>
        <w:rPr/>
      </w:pPr>
      <w:r w:rsidDel="00000000" w:rsidR="00000000" w:rsidRPr="00000000">
        <w:rPr>
          <w:color w:val="222222"/>
          <w:sz w:val="20"/>
          <w:szCs w:val="20"/>
          <w:highlight w:val="white"/>
          <w:rtl w:val="0"/>
        </w:rPr>
        <w:t xml:space="preserve">BMC Medical Research Methodology. 2023 Aug 2;23(1):178.</w:t>
      </w:r>
      <w:r w:rsidDel="00000000" w:rsidR="00000000" w:rsidRPr="00000000">
        <w:rPr>
          <w:rtl w:val="0"/>
        </w:rPr>
      </w:r>
    </w:p>
    <w:p w:rsidR="00000000" w:rsidDel="00000000" w:rsidP="00000000" w:rsidRDefault="00000000" w:rsidRPr="00000000" w14:paraId="00000011">
      <w:pPr>
        <w:numPr>
          <w:ilvl w:val="0"/>
          <w:numId w:val="5"/>
        </w:numPr>
        <w:spacing w:after="0" w:afterAutospacing="0"/>
        <w:ind w:left="720" w:hanging="360"/>
        <w:rPr>
          <w:color w:val="222222"/>
          <w:sz w:val="20"/>
          <w:szCs w:val="20"/>
          <w:highlight w:val="white"/>
          <w:u w:val="none"/>
        </w:rPr>
      </w:pPr>
      <w:r w:rsidDel="00000000" w:rsidR="00000000" w:rsidRPr="00000000">
        <w:rPr>
          <w:color w:val="222222"/>
          <w:sz w:val="20"/>
          <w:szCs w:val="20"/>
          <w:highlight w:val="white"/>
          <w:rtl w:val="0"/>
        </w:rPr>
        <w:t xml:space="preserve">We </w:t>
      </w:r>
      <w:r w:rsidDel="00000000" w:rsidR="00000000" w:rsidRPr="00000000">
        <w:rPr>
          <w:color w:val="0000ff"/>
          <w:sz w:val="20"/>
          <w:szCs w:val="20"/>
          <w:highlight w:val="white"/>
          <w:rtl w:val="0"/>
        </w:rPr>
        <w:t xml:space="preserve">applied the roadmap to a published observational study of the dose–response association</w:t>
      </w:r>
      <w:r w:rsidDel="00000000" w:rsidR="00000000" w:rsidRPr="00000000">
        <w:rPr>
          <w:color w:val="222222"/>
          <w:sz w:val="20"/>
          <w:szCs w:val="20"/>
          <w:highlight w:val="white"/>
          <w:rtl w:val="0"/>
        </w:rPr>
        <w:br w:type="textWrapping"/>
        <w:t xml:space="preserve">between ritodrine hydrochloride and pulmonary edema among women pregnant with twins in Japan. The goal was to identify barriers to causal effect estimation beyond unmeasured confounding reported by the study’s authors, and to explore potential options for overcoming the barriers that robustify results.</w:t>
      </w:r>
    </w:p>
    <w:p w:rsidR="00000000" w:rsidDel="00000000" w:rsidP="00000000" w:rsidRDefault="00000000" w:rsidRPr="00000000" w14:paraId="00000012">
      <w:pPr>
        <w:numPr>
          <w:ilvl w:val="0"/>
          <w:numId w:val="5"/>
        </w:numPr>
        <w:spacing w:after="0" w:afterAutospacing="0" w:before="0" w:beforeAutospacing="0" w:lineRule="auto"/>
        <w:ind w:left="720" w:hanging="360"/>
        <w:rPr>
          <w:sz w:val="20"/>
          <w:szCs w:val="20"/>
        </w:rPr>
      </w:pPr>
      <w:r w:rsidDel="00000000" w:rsidR="00000000" w:rsidRPr="00000000">
        <w:rPr>
          <w:color w:val="222222"/>
          <w:sz w:val="20"/>
          <w:szCs w:val="20"/>
          <w:highlight w:val="white"/>
          <w:rtl w:val="0"/>
        </w:rPr>
        <w:t xml:space="preserve">Following the roadmap raised issues that led us to </w:t>
      </w:r>
      <w:r w:rsidDel="00000000" w:rsidR="00000000" w:rsidRPr="00000000">
        <w:rPr>
          <w:color w:val="0000ff"/>
          <w:sz w:val="20"/>
          <w:szCs w:val="20"/>
          <w:highlight w:val="white"/>
          <w:rtl w:val="0"/>
        </w:rPr>
        <w:t xml:space="preserve">formulate alternative causal questions (intention-to-treat estimand) that produced more reliable, interpretable RWE</w:t>
      </w:r>
      <w:r w:rsidDel="00000000" w:rsidR="00000000" w:rsidRPr="00000000">
        <w:rPr>
          <w:color w:val="222222"/>
          <w:sz w:val="20"/>
          <w:szCs w:val="20"/>
          <w:highlight w:val="white"/>
          <w:rtl w:val="0"/>
        </w:rPr>
        <w:t xml:space="preserve">. The process revealed a lack of information in the available data to identify a causal dose–response curve. However, under explicit assumptions the effect of treatment with any amount of ritodrine versus none, albeit a less ambitious parameter, can be estimated from data.</w:t>
      </w:r>
    </w:p>
    <w:p w:rsidR="00000000" w:rsidDel="00000000" w:rsidP="00000000" w:rsidRDefault="00000000" w:rsidRPr="00000000" w14:paraId="00000013">
      <w:pPr>
        <w:numPr>
          <w:ilvl w:val="0"/>
          <w:numId w:val="5"/>
        </w:numPr>
        <w:spacing w:after="280" w:before="0" w:beforeAutospacing="0" w:lineRule="auto"/>
        <w:ind w:left="720" w:hanging="360"/>
        <w:rPr>
          <w:sz w:val="20"/>
          <w:szCs w:val="20"/>
          <w:u w:val="none"/>
        </w:rPr>
      </w:pPr>
      <w:r w:rsidDel="00000000" w:rsidR="00000000" w:rsidRPr="00000000">
        <w:rPr>
          <w:rtl w:val="0"/>
        </w:rPr>
      </w:r>
    </w:p>
    <w:p w:rsidR="00000000" w:rsidDel="00000000" w:rsidP="00000000" w:rsidRDefault="00000000" w:rsidRPr="00000000" w14:paraId="00000014">
      <w:pPr>
        <w:spacing w:after="0" w:before="0" w:lineRule="auto"/>
        <w:rPr>
          <w:color w:val="222222"/>
          <w:sz w:val="20"/>
          <w:szCs w:val="20"/>
          <w:highlight w:val="white"/>
        </w:rPr>
      </w:pPr>
      <w:r w:rsidDel="00000000" w:rsidR="00000000" w:rsidRPr="00000000">
        <w:rPr>
          <w:color w:val="222222"/>
          <w:sz w:val="20"/>
          <w:szCs w:val="20"/>
          <w:highlight w:val="white"/>
          <w:rtl w:val="0"/>
        </w:rPr>
        <w:t xml:space="preserve">Gruber S, Phillips RV, Lee H, Ho M, Concato J, van der Laan MJ. </w:t>
      </w:r>
      <w:hyperlink r:id="rId10">
        <w:r w:rsidDel="00000000" w:rsidR="00000000" w:rsidRPr="00000000">
          <w:rPr>
            <w:b w:val="1"/>
            <w:color w:val="0000ee"/>
            <w:highlight w:val="white"/>
            <w:u w:val="single"/>
            <w:rtl w:val="0"/>
          </w:rPr>
          <w:t xml:space="preserve">TL Toward a Future Informed by RWE.pdf</w:t>
        </w:r>
      </w:hyperlink>
      <w:r w:rsidDel="00000000" w:rsidR="00000000" w:rsidRPr="00000000">
        <w:rPr>
          <w:color w:val="222222"/>
          <w:sz w:val="20"/>
          <w:szCs w:val="20"/>
          <w:highlight w:val="white"/>
          <w:rtl w:val="0"/>
        </w:rPr>
        <w:t xml:space="preserve">. </w:t>
      </w:r>
    </w:p>
    <w:p w:rsidR="00000000" w:rsidDel="00000000" w:rsidP="00000000" w:rsidRDefault="00000000" w:rsidRPr="00000000" w14:paraId="00000015">
      <w:pPr>
        <w:spacing w:after="0" w:before="0" w:lineRule="auto"/>
        <w:rPr>
          <w:color w:val="222222"/>
          <w:sz w:val="20"/>
          <w:szCs w:val="20"/>
          <w:highlight w:val="white"/>
        </w:rPr>
      </w:pPr>
      <w:r w:rsidDel="00000000" w:rsidR="00000000" w:rsidRPr="00000000">
        <w:rPr>
          <w:color w:val="222222"/>
          <w:sz w:val="20"/>
          <w:szCs w:val="20"/>
          <w:highlight w:val="white"/>
          <w:rtl w:val="0"/>
        </w:rPr>
        <w:t xml:space="preserve">Statistics in Biopharmaceutical Research. 2024 Jan 2;16(1):11-25.</w:t>
      </w:r>
    </w:p>
    <w:p w:rsidR="00000000" w:rsidDel="00000000" w:rsidP="00000000" w:rsidRDefault="00000000" w:rsidRPr="00000000" w14:paraId="00000016">
      <w:pPr>
        <w:numPr>
          <w:ilvl w:val="0"/>
          <w:numId w:val="2"/>
        </w:numPr>
        <w:spacing w:after="0" w:before="0" w:lineRule="auto"/>
        <w:ind w:left="720" w:hanging="360"/>
        <w:rPr>
          <w:sz w:val="20"/>
          <w:szCs w:val="20"/>
        </w:rPr>
      </w:pPr>
      <w:r w:rsidDel="00000000" w:rsidR="00000000" w:rsidRPr="00000000">
        <w:rPr>
          <w:sz w:val="20"/>
          <w:szCs w:val="20"/>
          <w:rtl w:val="0"/>
        </w:rPr>
        <w:t xml:space="preserve">T</w:t>
      </w:r>
      <w:r w:rsidDel="00000000" w:rsidR="00000000" w:rsidRPr="00000000">
        <w:rPr>
          <w:sz w:val="20"/>
          <w:szCs w:val="20"/>
          <w:rtl w:val="0"/>
        </w:rPr>
        <w:t xml:space="preserve">wo case studies—</w:t>
      </w:r>
      <w:r w:rsidDel="00000000" w:rsidR="00000000" w:rsidRPr="00000000">
        <w:rPr>
          <w:color w:val="0000ff"/>
          <w:sz w:val="20"/>
          <w:szCs w:val="20"/>
          <w:rtl w:val="0"/>
        </w:rPr>
        <w:t xml:space="preserve">point treatment with no loss to follow-up, point treatment with loss to follow-up</w:t>
      </w:r>
      <w:r w:rsidDel="00000000" w:rsidR="00000000" w:rsidRPr="00000000">
        <w:rPr>
          <w:sz w:val="20"/>
          <w:szCs w:val="20"/>
          <w:rtl w:val="0"/>
        </w:rPr>
        <w:t xml:space="preserve">— that illustrate the utility of following the roadmap. </w:t>
      </w:r>
    </w:p>
    <w:p w:rsidR="00000000" w:rsidDel="00000000" w:rsidP="00000000" w:rsidRDefault="00000000" w:rsidRPr="00000000" w14:paraId="00000017">
      <w:pPr>
        <w:numPr>
          <w:ilvl w:val="0"/>
          <w:numId w:val="2"/>
        </w:numPr>
        <w:spacing w:after="0" w:afterAutospacing="0" w:before="0" w:lineRule="auto"/>
        <w:ind w:left="720" w:hanging="360"/>
        <w:rPr>
          <w:sz w:val="20"/>
          <w:szCs w:val="20"/>
        </w:rPr>
      </w:pPr>
      <w:r w:rsidDel="00000000" w:rsidR="00000000" w:rsidRPr="00000000">
        <w:rPr>
          <w:sz w:val="20"/>
          <w:szCs w:val="20"/>
          <w:rtl w:val="0"/>
        </w:rPr>
        <w:t xml:space="preserve">We used TMLE + SL to estimate causal effects. We also</w:t>
      </w:r>
      <w:r w:rsidDel="00000000" w:rsidR="00000000" w:rsidRPr="00000000">
        <w:rPr>
          <w:color w:val="0000ff"/>
          <w:sz w:val="20"/>
          <w:szCs w:val="20"/>
          <w:rtl w:val="0"/>
        </w:rPr>
        <w:t xml:space="preserve"> compared</w:t>
      </w:r>
      <w:r w:rsidDel="00000000" w:rsidR="00000000" w:rsidRPr="00000000">
        <w:rPr>
          <w:sz w:val="20"/>
          <w:szCs w:val="20"/>
          <w:rtl w:val="0"/>
        </w:rPr>
        <w:t xml:space="preserve"> these findings with those obtained from an unadjusted analysis, propensity score matching, and inverse probability weighting. </w:t>
      </w:r>
    </w:p>
    <w:p w:rsidR="00000000" w:rsidDel="00000000" w:rsidP="00000000" w:rsidRDefault="00000000" w:rsidRPr="00000000" w14:paraId="00000018">
      <w:pPr>
        <w:numPr>
          <w:ilvl w:val="0"/>
          <w:numId w:val="2"/>
        </w:numPr>
        <w:spacing w:after="280" w:before="0" w:beforeAutospacing="0" w:lineRule="auto"/>
        <w:ind w:left="720" w:hanging="360"/>
        <w:rPr>
          <w:sz w:val="20"/>
          <w:szCs w:val="20"/>
        </w:rPr>
      </w:pPr>
      <w:r w:rsidDel="00000000" w:rsidR="00000000" w:rsidRPr="00000000">
        <w:rPr>
          <w:sz w:val="20"/>
          <w:szCs w:val="20"/>
          <w:rtl w:val="0"/>
        </w:rPr>
        <w:t xml:space="preserve">Sample code and additional results and diagnostics are available as supplementary materials.  </w:t>
      </w:r>
      <w:hyperlink r:id="rId11">
        <w:r w:rsidDel="00000000" w:rsidR="00000000" w:rsidRPr="00000000">
          <w:rPr>
            <w:color w:val="1155cc"/>
            <w:sz w:val="20"/>
            <w:szCs w:val="20"/>
            <w:u w:val="single"/>
            <w:rtl w:val="0"/>
          </w:rPr>
          <w:t xml:space="preserve">TL Toward a Future Informed by RWE - Supplement.zip</w:t>
        </w:r>
      </w:hyperlink>
      <w:r w:rsidDel="00000000" w:rsidR="00000000" w:rsidRPr="00000000">
        <w:rPr>
          <w:sz w:val="20"/>
          <w:szCs w:val="20"/>
          <w:rtl w:val="0"/>
        </w:rPr>
        <w:t xml:space="preserve"> </w:t>
      </w:r>
    </w:p>
    <w:p w:rsidR="00000000" w:rsidDel="00000000" w:rsidP="00000000" w:rsidRDefault="00000000" w:rsidRPr="00000000" w14:paraId="00000019">
      <w:pPr>
        <w:rPr>
          <w:sz w:val="15"/>
          <w:szCs w:val="15"/>
        </w:rPr>
      </w:pPr>
      <w:r w:rsidDel="00000000" w:rsidR="00000000" w:rsidRPr="00000000">
        <w:rPr>
          <w:rtl w:val="0"/>
        </w:rPr>
      </w:r>
    </w:p>
    <w:p w:rsidR="00000000" w:rsidDel="00000000" w:rsidP="00000000" w:rsidRDefault="00000000" w:rsidRPr="00000000" w14:paraId="0000001A">
      <w:pPr>
        <w:rPr>
          <w:color w:val="222222"/>
          <w:sz w:val="20"/>
          <w:szCs w:val="20"/>
          <w:highlight w:val="white"/>
        </w:rPr>
      </w:pPr>
      <w:r w:rsidDel="00000000" w:rsidR="00000000" w:rsidRPr="00000000">
        <w:rPr>
          <w:color w:val="222222"/>
          <w:sz w:val="20"/>
          <w:szCs w:val="20"/>
          <w:highlight w:val="white"/>
          <w:rtl w:val="0"/>
        </w:rPr>
        <w:t xml:space="preserve">Gruber S, Lee H, Phillips R, van der Laan M. </w:t>
      </w:r>
    </w:p>
    <w:p w:rsidR="00000000" w:rsidDel="00000000" w:rsidP="00000000" w:rsidRDefault="00000000" w:rsidRPr="00000000" w14:paraId="0000001B">
      <w:pPr>
        <w:rPr>
          <w:color w:val="222222"/>
          <w:sz w:val="20"/>
          <w:szCs w:val="20"/>
          <w:highlight w:val="white"/>
        </w:rPr>
      </w:pPr>
      <w:hyperlink r:id="rId12">
        <w:r w:rsidDel="00000000" w:rsidR="00000000" w:rsidRPr="00000000">
          <w:rPr>
            <w:b w:val="1"/>
            <w:color w:val="0000ee"/>
            <w:highlight w:val="white"/>
            <w:u w:val="single"/>
            <w:rtl w:val="0"/>
          </w:rPr>
          <w:t xml:space="preserve">Causal inference with TL for producing and evaluating RWE.pdf</w:t>
        </w:r>
      </w:hyperlink>
      <w:r w:rsidDel="00000000" w:rsidR="00000000" w:rsidRPr="00000000">
        <w:rPr>
          <w:color w:val="222222"/>
          <w:highlight w:val="white"/>
          <w:rtl w:val="0"/>
        </w:rPr>
        <w:t xml:space="preserve">.</w:t>
      </w:r>
      <w:r w:rsidDel="00000000" w:rsidR="00000000" w:rsidRPr="00000000">
        <w:rPr>
          <w:color w:val="222222"/>
          <w:sz w:val="20"/>
          <w:szCs w:val="20"/>
          <w:highlight w:val="white"/>
          <w:rtl w:val="0"/>
        </w:rPr>
        <w:t xml:space="preserve"> </w:t>
      </w:r>
    </w:p>
    <w:p w:rsidR="00000000" w:rsidDel="00000000" w:rsidP="00000000" w:rsidRDefault="00000000" w:rsidRPr="00000000" w14:paraId="0000001C">
      <w:pPr>
        <w:rPr>
          <w:color w:val="222222"/>
          <w:sz w:val="20"/>
          <w:szCs w:val="20"/>
          <w:highlight w:val="white"/>
        </w:rPr>
      </w:pPr>
      <w:r w:rsidDel="00000000" w:rsidR="00000000" w:rsidRPr="00000000">
        <w:rPr>
          <w:color w:val="222222"/>
          <w:sz w:val="20"/>
          <w:szCs w:val="20"/>
          <w:highlight w:val="white"/>
          <w:rtl w:val="0"/>
        </w:rPr>
        <w:t xml:space="preserve">InReal-world evidence in medical product development </w:t>
      </w:r>
    </w:p>
    <w:p w:rsidR="00000000" w:rsidDel="00000000" w:rsidP="00000000" w:rsidRDefault="00000000" w:rsidRPr="00000000" w14:paraId="0000001D">
      <w:pPr>
        <w:rPr>
          <w:sz w:val="15"/>
          <w:szCs w:val="15"/>
        </w:rPr>
      </w:pPr>
      <w:r w:rsidDel="00000000" w:rsidR="00000000" w:rsidRPr="00000000">
        <w:rPr>
          <w:color w:val="222222"/>
          <w:sz w:val="20"/>
          <w:szCs w:val="20"/>
          <w:highlight w:val="white"/>
          <w:rtl w:val="0"/>
        </w:rPr>
        <w:t xml:space="preserve">2023 May 12 (pp. 125-143). Cham: Springer International Publishing.</w:t>
      </w:r>
      <w:r w:rsidDel="00000000" w:rsidR="00000000" w:rsidRPr="00000000">
        <w:rPr>
          <w:rtl w:val="0"/>
        </w:rPr>
      </w:r>
    </w:p>
    <w:p w:rsidR="00000000" w:rsidDel="00000000" w:rsidP="00000000" w:rsidRDefault="00000000" w:rsidRPr="00000000" w14:paraId="0000001E">
      <w:pPr>
        <w:numPr>
          <w:ilvl w:val="0"/>
          <w:numId w:val="4"/>
        </w:numPr>
        <w:ind w:left="720" w:hanging="360"/>
        <w:rPr>
          <w:sz w:val="20"/>
          <w:szCs w:val="20"/>
          <w:u w:val="none"/>
        </w:rPr>
      </w:pPr>
      <w:r w:rsidDel="00000000" w:rsidR="00000000" w:rsidRPr="00000000">
        <w:rPr>
          <w:sz w:val="20"/>
          <w:szCs w:val="20"/>
          <w:rtl w:val="0"/>
        </w:rPr>
        <w:t xml:space="preserve">We illustrate TL and the Roadmap through an analysis of </w:t>
      </w:r>
      <w:r w:rsidDel="00000000" w:rsidR="00000000" w:rsidRPr="00000000">
        <w:rPr>
          <w:color w:val="0000ff"/>
          <w:sz w:val="20"/>
          <w:szCs w:val="20"/>
          <w:rtl w:val="0"/>
        </w:rPr>
        <w:t xml:space="preserve">time-to-event data</w:t>
      </w:r>
      <w:r w:rsidDel="00000000" w:rsidR="00000000" w:rsidRPr="00000000">
        <w:rPr>
          <w:sz w:val="20"/>
          <w:szCs w:val="20"/>
          <w:rtl w:val="0"/>
        </w:rPr>
        <w:t xml:space="preserve"> from a </w:t>
      </w:r>
      <w:r w:rsidDel="00000000" w:rsidR="00000000" w:rsidRPr="00000000">
        <w:rPr>
          <w:color w:val="0000ff"/>
          <w:sz w:val="20"/>
          <w:szCs w:val="20"/>
          <w:rtl w:val="0"/>
        </w:rPr>
        <w:t xml:space="preserve">single arm study with a synthetic external control arm</w:t>
      </w:r>
      <w:r w:rsidDel="00000000" w:rsidR="00000000" w:rsidRPr="00000000">
        <w:rPr>
          <w:sz w:val="20"/>
          <w:szCs w:val="20"/>
          <w:rtl w:val="0"/>
        </w:rPr>
        <w:t xml:space="preserve">.</w:t>
      </w:r>
    </w:p>
    <w:p w:rsidR="00000000" w:rsidDel="00000000" w:rsidP="00000000" w:rsidRDefault="00000000" w:rsidRPr="00000000" w14:paraId="0000001F">
      <w:pPr>
        <w:numPr>
          <w:ilvl w:val="0"/>
          <w:numId w:val="4"/>
        </w:numPr>
        <w:ind w:left="720" w:hanging="360"/>
        <w:rPr>
          <w:sz w:val="20"/>
          <w:szCs w:val="20"/>
          <w:u w:val="none"/>
        </w:rPr>
      </w:pPr>
      <w:r w:rsidDel="00000000" w:rsidR="00000000" w:rsidRPr="00000000">
        <w:rPr>
          <w:sz w:val="20"/>
          <w:szCs w:val="20"/>
          <w:rtl w:val="0"/>
        </w:rPr>
        <w:t xml:space="preserve">The population of interest is defined by the population included in the single arm study. TMLE+SL are used to evaluate the </w:t>
      </w:r>
      <w:r w:rsidDel="00000000" w:rsidR="00000000" w:rsidRPr="00000000">
        <w:rPr>
          <w:color w:val="0000ff"/>
          <w:sz w:val="20"/>
          <w:szCs w:val="20"/>
          <w:rtl w:val="0"/>
        </w:rPr>
        <w:t xml:space="preserve">marginal cumulative incidence ratio of mortality under treatment versus comparator among the treated (ATT)</w:t>
      </w:r>
      <w:r w:rsidDel="00000000" w:rsidR="00000000" w:rsidRPr="00000000">
        <w:rPr>
          <w:sz w:val="20"/>
          <w:szCs w:val="20"/>
          <w:rtl w:val="0"/>
        </w:rPr>
        <w:t xml:space="preserve">.</w:t>
      </w:r>
    </w:p>
    <w:p w:rsidR="00000000" w:rsidDel="00000000" w:rsidP="00000000" w:rsidRDefault="00000000" w:rsidRPr="00000000" w14:paraId="00000020">
      <w:pPr>
        <w:rPr>
          <w:sz w:val="15"/>
          <w:szCs w:val="15"/>
        </w:rPr>
      </w:pPr>
      <w:r w:rsidDel="00000000" w:rsidR="00000000" w:rsidRPr="00000000">
        <w:rPr>
          <w:rtl w:val="0"/>
        </w:rPr>
      </w:r>
    </w:p>
    <w:p w:rsidR="00000000" w:rsidDel="00000000" w:rsidP="00000000" w:rsidRDefault="00000000" w:rsidRPr="00000000" w14:paraId="00000021">
      <w:pPr>
        <w:spacing w:after="0" w:before="0" w:lineRule="auto"/>
        <w:ind w:left="0" w:firstLine="0"/>
        <w:rPr>
          <w:sz w:val="20"/>
          <w:szCs w:val="20"/>
        </w:rPr>
      </w:pPr>
      <w:r w:rsidDel="00000000" w:rsidR="00000000" w:rsidRPr="00000000">
        <w:rPr>
          <w:rtl w:val="0"/>
        </w:rPr>
      </w:r>
    </w:p>
    <w:p w:rsidR="00000000" w:rsidDel="00000000" w:rsidP="00000000" w:rsidRDefault="00000000" w:rsidRPr="00000000" w14:paraId="00000022">
      <w:pPr>
        <w:ind w:left="0" w:firstLine="0"/>
        <w:rPr>
          <w:sz w:val="20"/>
          <w:szCs w:val="20"/>
        </w:rPr>
      </w:pPr>
      <w:r w:rsidDel="00000000" w:rsidR="00000000" w:rsidRPr="00000000">
        <w:rPr>
          <w:rtl w:val="0"/>
        </w:rPr>
      </w:r>
    </w:p>
    <w:p w:rsidR="00000000" w:rsidDel="00000000" w:rsidP="00000000" w:rsidRDefault="00000000" w:rsidRPr="00000000" w14:paraId="00000023">
      <w:pPr>
        <w:rPr>
          <w:color w:val="222222"/>
          <w:sz w:val="20"/>
          <w:szCs w:val="20"/>
          <w:highlight w:val="white"/>
        </w:rPr>
      </w:pPr>
      <w:r w:rsidDel="00000000" w:rsidR="00000000" w:rsidRPr="00000000">
        <w:rPr>
          <w:color w:val="222222"/>
          <w:sz w:val="20"/>
          <w:szCs w:val="20"/>
          <w:highlight w:val="white"/>
          <w:rtl w:val="0"/>
        </w:rPr>
        <w:t xml:space="preserve">Phillips RV, Van Der Laan MJ, Lee H, Gruber S. </w:t>
      </w:r>
    </w:p>
    <w:p w:rsidR="00000000" w:rsidDel="00000000" w:rsidP="00000000" w:rsidRDefault="00000000" w:rsidRPr="00000000" w14:paraId="00000024">
      <w:pPr>
        <w:rPr>
          <w:color w:val="222222"/>
          <w:highlight w:val="white"/>
        </w:rPr>
      </w:pPr>
      <w:hyperlink r:id="rId13">
        <w:r w:rsidDel="00000000" w:rsidR="00000000" w:rsidRPr="00000000">
          <w:rPr>
            <w:b w:val="1"/>
            <w:color w:val="0000ee"/>
            <w:highlight w:val="white"/>
            <w:u w:val="single"/>
            <w:rtl w:val="0"/>
          </w:rPr>
          <w:t xml:space="preserve">Practical considerations for specifying a super learner.pdf</w:t>
        </w:r>
      </w:hyperlink>
      <w:r w:rsidDel="00000000" w:rsidR="00000000" w:rsidRPr="00000000">
        <w:rPr>
          <w:b w:val="1"/>
          <w:color w:val="222222"/>
          <w:highlight w:val="white"/>
          <w:rtl w:val="0"/>
        </w:rPr>
        <w:t xml:space="preserve">.</w:t>
      </w:r>
      <w:r w:rsidDel="00000000" w:rsidR="00000000" w:rsidRPr="00000000">
        <w:rPr>
          <w:color w:val="222222"/>
          <w:highlight w:val="white"/>
          <w:rtl w:val="0"/>
        </w:rPr>
        <w:t xml:space="preserve"> </w:t>
      </w:r>
    </w:p>
    <w:p w:rsidR="00000000" w:rsidDel="00000000" w:rsidP="00000000" w:rsidRDefault="00000000" w:rsidRPr="00000000" w14:paraId="00000025">
      <w:pPr>
        <w:rPr>
          <w:color w:val="222222"/>
          <w:sz w:val="20"/>
          <w:szCs w:val="20"/>
          <w:highlight w:val="white"/>
        </w:rPr>
      </w:pPr>
      <w:r w:rsidDel="00000000" w:rsidR="00000000" w:rsidRPr="00000000">
        <w:rPr>
          <w:color w:val="222222"/>
          <w:sz w:val="20"/>
          <w:szCs w:val="20"/>
          <w:highlight w:val="white"/>
          <w:rtl w:val="0"/>
        </w:rPr>
        <w:t xml:space="preserve">International Journal of Epidemiology. 2023 Aug 1;52(4):1276-85.</w:t>
      </w:r>
    </w:p>
    <w:p w:rsidR="00000000" w:rsidDel="00000000" w:rsidP="00000000" w:rsidRDefault="00000000" w:rsidRPr="00000000" w14:paraId="00000026">
      <w:pPr>
        <w:numPr>
          <w:ilvl w:val="0"/>
          <w:numId w:val="3"/>
        </w:numPr>
        <w:spacing w:after="0" w:before="0" w:lineRule="auto"/>
        <w:ind w:left="720" w:hanging="360"/>
        <w:rPr>
          <w:color w:val="222222"/>
          <w:sz w:val="20"/>
          <w:szCs w:val="20"/>
          <w:highlight w:val="white"/>
          <w:u w:val="none"/>
        </w:rPr>
      </w:pPr>
      <w:r w:rsidDel="00000000" w:rsidR="00000000" w:rsidRPr="00000000">
        <w:rPr>
          <w:color w:val="0000ff"/>
          <w:sz w:val="20"/>
          <w:szCs w:val="20"/>
          <w:highlight w:val="white"/>
          <w:rtl w:val="0"/>
        </w:rPr>
        <w:t xml:space="preserve">Step-by-step guidelines for specifying a SL</w:t>
      </w:r>
      <w:r w:rsidDel="00000000" w:rsidR="00000000" w:rsidRPr="00000000">
        <w:rPr>
          <w:color w:val="222222"/>
          <w:sz w:val="20"/>
          <w:szCs w:val="20"/>
          <w:highlight w:val="white"/>
          <w:rtl w:val="0"/>
        </w:rPr>
        <w:t xml:space="preserve">, walking the reader through each of them and providing intuition along the way. In doing so, we aim to empower the analyst to </w:t>
      </w:r>
      <w:r w:rsidDel="00000000" w:rsidR="00000000" w:rsidRPr="00000000">
        <w:rPr>
          <w:color w:val="0000ff"/>
          <w:sz w:val="20"/>
          <w:szCs w:val="20"/>
          <w:highlight w:val="white"/>
          <w:rtl w:val="0"/>
        </w:rPr>
        <w:t xml:space="preserve">tailor the SL specification to their prediction task</w:t>
      </w:r>
      <w:r w:rsidDel="00000000" w:rsidR="00000000" w:rsidRPr="00000000">
        <w:rPr>
          <w:color w:val="222222"/>
          <w:sz w:val="20"/>
          <w:szCs w:val="20"/>
          <w:highlight w:val="white"/>
          <w:rtl w:val="0"/>
        </w:rPr>
        <w:t xml:space="preserve">, thereby ensuring their SL performs as well as possible. </w:t>
      </w:r>
    </w:p>
    <w:p w:rsidR="00000000" w:rsidDel="00000000" w:rsidP="00000000" w:rsidRDefault="00000000" w:rsidRPr="00000000" w14:paraId="00000027">
      <w:pPr>
        <w:numPr>
          <w:ilvl w:val="0"/>
          <w:numId w:val="3"/>
        </w:numPr>
        <w:spacing w:after="0" w:before="0" w:lineRule="auto"/>
        <w:ind w:left="720" w:hanging="360"/>
        <w:rPr>
          <w:color w:val="222222"/>
          <w:sz w:val="20"/>
          <w:szCs w:val="20"/>
          <w:highlight w:val="white"/>
          <w:u w:val="none"/>
        </w:rPr>
      </w:pPr>
      <w:r w:rsidDel="00000000" w:rsidR="00000000" w:rsidRPr="00000000">
        <w:rPr>
          <w:color w:val="222222"/>
          <w:sz w:val="20"/>
          <w:szCs w:val="20"/>
          <w:highlight w:val="white"/>
          <w:rtl w:val="0"/>
        </w:rPr>
        <w:t xml:space="preserve">A </w:t>
      </w:r>
      <w:r w:rsidDel="00000000" w:rsidR="00000000" w:rsidRPr="00000000">
        <w:rPr>
          <w:color w:val="0000ff"/>
          <w:sz w:val="20"/>
          <w:szCs w:val="20"/>
          <w:highlight w:val="white"/>
          <w:rtl w:val="0"/>
        </w:rPr>
        <w:t xml:space="preserve">flowchart</w:t>
      </w:r>
      <w:r w:rsidDel="00000000" w:rsidR="00000000" w:rsidRPr="00000000">
        <w:rPr>
          <w:color w:val="222222"/>
          <w:sz w:val="20"/>
          <w:szCs w:val="20"/>
          <w:highlight w:val="white"/>
          <w:rtl w:val="0"/>
        </w:rPr>
        <w:t xml:space="preserve"> provides a concise, easy-to-follow summary of key suggestions and heuristics, based on our accumulated experience and guided by SL optimality theory.</w:t>
      </w:r>
    </w:p>
    <w:p w:rsidR="00000000" w:rsidDel="00000000" w:rsidP="00000000" w:rsidRDefault="00000000" w:rsidRPr="00000000" w14:paraId="00000028">
      <w:pPr>
        <w:numPr>
          <w:ilvl w:val="0"/>
          <w:numId w:val="3"/>
        </w:numPr>
        <w:spacing w:after="0" w:before="0" w:lineRule="auto"/>
        <w:ind w:left="720" w:hanging="360"/>
        <w:rPr>
          <w:color w:val="222222"/>
          <w:sz w:val="20"/>
          <w:szCs w:val="20"/>
          <w:highlight w:val="white"/>
          <w:u w:val="none"/>
        </w:rPr>
      </w:pPr>
      <w:r w:rsidDel="00000000" w:rsidR="00000000" w:rsidRPr="00000000">
        <w:rPr>
          <w:color w:val="222222"/>
          <w:sz w:val="20"/>
          <w:szCs w:val="20"/>
          <w:highlight w:val="white"/>
          <w:rtl w:val="0"/>
        </w:rPr>
        <w:t xml:space="preserve">In the </w:t>
      </w:r>
      <w:r w:rsidDel="00000000" w:rsidR="00000000" w:rsidRPr="00000000">
        <w:rPr>
          <w:color w:val="0000ff"/>
          <w:sz w:val="20"/>
          <w:szCs w:val="20"/>
          <w:highlight w:val="white"/>
          <w:rtl w:val="0"/>
        </w:rPr>
        <w:t xml:space="preserve">supplement, we provide seven examples of constructing SL libraries</w:t>
      </w:r>
      <w:r w:rsidDel="00000000" w:rsidR="00000000" w:rsidRPr="00000000">
        <w:rPr>
          <w:color w:val="222222"/>
          <w:sz w:val="20"/>
          <w:szCs w:val="20"/>
          <w:highlight w:val="white"/>
          <w:rtl w:val="0"/>
        </w:rPr>
        <w:t xml:space="preserve">, all of which are accompanied by R code and discussion of each library’s strengths and weaknesses. </w:t>
      </w:r>
      <w:hyperlink r:id="rId14">
        <w:r w:rsidDel="00000000" w:rsidR="00000000" w:rsidRPr="00000000">
          <w:rPr>
            <w:color w:val="1155cc"/>
            <w:sz w:val="20"/>
            <w:szCs w:val="20"/>
            <w:highlight w:val="white"/>
            <w:u w:val="single"/>
            <w:rtl w:val="0"/>
          </w:rPr>
          <w:t xml:space="preserve">Practical considerations for specifying a super learner - Supplement.zip</w:t>
        </w:r>
      </w:hyperlink>
      <w:r w:rsidDel="00000000" w:rsidR="00000000" w:rsidRPr="00000000">
        <w:rPr>
          <w:color w:val="222222"/>
          <w:sz w:val="20"/>
          <w:szCs w:val="20"/>
          <w:highlight w:val="white"/>
          <w:rtl w:val="0"/>
        </w:rPr>
        <w:t xml:space="preserve"> </w:t>
      </w:r>
    </w:p>
    <w:p w:rsidR="00000000" w:rsidDel="00000000" w:rsidP="00000000" w:rsidRDefault="00000000" w:rsidRPr="00000000" w14:paraId="00000029">
      <w:pPr>
        <w:rPr>
          <w:color w:val="222222"/>
          <w:sz w:val="20"/>
          <w:szCs w:val="20"/>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R29_Zemo0ykjxoDUPEBZ7-LmgpNikFNP/view?usp=share_link" TargetMode="External"/><Relationship Id="rId10" Type="http://schemas.openxmlformats.org/officeDocument/2006/relationships/hyperlink" Target="https://drive.google.com/file/d/1_UsP4T_QpJiSVXcXsR5ymFlraNfZuEdt/view?usp=sharing" TargetMode="External"/><Relationship Id="rId13" Type="http://schemas.openxmlformats.org/officeDocument/2006/relationships/hyperlink" Target="https://drive.google.com/file/d/1aWHJYwSn8cpkGzSYvBlIgUKoozKUEBiC/view?usp=share_link" TargetMode="External"/><Relationship Id="rId12" Type="http://schemas.openxmlformats.org/officeDocument/2006/relationships/hyperlink" Target="https://drive.google.com/file/d/1MIsZB-aWt01q43xIokOBQ3NkoVlUh5_V/view?usp=shar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V9JFS5C_CzbgHDpdlej1CKbVwcUhveUX/view?usp=share_link" TargetMode="External"/><Relationship Id="rId14" Type="http://schemas.openxmlformats.org/officeDocument/2006/relationships/hyperlink" Target="https://drive.google.com/file/d/1EoH0WGtnjXoks3t3xwYPG8TDwQrs3d06/view?usp=share_link" TargetMode="External"/><Relationship Id="rId5" Type="http://schemas.openxmlformats.org/officeDocument/2006/relationships/styles" Target="styles.xml"/><Relationship Id="rId6" Type="http://schemas.openxmlformats.org/officeDocument/2006/relationships/hyperlink" Target="https://drive.google.com/file/d/1qHWn6Ia83N4ec_YdHojxkKmAbY8zucHE/view?usp=share_link" TargetMode="External"/><Relationship Id="rId7" Type="http://schemas.openxmlformats.org/officeDocument/2006/relationships/hyperlink" Target="https://drive.google.com/file/d/1m0zO2TyxvHQX2aFIYItXaeMr2XLI2vQ0/view?usp=sharing" TargetMode="External"/><Relationship Id="rId8" Type="http://schemas.openxmlformats.org/officeDocument/2006/relationships/hyperlink" Target="https://drive.google.com/file/d/1R4sKmsoKaYTMxjltqfGQq84xQpRyK4Fb/view?usp=shar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