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07.png" ContentType="image/png"/>
  <Override PartName="/word/media/rId22.png" ContentType="image/png"/>
  <Override PartName="/word/media/rId75.png" ContentType="image/png"/>
  <Override PartName="/word/media/rId89.png" ContentType="image/png"/>
  <Override PartName="/word/media/rId72.png" ContentType="image/png"/>
  <Override PartName="/word/media/rId81.png" ContentType="image/png"/>
  <Override PartName="/word/media/rId78.png" ContentType="image/png"/>
  <Override PartName="/word/media/rId29.png" ContentType="image/png"/>
  <Override PartName="/word/media/rId110.png" ContentType="image/png"/>
  <Override PartName="/word/media/rId9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authorization state. It does not implement</w:t>
      </w:r>
      <w:r>
        <w:t xml:space="preserve"> </w:t>
      </w:r>
      <w:r>
        <w:t xml:space="preserve">personnel separation, source-data access controls, protocol</w:t>
      </w:r>
      <w:r>
        <w:t xml:space="preserve"> </w:t>
      </w:r>
      <w:r>
        <w:t xml:space="preserve">adjudication, 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</w:t>
      </w:r>
      <w:r>
        <w:t xml:space="preserve"> 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 outcome missingness handled through</w:t>
            </w:r>
            <w:r>
              <w:t xml:space="preserve"> </w:t>
            </w:r>
            <w:r>
              <w:rPr>
                <w:b/>
                <w:bCs/>
              </w:rPr>
              <w:t xml:space="preserve">complete-case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IPCW</w:t>
            </w:r>
            <w:r>
              <w:t xml:space="preserve"> </w:t>
            </w:r>
            <w:r>
              <w:t xml:space="preserve">sensitivity paths under prespecified</w:t>
            </w:r>
            <w:r>
              <w:t xml:space="preserve"> </w:t>
            </w:r>
            <w:r>
              <w:t xml:space="preserve">missingness assumptions (a complete-case path that is unbiased under</w:t>
            </w:r>
            <w:r>
              <w:t xml:space="preserve"> </w:t>
            </w:r>
            <w:r>
              <w:t xml:space="preserve">MCAR, and an IPCW path that is unbiased under conditional</w:t>
            </w:r>
            <w:r>
              <w:t xml:space="preserve"> </w:t>
            </w:r>
            <w:r>
              <w:t xml:space="preserve">independent censoring given measured covariates and treatment). Within that scope, the package exposes the full</w:t>
            </w:r>
            <w:r>
              <w:t xml:space="preserve"> </w:t>
            </w:r>
            <w:r>
              <w:t xml:space="preserve">estimator spectrum: IPTW with stabilised weights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estimate_ipwrisk()</w:t>
            </w:r>
            <w:r>
              <w:t xml:space="preserve">), parametric g-computation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estimate_gcomprisk()</w:t>
            </w:r>
            <w:r>
              <w:t xml:space="preserve">), augmented IPW (</w:t>
            </w:r>
            <w:r>
              <w:rPr>
                <w:rStyle w:val="VerbatimChar"/>
              </w:rPr>
              <w:t xml:space="preserve">estimate_aipwrisk()</w:t>
            </w:r>
            <w:r>
              <w:t xml:space="preserve">),</w:t>
            </w:r>
            <w:r>
              <w:t xml:space="preserve"> </w:t>
            </w:r>
            <w:r>
              <w:t xml:space="preserve">and TMLE (</w:t>
            </w:r>
            <w:r>
              <w:rPr>
                <w:rStyle w:val="VerbatimChar"/>
              </w:rPr>
              <w:t xml:space="preserve">run_clean_tmle()</w:t>
            </w:r>
            <w:r>
              <w:t xml:space="preserve">, plus the modular</w:t>
            </w:r>
            <w:r>
              <w:t xml:space="preserve"> </w:t>
            </w:r>
            <w:r>
              <w:rPr>
                <w:rStyle w:val="VerbatimChar"/>
              </w:rPr>
              <w:t xml:space="preserve">fit_tmle_*()</w:t>
            </w:r>
            <w:r>
              <w:t xml:space="preserve"> </w:t>
            </w:r>
            <w:r>
              <w:t xml:space="preserve">primitives and the IPCW variant</w:t>
            </w:r>
            <w:r>
              <w:t xml:space="preserve"> </w:t>
            </w:r>
            <w:r>
              <w:rPr>
                <w:rStyle w:val="VerbatimChar"/>
              </w:rPr>
              <w:t xml:space="preserve">run_ipcw_tmle()</w:t>
            </w:r>
            <w:r>
              <w:t xml:space="preserve">). The</w:t>
            </w:r>
            <w:r>
              <w:t xml:space="preserve"> </w:t>
            </w:r>
            <w:r>
              <w:t xml:space="preserve">prespecified primary estimator is TMLE; the other three are</w:t>
            </w:r>
            <w:r>
              <w:t xml:space="preserve"> </w:t>
            </w:r>
            <w:r>
              <w:t xml:space="preserve">reported as concordance checks.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The next</w:t>
      </w:r>
      <w:r>
        <w:t xml:space="preserve"> </w:t>
      </w:r>
      <w:r>
        <w:t xml:space="preserve">section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hyperlink w:anchor="tbl-lay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7"/>
              <w:gridCol w:w="1000"/>
              <w:gridCol w:w="2167"/>
              <w:gridCol w:w="1834"/>
              <w:gridCol w:w="1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casestudy">
                    <w:r>
                      <w:rPr>
                        <w:rStyle w:val="Hyperlink"/>
                      </w:rPr>
                      <w:t xml:space="preserve">Section 9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d">
                    <w:r>
                      <w:rPr>
                        <w:rStyle w:val="Hyperlink"/>
                      </w:rPr>
                      <w:t xml:space="preserve">Section 3.4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framework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q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bridge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</w:t>
      </w:r>
      <w:hyperlink w:anchor="tbl-event-diag">
        <w:r>
          <w:rPr>
            <w:rStyle w:val="Hyperlink"/>
          </w:rPr>
          <w:t xml:space="preserve">Table 3</w:t>
        </w:r>
      </w:hyperlink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</w:t>
      </w:r>
      <w:r>
        <w:t xml:space="preserve"> </w:t>
      </w:r>
      <w:hyperlink w:anchor="sec-estimand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</w:t>
      </w:r>
      <w:r>
        <w:t xml:space="preserve"> </w:t>
      </w:r>
      <w:hyperlink w:anchor="sec-implementation">
        <w:r>
          <w:rPr>
            <w:rStyle w:val="Hyperlink"/>
          </w:rPr>
          <w:t xml:space="preserve">Section 7</w:t>
        </w:r>
      </w:hyperlink>
      <w:r>
        <w:t xml:space="preserve">–</w:t>
      </w:r>
      <w:hyperlink w:anchor="sec-casestudy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hyperlink w:anchor="sec-id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flags under a prespecified latent-U scenario,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9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End w:id="49"/>
    <w:bookmarkStart w:id="56" w:name="sec-dq"/>
    <w:p>
      <w:pPr>
        <w:pStyle w:val="Heading1"/>
      </w:pPr>
      <w:r>
        <w:t xml:space="preserve">5. Data Quality as a Quantifiable Threat</w:t>
      </w:r>
    </w:p>
    <w:bookmarkStart w:id="50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</w:t>
      </w:r>
      <w:r>
        <w:t xml:space="preserve"> </w:t>
      </w:r>
      <w:r>
        <w:t xml:space="preserve">(Austin 2009)</w:t>
      </w:r>
      <w:r>
        <w:t xml:space="preserve"> </w:t>
      </w:r>
      <w:r>
        <w:t xml:space="preserve">assess overlap,</w:t>
      </w:r>
      <w:r>
        <w:t xml:space="preserve"> </w:t>
      </w:r>
      <w:r>
        <w:t xml:space="preserve">balance, and design feasibility, not estimator operating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Negative-control analyses probe residual bias for selected NC</w:t>
      </w:r>
      <w:r>
        <w:t xml:space="preserve"> </w:t>
      </w:r>
      <w:r>
        <w:t xml:space="preserve">outcomes through a different data-generating channel and do not</w:t>
      </w:r>
      <w:r>
        <w:t xml:space="preserve"> </w:t>
      </w:r>
      <w:r>
        <w:t xml:space="preserve">characterise the behaviour of the primary estimator under DQ</w:t>
      </w:r>
      <w:r>
        <w:t xml:space="preserve"> </w:t>
      </w:r>
      <w:r>
        <w:t xml:space="preserve">perturbations.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 assess empirical comparability, overlap, and weight</w:t>
      </w:r>
      <w:r>
        <w:t xml:space="preserve"> </w:t>
      </w:r>
      <w:r>
        <w:t xml:space="preserve">stability, indicating whether the design is feasible under the</w:t>
      </w:r>
      <w:r>
        <w:t xml:space="preserve"> </w:t>
      </w:r>
      <w:r>
        <w:t xml:space="preserve">observed covariate and treatment distributions; they do not</w:t>
      </w:r>
      <w:r>
        <w:t xml:space="preserve"> </w:t>
      </w:r>
      <w:r>
        <w:t xml:space="preserve">estimate the operating characteristics of a candidate estimator.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0"/>
    <w:bookmarkStart w:id="51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1"/>
    <w:bookmarkStart w:id="52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</w:t>
      </w:r>
      <w:r>
        <w:t xml:space="preserve"> </w:t>
      </w:r>
      <w:r>
        <w:t xml:space="preserve">variance-stabilising tuning knob. Trimming or truncating the</w:t>
      </w:r>
      <w:r>
        <w:t xml:space="preserve"> </w:t>
      </w:r>
      <w:r>
        <w:t xml:space="preserve">propensity score alters the effective target population by</w:t>
      </w:r>
      <w:r>
        <w:t xml:space="preserve"> </w:t>
      </w:r>
      <w:r>
        <w:t xml:space="preserve">restricting support to units with adequate overlap, and therefore</w:t>
      </w:r>
      <w:r>
        <w:t xml:space="preserve"> </w:t>
      </w:r>
      <w:r>
        <w:t xml:space="preserve">changes the estimand itself rather than only the variance of the</w:t>
      </w:r>
      <w:r>
        <w:t xml:space="preserve"> </w:t>
      </w:r>
      <w:r>
        <w:t xml:space="preserve">estimator</w:t>
      </w:r>
      <w:r>
        <w:t xml:space="preserve"> </w:t>
      </w:r>
      <w:r>
        <w:t xml:space="preserve">(Lash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 rather than chosen</w:t>
      </w:r>
      <w:r>
        <w:t xml:space="preserve"> </w:t>
      </w:r>
      <w:r>
        <w:t xml:space="preserve">post-hoc on the realised data.</w:t>
      </w:r>
    </w:p>
    <w:bookmarkEnd w:id="52"/>
    <w:bookmarkStart w:id="54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</w:t>
      </w:r>
      <w:r>
        <w:t xml:space="preserve"> </w:t>
      </w:r>
      <w:hyperlink w:anchor="tbl-threat-matrix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</w:t>
            </w:r>
            <w:r>
              <w:t xml:space="preserve"> </w:t>
            </w:r>
            <w:hyperlink w:anchor="sec-calibration">
              <w:r>
                <w:rPr>
                  <w:rStyle w:val="Hyperlink"/>
                </w:rPr>
                <w:t xml:space="preserve">Section 5.5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4"/>
    <w:bookmarkStart w:id="55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,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 and</w:t>
      </w:r>
      <w:r>
        <w:t xml:space="preserve"> </w:t>
      </w:r>
      <w:r>
        <w:t xml:space="preserve">in the limitations paragraph in the Discussion (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55"/>
    <w:bookmarkEnd w:id="56"/>
    <w:bookmarkStart w:id="61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7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7"/>
    <w:bookmarkStart w:id="58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8"/>
    <w:bookmarkStart w:id="59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9"/>
    <w:bookmarkStart w:id="60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observed</w:t>
      </w:r>
      <w:r>
        <w:t xml:space="preserve"> </w:t>
      </w:r>
      <w:r>
        <w:t xml:space="preserve">primary treatment-outcome association is not read; depending on</w:t>
      </w:r>
      <w:r>
        <w:t xml:space="preserve"> </w:t>
      </w:r>
      <w:r>
        <w:t xml:space="preserve">the configured mode, the plasmode generator may use marginal</w:t>
      </w:r>
      <w:r>
        <w:t xml:space="preserve"> </w:t>
      </w:r>
      <w:r>
        <w:t xml:space="preserve">outcome information (the covariate-only mean model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)</w:t>
      </w:r>
      <w:r>
        <w:t xml:space="preserve"> </w:t>
      </w:r>
      <w:r>
        <w:t xml:space="preserve">without using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relationship, or it may</w:t>
      </w:r>
      <w:r>
        <w:t xml:space="preserve"> </w:t>
      </w:r>
      <w:r>
        <w:t xml:space="preserve">take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from external pilot data</w:t>
      </w:r>
      <w:r>
        <w:t xml:space="preserve"> </w:t>
      </w:r>
      <w:r>
        <w:t xml:space="preserve">(Dang et al. 2023, 7)</w:t>
      </w:r>
      <w:r>
        <w:t xml:space="preserve">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 the</w:t>
      </w:r>
      <w:r>
        <w:t xml:space="preserve"> </w:t>
      </w:r>
      <w:r>
        <w:t xml:space="preserve">observed treatment-outcome association in the actual study data.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0"/>
    <w:bookmarkEnd w:id="61"/>
    <w:bookmarkStart w:id="67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2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BodyText"/>
      </w:pPr>
      <w:r>
        <w:t xml:space="preserve">Before Stage 1b, the package’s</w:t>
      </w:r>
      <w:r>
        <w:t xml:space="preserve"> </w:t>
      </w:r>
      <w:r>
        <w:rPr>
          <w:rStyle w:val="VerbatimChar"/>
        </w:rPr>
        <w:t xml:space="preserve">attrition_table()</w:t>
      </w:r>
      <w:r>
        <w:t xml:space="preserve"> </w:t>
      </w:r>
      <w:r>
        <w:t xml:space="preserve">provides a</w:t>
      </w:r>
      <w:r>
        <w:t xml:space="preserve"> </w:t>
      </w:r>
      <w:r>
        <w:t xml:space="preserve">code-level ledger of inclusion and exclusion criteria, producing</w:t>
      </w:r>
      <w:r>
        <w:t xml:space="preserve"> </w:t>
      </w:r>
      <w:r>
        <w:t xml:space="preserve">a CONSORT-style flow from the raw source table to the analytic</w:t>
      </w:r>
      <w:r>
        <w:t xml:space="preserve"> </w:t>
      </w:r>
      <w:r>
        <w:t xml:space="preserve">cohort. Recording attrition this way anchors the locked cohort</w:t>
      </w:r>
      <w:r>
        <w:t xml:space="preserve"> </w:t>
      </w:r>
      <w:r>
        <w:t xml:space="preserve">definition to its data-driven realisation and gives the Stage 1b</w:t>
      </w:r>
      <w:r>
        <w:t xml:space="preserve"> </w:t>
      </w:r>
      <w:r>
        <w:t xml:space="preserve">cohort-adequacy checkpoint a reproducible source.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 plasmode candidate selection + Stage 2c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2"/>
    <w:bookmarkStart w:id="63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3"/>
    <w:bookmarkStart w:id="64" w:name="cumulative-risk-workflow-considerations"/>
    <w:p>
      <w:pPr>
        <w:pStyle w:val="Heading2"/>
      </w:pPr>
      <w:r>
        <w:t xml:space="preserve">7.3 Cumulative-risk workflow considerations</w:t>
      </w:r>
    </w:p>
    <w:p>
      <w:pPr>
        <w:pStyle w:val="FirstParagraph"/>
      </w:pPr>
      <w:r>
        <w:t xml:space="preserve">cleanTMLE provides software support for several analytic considerations</w:t>
      </w:r>
      <w:r>
        <w:t xml:space="preserve"> </w:t>
      </w:r>
      <w:r>
        <w:t xml:space="preserve">that arise in cumulative-risk pharmacoepidemiology workflows.</w:t>
      </w:r>
    </w:p>
    <w:p>
      <w:pPr>
        <w:pStyle w:val="BodyText"/>
      </w:pPr>
      <w:r>
        <w:rPr>
          <w:i/>
          <w:iCs/>
        </w:rPr>
        <w:t xml:space="preserve">Model specification grammar.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identify_*()</w:t>
      </w:r>
      <w:r>
        <w:t xml:space="preserve"> </w:t>
      </w:r>
      <w:r>
        <w:t xml:space="preserve">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identify_treatment()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identify_outcome()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identify_censoring()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identify_competing_risk()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identify_subject()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identify_interval()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identify_missing()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specify_models()</w:t>
      </w:r>
      <w:r>
        <w:t xml:space="preserve"> </w:t>
      </w:r>
      <w:r>
        <w:t xml:space="preserve">constructor allow</w:t>
      </w:r>
      <w:r>
        <w:t xml:space="preserve"> </w:t>
      </w:r>
      <w:r>
        <w:t xml:space="preserve">analysts to declare eligibility, treatment, outcome, censoring,</w:t>
      </w:r>
      <w:r>
        <w:t xml:space="preserve"> </w:t>
      </w:r>
      <w:r>
        <w:t xml:space="preserve">competing-risk, follow-up-interval, and intercurrent-event components</w:t>
      </w:r>
      <w:r>
        <w:t xml:space="preserve"> </w:t>
      </w:r>
      <w:r>
        <w:t xml:space="preserve">as code objects rather than prose. This lets the analysis lock</w:t>
      </w:r>
      <w:r>
        <w:t xml:space="preserve"> </w:t>
      </w:r>
      <w:r>
        <w:t xml:space="preserve">fingerprint the cohort definition together with the estimator.</w:t>
      </w:r>
    </w:p>
    <w:p>
      <w:pPr>
        <w:pStyle w:val="BodyText"/>
      </w:pPr>
      <w:r>
        <w:rPr>
          <w:i/>
          <w:iCs/>
        </w:rPr>
        <w:t xml:space="preserve">Cumulative-risk reporting.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compact table of cumulative risks at clinically meaningful follow-up</w:t>
      </w:r>
      <w:r>
        <w:t xml:space="preserve"> </w:t>
      </w:r>
      <w:r>
        <w:t xml:space="preserve">times, paired with risk-difference and risk-ratio summaries; the</w:t>
      </w:r>
      <w:r>
        <w:t xml:space="preserve"> </w:t>
      </w:r>
      <w:r>
        <w:rPr>
          <w:rStyle w:val="VerbatimChar"/>
        </w:rPr>
        <w:t xml:space="preserve">plot.cumrisk()</w:t>
      </w:r>
      <w:r>
        <w:t xml:space="preserve"> </w:t>
      </w:r>
      <w:r>
        <w:t xml:space="preserve">method renders the same content visually. The</w:t>
      </w:r>
      <w:r>
        <w:t xml:space="preserve"> </w:t>
      </w:r>
      <w:r>
        <w:t xml:space="preserve">package emphasises absolute risks at prespecified times rather than</w:t>
      </w:r>
      <w:r>
        <w:t xml:space="preserve"> </w:t>
      </w:r>
      <w:r>
        <w:t xml:space="preserve">ratio-only summaries.</w:t>
      </w:r>
    </w:p>
    <w:p>
      <w:pPr>
        <w:pStyle w:val="BodyText"/>
      </w:pPr>
      <w:r>
        <w:rPr>
          <w:i/>
          <w:iCs/>
        </w:rPr>
        <w:t xml:space="preserve">Censoring and missingness weights as a first-class analytic object.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carries inverse-probability-of-censoring weights</w:t>
      </w:r>
      <w:r>
        <w:t xml:space="preserve"> </w:t>
      </w:r>
      <w:r>
        <w:t xml:space="preserve">through the targeting step, and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exposes</w:t>
      </w:r>
      <w:r>
        <w:t xml:space="preserve"> </w:t>
      </w:r>
      <w:r>
        <w:t xml:space="preserve">effective sample size, weight percentiles, the maximum weight, and</w:t>
      </w:r>
      <w:r>
        <w:t xml:space="preserve"> </w:t>
      </w:r>
      <w:r>
        <w:t xml:space="preserve">prespecified instability thresholds so that weight behaviour is</w:t>
      </w:r>
      <w:r>
        <w:t xml:space="preserve"> </w:t>
      </w:r>
      <w:r>
        <w:t xml:space="preserve">auditable alongside the point estimate rather than buried inside a</w:t>
      </w:r>
      <w:r>
        <w:t xml:space="preserve"> </w:t>
      </w:r>
      <w:r>
        <w:t xml:space="preserve">nuisance fit.</w:t>
      </w:r>
    </w:p>
    <w:p>
      <w:pPr>
        <w:pStyle w:val="BodyText"/>
      </w:pPr>
      <w:r>
        <w:rPr>
          <w:i/>
          <w:iCs/>
        </w:rPr>
        <w:t xml:space="preserve">Event-process classification.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distinguish event of interest,</w:t>
      </w:r>
      <w:r>
        <w:t xml:space="preserve"> </w:t>
      </w:r>
      <w:r>
        <w:t xml:space="preserve">competing event, censoring, treatment discontinuation or switching,</w:t>
      </w:r>
      <w:r>
        <w:t xml:space="preserve"> </w:t>
      </w:r>
      <w:r>
        <w:t xml:space="preserve">transfer-driven exclusions, and administrative end of follow-up,</w:t>
      </w:r>
      <w:r>
        <w:t xml:space="preserve"> </w:t>
      </w:r>
      <w:r>
        <w:t xml:space="preserve">and check component-vs-composite coherence so that follow-up</w:t>
      </w:r>
      <w:r>
        <w:t xml:space="preserve"> </w:t>
      </w:r>
      <w:r>
        <w:t xml:space="preserve">accounting is explicit rather than implicit. These helpers record</w:t>
      </w:r>
      <w:r>
        <w:t xml:space="preserve"> </w:t>
      </w:r>
      <w:r>
        <w:t xml:space="preserve">and check event-process structure; v0.1 does not yet estimate</w:t>
      </w:r>
      <w:r>
        <w:t xml:space="preserve"> </w:t>
      </w:r>
      <w:r>
        <w:t xml:space="preserve">native competing-risk cumulative-incidence estimands.</w:t>
      </w:r>
    </w:p>
    <w:p>
      <w:pPr>
        <w:pStyle w:val="BodyText"/>
      </w:pPr>
      <w:r>
        <w:rPr>
          <w:i/>
          <w:iCs/>
        </w:rPr>
        <w:t xml:space="preserve">Hazard-ratio de-emphasis.</w:t>
      </w:r>
      <w:r>
        <w:t xml:space="preserve"> </w:t>
      </w:r>
      <w:r>
        <w:t xml:space="preserve">Cumulative risks, risk differences,</w:t>
      </w:r>
      <w:r>
        <w:t xml:space="preserve"> </w:t>
      </w:r>
      <w:r>
        <w:t xml:space="preserve">and risk ratios at clinically meaningful time points are more</w:t>
      </w:r>
      <w:r>
        <w:t xml:space="preserve"> </w:t>
      </w:r>
      <w:r>
        <w:t xml:space="preserve">directly aligned with counterfactual estimands in many RWE</w:t>
      </w:r>
      <w:r>
        <w:t xml:space="preserve"> </w:t>
      </w:r>
      <w:r>
        <w:t xml:space="preserve">settings. Hazard ratios are treated as secondary unless the</w:t>
      </w:r>
      <w:r>
        <w:t xml:space="preserve"> </w:t>
      </w:r>
      <w:r>
        <w:t xml:space="preserve">estimand is explicitly defined on the hazard scale and a</w:t>
      </w:r>
      <w:r>
        <w:t xml:space="preserve"> </w:t>
      </w:r>
      <w:r>
        <w:t xml:space="preserve">proportional-hazards interpretation is scientifically justified.</w:t>
      </w:r>
    </w:p>
    <w:bookmarkEnd w:id="64"/>
    <w:bookmarkStart w:id="65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IPTW weights are</w:t>
      </w:r>
      <w:r>
        <w:t xml:space="preserve"> </w:t>
      </w:r>
      <w:r>
        <w:t xml:space="preserve">stabilised by default in cleanTMLE; effective sample size is</w:t>
      </w:r>
      <w:r>
        <w:t xml:space="preserve"> </w:t>
      </w:r>
      <w:r>
        <w:t xml:space="preserve">reported using the Kish formula on the stabilised weights so that</w:t>
      </w:r>
      <w:r>
        <w:t xml:space="preserve"> </w:t>
      </w:r>
      <w:r>
        <w:t xml:space="preserve">ESS is comparable across truncation candidates and across the</w:t>
      </w:r>
      <w:r>
        <w:t xml:space="preserve"> </w:t>
      </w:r>
      <w:r>
        <w:t xml:space="preserve">treatment- and censoring-weight passes. Extreme observations are</w:t>
      </w:r>
      <w:r>
        <w:t xml:space="preserve"> </w:t>
      </w:r>
      <w:r>
        <w:t xml:space="preserve">listed via</w:t>
      </w:r>
      <w:r>
        <w:t xml:space="preserve"> </w:t>
      </w:r>
      <w:r>
        <w:rPr>
          <w:rStyle w:val="VerbatimChar"/>
        </w:rPr>
        <w:t xml:space="preserve">extreme_weights()</w:t>
      </w:r>
      <w:r>
        <w:t xml:space="preserve"> </w:t>
      </w:r>
      <w:r>
        <w:t xml:space="preserve">so the top-percentile units are</w:t>
      </w:r>
      <w:r>
        <w:t xml:space="preserve"> </w:t>
      </w:r>
      <w:r>
        <w:t xml:space="preserve">visible alongside the summary distribution.</w:t>
      </w:r>
    </w:p>
    <w:p>
      <w:pPr>
        <w:pStyle w:val="BodyText"/>
      </w:pPr>
      <w:r>
        <w:t xml:space="preserve">For covariate balance, the recommended display is a three-way</w:t>
      </w:r>
      <w:r>
        <w:t xml:space="preserve"> </w:t>
      </w:r>
      <w:r>
        <w:t xml:space="preserve">Love plot showing absolute standardised mean differences in the</w:t>
      </w:r>
      <w:r>
        <w:t xml:space="preserve"> </w:t>
      </w:r>
      <w:r>
        <w:t xml:space="preserve">unweighted cohort, after matching, and after stabilised IPTW</w:t>
      </w:r>
      <w:r>
        <w:t xml:space="preserve"> </w:t>
      </w:r>
      <w:r>
        <w:t xml:space="preserve">(</w:t>
      </w:r>
      <w:r>
        <w:rPr>
          <w:rStyle w:val="VerbatimChar"/>
        </w:rPr>
        <w:t xml:space="preserve">love_plot_threeway()</w:t>
      </w:r>
      <w:r>
        <w:t xml:space="preserve"> </w:t>
      </w:r>
      <w:r>
        <w:t xml:space="preserve">consumes a lock and the matched / IPTW</w:t>
      </w:r>
      <w:r>
        <w:t xml:space="preserve"> </w:t>
      </w:r>
      <w:r>
        <w:t xml:space="preserve">weights). Plotting the three on a single axis makes it visible</w:t>
      </w:r>
      <w:r>
        <w:t xml:space="preserve"> </w:t>
      </w:r>
      <w:r>
        <w:t xml:space="preserve">which covariates remain imbalanced under which weighting strategy</w:t>
      </w:r>
      <w:r>
        <w:t xml:space="preserve"> </w:t>
      </w:r>
      <w:r>
        <w:t xml:space="preserve">and supports the estimator-vs-estimand distinction recorded in the</w:t>
      </w:r>
      <w:r>
        <w:t xml:space="preserve"> </w:t>
      </w:r>
      <w:r>
        <w:t xml:space="preserve">candidate lock.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5"/>
    <w:bookmarkStart w:id="66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Cumulative risks, risk differences, and risk ratios at clinically</w:t>
      </w:r>
      <w:r>
        <w:t xml:space="preserve"> </w:t>
      </w:r>
      <w:r>
        <w:t xml:space="preserve">meaningful time points are more directly aligned with counterfactual</w:t>
      </w:r>
      <w:r>
        <w:t xml:space="preserve"> </w:t>
      </w:r>
      <w:r>
        <w:t xml:space="preserve">estimands in many RWE settings: each corresponds to a contrast of</w:t>
      </w:r>
      <w:r>
        <w:t xml:space="preserve"> </w:t>
      </w:r>
      <w:r>
        <w:t xml:space="preserve">counterfactual risks at a clinically interpretable horizon, with</w:t>
      </w:r>
      <w:r>
        <w:t xml:space="preserve"> </w:t>
      </w:r>
      <w:r>
        <w:t xml:space="preserve">no implicit averaging across a follow-up window during which the</w:t>
      </w:r>
      <w:r>
        <w:t xml:space="preserve"> </w:t>
      </w:r>
      <w:r>
        <w:t xml:space="preserve">hazard ratio may not be constant. Hazard ratios should be treated</w:t>
      </w:r>
      <w:r>
        <w:t xml:space="preserve"> </w:t>
      </w:r>
      <w:r>
        <w:t xml:space="preserve">as secondary unless the estimand is explicitly defined on the</w:t>
      </w:r>
      <w:r>
        <w:t xml:space="preserve"> </w:t>
      </w:r>
      <w:r>
        <w:t xml:space="preserve">hazard scale and a proportional-hazards interpretation is</w:t>
      </w:r>
      <w:r>
        <w:t xml:space="preserve"> </w:t>
      </w:r>
      <w:r>
        <w:t xml:space="preserve">scientifically justified for the question at hand. cleanTMLE</w:t>
      </w:r>
      <w:r>
        <w:t xml:space="preserve"> </w:t>
      </w:r>
      <w:r>
        <w:t xml:space="preserve">reflects this ordering: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single structured table of cumulative risks, contrasts, and event</w:t>
      </w:r>
      <w:r>
        <w:t xml:space="preserve"> </w:t>
      </w:r>
      <w:r>
        <w:t xml:space="preserve">counts at the prespecified follow-up time, and hazard-ratio</w:t>
      </w:r>
      <w:r>
        <w:t xml:space="preserve"> </w:t>
      </w:r>
      <w:r>
        <w:t xml:space="preserve">helpers are provided only as secondary analyses with an explicit</w:t>
      </w:r>
      <w:r>
        <w:t xml:space="preserve"> </w:t>
      </w:r>
      <w:r>
        <w:t xml:space="preserve">hazard-scale estimand declaration.</w:t>
      </w:r>
    </w:p>
    <w:bookmarkEnd w:id="66"/>
    <w:bookmarkEnd w:id="67"/>
    <w:bookmarkStart w:id="95" w:name="sec-simulation"/>
    <w:p>
      <w:pPr>
        <w:pStyle w:val="Heading1"/>
      </w:pPr>
      <w:r>
        <w:t xml:space="preserve">8. Simulation Study</w:t>
      </w:r>
    </w:p>
    <w:bookmarkStart w:id="68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8"/>
    <w:bookmarkStart w:id="85" w:name="monte-carlo-results"/>
    <w:p>
      <w:pPr>
        <w:pStyle w:val="Heading2"/>
      </w:pPr>
      <w:r>
        <w:t xml:space="preserve">8.2 Monte Carlo results</w:t>
      </w:r>
    </w:p>
    <w:bookmarkStart w:id="69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0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84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1992)</w:t>
      </w:r>
      <w:r>
        <w:t xml:space="preserve">.</w:t>
      </w:r>
      <w:r>
        <w:t xml:space="preserve"> </w:t>
      </w:r>
      <w:r>
        <w:t xml:space="preserve">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6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9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" title="" id="82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fores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</w:t>
      </w:r>
    </w:p>
    <w:bookmarkEnd w:id="84"/>
    <w:bookmarkEnd w:id="85"/>
    <w:bookmarkStart w:id="93" w:name="plasmode-dq-stress-test-results"/>
    <w:p>
      <w:pPr>
        <w:pStyle w:val="Heading2"/>
      </w:pPr>
      <w:r>
        <w:t xml:space="preserve">8.3 Plasmode DQ stress-test results</w:t>
      </w:r>
    </w:p>
    <w:bookmarkStart w:id="86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6"/>
    <w:bookmarkStart w:id="87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7"/>
    <w:bookmarkStart w:id="88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8"/>
    <w:bookmarkStart w:id="92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hyperlink w:anchor="sec-limitations">
        <w:r>
          <w:rPr>
            <w:rStyle w:val="Hyperlink"/>
          </w:rPr>
          <w:t xml:space="preserve">Section 10.6</w:t>
        </w:r>
      </w:hyperlink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90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92"/>
    <w:bookmarkEnd w:id="93"/>
    <w:bookmarkStart w:id="94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0.01044</w:t>
            </w:r>
          </w:p>
        </w:tc>
      </w:tr>
    </w:tbl>
    <w:bookmarkEnd w:id="94"/>
    <w:bookmarkEnd w:id="95"/>
    <w:bookmarkStart w:id="119" w:name="sec-casestudy"/>
    <w:p>
      <w:pPr>
        <w:pStyle w:val="Heading1"/>
      </w:pPr>
      <w:r>
        <w:t xml:space="preserve">9. Case Study: Rescue.Co Kenya Trauma Registry</w:t>
      </w:r>
    </w:p>
    <w:bookmarkStart w:id="96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</w:t>
      </w:r>
      <w:r>
        <w:t xml:space="preserve"> </w:t>
      </w:r>
      <w:hyperlink w:anchor="sec-casestudy-dq">
        <w:r>
          <w:rPr>
            <w:rStyle w:val="Hyperlink"/>
          </w:rPr>
          <w:t xml:space="preserve">Section 9.4</w:t>
        </w:r>
      </w:hyperlink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6"/>
    <w:bookmarkStart w:id="97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7"/>
    <w:bookmarkStart w:id="103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Start w:id="101" w:name="cohort-flow"/>
    <w:p>
      <w:pPr>
        <w:pStyle w:val="Heading3"/>
      </w:pPr>
      <w:r>
        <w:t xml:space="preserve">9.3.1 Cohort 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519855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3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8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Cohort attrition for the Rescue.Co Kenya Trauma Registry case study. Counts shown at each prespecified inclusion/exclusion criterion. Inter-facility transfers are excluded from the analytic cohort; complete-outcome rows are used for the unweighted estimators and for the IPCW-weighted complete-case TMLE.</w:t>
      </w:r>
      <w:r>
        <w:t xml:space="preserve"> </w:t>
      </w:r>
    </w:p>
    <w:bookmarkEnd w:id="101"/>
    <w:bookmarkStart w:id="102" w:name="analytic-setup-at-a-glance"/>
    <w:p>
      <w:pPr>
        <w:pStyle w:val="Heading3"/>
      </w:pPr>
      <w:r>
        <w:t xml:space="preserve">9.3.2 Analytic setup at a glance</w:t>
      </w:r>
    </w:p>
    <w:p>
      <w:pPr>
        <w:pStyle w:val="FirstParagraph"/>
      </w:pPr>
      <w:r>
        <w:t xml:space="preserve">Four compact setup tables make the case-study specification fully</w:t>
      </w:r>
      <w:r>
        <w:t xml:space="preserve"> </w:t>
      </w:r>
      <w:r>
        <w:t xml:space="preserve">visible in one place: the event process, the target populations</w:t>
      </w:r>
      <w:r>
        <w:t xml:space="preserve"> </w:t>
      </w:r>
      <w:r>
        <w:t xml:space="preserve">that each candidate procedure addresses, the weight-diagnostic</w:t>
      </w:r>
      <w:r>
        <w:t xml:space="preserve"> </w:t>
      </w:r>
      <w:r>
        <w:t xml:space="preserve">thresholds, and the candidate estimator-estimand pairs.</w:t>
      </w:r>
    </w:p>
    <w:p>
      <w:pPr>
        <w:pStyle w:val="BodyText"/>
      </w:pPr>
      <w:r>
        <w:rPr>
          <w:b/>
          <w:bCs/>
        </w:rPr>
        <w:t xml:space="preserve">Event-process table.</w:t>
      </w:r>
      <w:r>
        <w:t xml:space="preserve"> </w:t>
      </w:r>
      <w:r>
        <w:t xml:space="preserve">This table classifies every event-like</w:t>
      </w:r>
      <w:r>
        <w:t xml:space="preserve"> </w:t>
      </w:r>
      <w:r>
        <w:t xml:space="preserve">quantity in the cohort as outcome, censoring, missingness,</w:t>
      </w:r>
      <w:r>
        <w:t xml:space="preserve"> </w:t>
      </w:r>
      <w:r>
        <w:t xml:space="preserve">intercurrent event, exclusion, or administrative end of follow-up: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3"/>
        <w:gridCol w:w="2049"/>
        <w:gridCol w:w="3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Event-like quantity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&gt; 4 at 6 months</w:t>
            </w:r>
          </w:p>
        </w:tc>
        <w:tc>
          <w:tcPr/>
          <w:p>
            <w:pPr>
              <w:pStyle w:val="Compact"/>
            </w:pPr>
            <w:r>
              <w:t xml:space="preserve">Event of interest (outcome)</w:t>
            </w:r>
          </w:p>
        </w:tc>
        <w:tc>
          <w:tcPr/>
          <w:p>
            <w:pPr>
              <w:pStyle w:val="Compact"/>
            </w:pPr>
            <w:r>
              <w:t xml:space="preserve">Estimand: marginal RD on this binary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missing at 6 months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Primary: complete-outcome analysis; IPCW sensitivity under a conditional missingness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In-hospital death before 6-month GOSE</w:t>
            </w:r>
          </w:p>
        </w:tc>
        <w:tc>
          <w:tcPr/>
          <w:p>
            <w:pPr>
              <w:pStyle w:val="Compact"/>
            </w:pPr>
            <w:r>
              <w:t xml:space="preserve">Outcome component / intercurrent event</w:t>
            </w:r>
          </w:p>
        </w:tc>
        <w:tc>
          <w:tcPr/>
          <w:p>
            <w:pPr>
              <w:pStyle w:val="Compact"/>
            </w:pPr>
            <w:r>
              <w:t xml:space="preserve">Coded as GOSE = 1 under a composite or worst-rank strategy;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Inter-facility transfer at index event</w:t>
            </w:r>
          </w:p>
        </w:tc>
        <w:tc>
          <w:tcPr/>
          <w:p>
            <w:pPr>
              <w:pStyle w:val="Compact"/>
            </w:pPr>
            <w:r>
              <w:t xml:space="preserve">Exclusion</w:t>
            </w:r>
          </w:p>
        </w:tc>
        <w:tc>
          <w:tcPr/>
          <w:p>
            <w:pPr>
              <w:pStyle w:val="Compact"/>
            </w:pPr>
            <w:r>
              <w:t xml:space="preserve">Excluded from analytic cohort at Stage 1b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crossover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Point exposure at scene; no time-varying 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6-month follow-up window end</w:t>
            </w:r>
          </w:p>
        </w:tc>
        <w:tc>
          <w:tcPr/>
          <w:p>
            <w:pPr>
              <w:pStyle w:val="Compact"/>
            </w:pPr>
            <w:r>
              <w:t xml:space="preserve">Administrative end of FU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Target-population table.</w:t>
      </w:r>
      <w:r>
        <w:t xml:space="preserve"> </w:t>
      </w:r>
      <w:r>
        <w:t xml:space="preserve">Different candidate procedures</w:t>
      </w:r>
      <w:r>
        <w:t xml:space="preserve"> </w:t>
      </w:r>
      <w:r>
        <w:t xml:space="preserve">correspond to different target populations: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2"/>
        <w:gridCol w:w="47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Target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 (complete-case)</w:t>
            </w:r>
          </w:p>
        </w:tc>
        <w:tc>
          <w:tcPr/>
          <w:p>
            <w:pPr>
              <w:pStyle w:val="Compact"/>
            </w:pPr>
            <w:r>
              <w:t xml:space="preserve">Complete-outcome subset (n = 1,277)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Matched overlap subset (n = 615)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 (prespecified primary)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Matched overlap subset (n = 1,230)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</w:pPr>
            <w:r>
              <w:t xml:space="preserve">Complete-outcome rows weighted toward full-cohort marginal contrast</w:t>
            </w:r>
          </w:p>
        </w:tc>
      </w:tr>
    </w:tbl>
    <w:p>
      <w:pPr>
        <w:pStyle w:val="BodyText"/>
      </w:pPr>
      <w:r>
        <w:rPr>
          <w:b/>
          <w:bCs/>
        </w:rPr>
        <w:t xml:space="preserve">Weight-diagnostics table.</w:t>
      </w:r>
      <w:r>
        <w:t xml:space="preserve"> </w:t>
      </w:r>
      <w:r>
        <w:t xml:space="preserve">Treatment weights and missingness</w:t>
      </w:r>
      <w:r>
        <w:t xml:space="preserve"> </w:t>
      </w:r>
      <w:r>
        <w:t xml:space="preserve">weights are evaluated against prespecified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5"/>
        <w:gridCol w:w="1513"/>
        <w:gridCol w:w="1816"/>
        <w:gridCol w:w="28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Prespecified instability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weights (stabilised)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fit_ps_superlearner()</w:t>
            </w:r>
          </w:p>
        </w:tc>
        <w:tc>
          <w:tcPr/>
          <w:p>
            <w:pPr>
              <w:pStyle w:val="Compact"/>
            </w:pPr>
            <w:r>
              <w:t xml:space="preserve">Mean, SD, 99th pct, max, Kish ESS</w:t>
            </w:r>
          </w:p>
        </w:tc>
        <w:tc>
          <w:tcPr/>
          <w:p>
            <w:pPr>
              <w:pStyle w:val="Compact"/>
            </w:pPr>
            <w:r>
              <w:t xml:space="preserve">Max &gt; 10, or &gt; 1 % of weights above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IPCW weights (missingness)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run_ipcw_tmle()</w:t>
            </w:r>
          </w:p>
        </w:tc>
        <w:tc>
          <w:tcPr/>
          <w:p>
            <w:pPr>
              <w:pStyle w:val="Compact"/>
            </w:pPr>
            <w:r>
              <w:t xml:space="preserve">Mean, SD, 99th pct, max</w:t>
            </w:r>
          </w:p>
        </w:tc>
        <w:tc>
          <w:tcPr/>
          <w:p>
            <w:pPr>
              <w:pStyle w:val="Compact"/>
            </w:pPr>
            <w:r>
              <w:t xml:space="preserve">Max &gt;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(for</w:t>
            </w:r>
            <w:r>
              <w:t xml:space="preserve"> </w:t>
            </w:r>
            <w:r>
              <w:rPr>
                <w:rStyle w:val="VerbatimChar"/>
              </w:rPr>
              <w:t xml:space="preserve">Complete-outcome TMLE with IPCW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 of treatment and IPCW weights</w:t>
            </w:r>
          </w:p>
        </w:tc>
        <w:tc>
          <w:tcPr/>
          <w:p>
            <w:pPr>
              <w:pStyle w:val="Compact"/>
            </w:pPr>
            <w:r>
              <w:t xml:space="preserve">Mean, SD, max, ESS</w:t>
            </w:r>
          </w:p>
        </w:tc>
        <w:tc>
          <w:tcPr/>
          <w:p>
            <w:pPr>
              <w:pStyle w:val="Compact"/>
            </w:pPr>
            <w:r>
              <w:t xml:space="preserve">Max &gt; 15, or ESS &lt; 30 % of n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Estimator-estimand table.</w:t>
      </w:r>
      <w:r>
        <w:t xml:space="preserve"> </w:t>
      </w:r>
      <w:r>
        <w:t xml:space="preserve">Each candidate is recorded as a</w:t>
      </w:r>
      <w:r>
        <w:t xml:space="preserve"> </w:t>
      </w:r>
      <w:r>
        <w:t xml:space="preserve">paired estimator-and-estimand object: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119"/>
        <w:gridCol w:w="516"/>
        <w:gridCol w:w="602"/>
        <w:gridCol w:w="3400"/>
        <w:gridCol w:w="10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Nuisance library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Estimand implication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Marginal contrast in complete-outcome subset</w:t>
            </w:r>
          </w:p>
        </w:tc>
        <w:tc>
          <w:tcPr/>
          <w:p>
            <w:pPr>
              <w:pStyle w:val="Compact"/>
            </w:pPr>
            <w:r>
              <w:t xml:space="preserve">Reference comparator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Full-cohort marginal contrast estimated with stabilised, truncated treatment weights; truncation may approximate the practical estimand and should be reported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</w:pPr>
            <w:r>
              <w:t xml:space="preserve">SL ensemble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prespecified locked SL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SL ensemble (matched)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Sensitivity (target 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w/ IPCW</w:t>
            </w:r>
          </w:p>
        </w:tc>
        <w:tc>
          <w:tcPr/>
          <w:p>
            <w:pPr>
              <w:pStyle w:val="Compact"/>
            </w:pPr>
            <w:r>
              <w:t xml:space="preserve">SL ensemble + SL IPCW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IPCW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the locked missingness model</w:t>
            </w:r>
          </w:p>
        </w:tc>
        <w:tc>
          <w:tcPr/>
          <w:p>
            <w:pPr>
              <w:pStyle w:val="Compact"/>
            </w:pPr>
            <w:r>
              <w:t xml:space="preserve">Sensitivity (missingness)</w:t>
            </w:r>
          </w:p>
        </w:tc>
      </w:tr>
    </w:tbl>
    <w:p>
      <w:pPr>
        <w:pStyle w:val="BodyText"/>
      </w:pPr>
      <w:r>
        <w:t xml:space="preserve">These four tables make the analytic considerations explicit before</w:t>
      </w:r>
      <w:r>
        <w:t xml:space="preserve"> </w:t>
      </w:r>
      <w:r>
        <w:t xml:space="preserve">the pre-outcome decision rule is read. They also document the</w:t>
      </w:r>
      <w:r>
        <w:t xml:space="preserve"> </w:t>
      </w:r>
      <w:r>
        <w:t xml:space="preserve">estimand-vs-estimator distinction: candidates that differ by</w:t>
      </w:r>
      <w:r>
        <w:t xml:space="preserve"> </w:t>
      </w:r>
      <w:r>
        <w:t xml:space="preserve">truncation, matching, or IPCW correspond to different effective</w:t>
      </w:r>
      <w:r>
        <w:t xml:space="preserve"> </w:t>
      </w:r>
      <w:r>
        <w:t xml:space="preserve">target populations and are reported as paired objects rather than</w:t>
      </w:r>
      <w:r>
        <w:t xml:space="preserve"> </w:t>
      </w:r>
      <w:r>
        <w:t xml:space="preserve">interchangeable estimators of the same parameter.</w:t>
      </w:r>
    </w:p>
    <w:bookmarkEnd w:id="102"/>
    <w:bookmarkEnd w:id="103"/>
    <w:bookmarkStart w:id="113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" title="" id="105" name="Picture"/>
            <a:graphic>
              <a:graphicData uri="http://schemas.openxmlformats.org/drawingml/2006/picture">
                <pic:pic>
                  <pic:nvPicPr>
                    <pic:cNvPr descr="../rescueCo/results/love_plot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balance. Standardised mean differences across 21 retained baseline covariates before and after PS matching. PS propensity scores stay inside [0.01, 0.99] (range 0.21 to 0.81), and SMDs after matching are within the prespecified 0.10 envelope for the matched-cohort target population.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" title="" id="108" name="Picture"/>
            <a:graphic>
              <a:graphicData uri="http://schemas.openxmlformats.org/drawingml/2006/picture">
                <pic:pic>
                  <pic:nvPicPr>
                    <pic:cNvPr descr="../rescueCo/results/weighted_love_plo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Rescue.Co Stage 2a three-way Love plot: standardised mean differences before any adjustment (unweighted), after PS matching, and after stabilised IPTW. The three-way view documents which covariates remain imbalanced under each weighting strategy and clarifies that the matched-cohort target population is not the same as the full-cohort target population recovered by IPTW or full-cohort TMLE.</w:t>
      </w:r>
    </w:p>
    <w:p>
      <w:pPr>
        <w:pStyle w:val="BodyText"/>
      </w:pPr>
      <w:r>
        <w:t xml:space="preserve">The treatment- and IPCW-weight distributions are reported as</w:t>
      </w:r>
      <w:r>
        <w:t xml:space="preserve"> </w:t>
      </w:r>
      <w:r>
        <w:t xml:space="preserve">diagnostic objects: mean, SD, 99th percentile, maximum, and Kish</w:t>
      </w:r>
      <w:r>
        <w:t xml:space="preserve"> </w:t>
      </w:r>
      <w:r>
        <w:t xml:space="preserve">ESS for each weight type, with the prespecified instability flags</w:t>
      </w:r>
      <w:r>
        <w:t xml:space="preserve"> </w:t>
      </w:r>
      <w:r>
        <w:t xml:space="preserve">in the weight-diagnostics table above. The stabilised treatment</w:t>
      </w:r>
      <w:r>
        <w:t xml:space="preserve"> </w:t>
      </w:r>
      <w:r>
        <w:t xml:space="preserve">weights do not exceed the prespecified maximum (10) and combined</w:t>
      </w:r>
      <w:r>
        <w:t xml:space="preserve"> </w:t>
      </w:r>
      <w:r>
        <w:t xml:space="preserve">treatment-times-IPCW weights remain within the (15, 30 % ESS)</w:t>
      </w:r>
      <w:r>
        <w:t xml:space="preserve"> </w:t>
      </w:r>
      <w:r>
        <w:t xml:space="preserve">envelope for the IPCW row. The Stage 2c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The</w:t>
      </w:r>
      <w:r>
        <w:t xml:space="preserve"> </w:t>
      </w:r>
      <w:r>
        <w:t xml:space="preserve">bundled low-replicate run is retained only as a fast reproducibility</w:t>
      </w:r>
      <w:r>
        <w:t xml:space="preserve"> </w:t>
      </w:r>
      <w:r>
        <w:t xml:space="preserve">example; the case-study DQ results should not be interpreted</w:t>
      </w:r>
      <w:r>
        <w:t xml:space="preserve"> </w:t>
      </w:r>
      <w:r>
        <w:t xml:space="preserve">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 The companion 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 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is provided to confirm the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5334000" cy="12532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Negative-control attrition. Five negative-control endpoints were prespecified in the SAP. Three were dropped at the data-sanitisation step because they failed near-zero-variance (NZV) filtering on the locked cohort. The two surviving NCs (chronic_hypertension, household_urban) carried enough variation to fit a stable PS-adjusted model and both passed. The residual-confounding probe therefore rests on a narrower NC panel than originally specified; the audit log records the drops.</w:t>
      </w:r>
      <w:r>
        <w:t xml:space="preserve"> </w:t>
      </w:r>
    </w:p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were dropped from the NC</w:t>
      </w:r>
      <w:r>
        <w:t xml:space="preserve"> </w:t>
      </w:r>
      <w:r>
        <w:t xml:space="preserve">analysis at the data-sanitisation step because they failed</w:t>
      </w:r>
      <w:r>
        <w:t xml:space="preserve"> </w:t>
      </w:r>
      <w:r>
        <w:t xml:space="preserve">near-zero-variance filtering on the locked cohort; only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carried enough</w:t>
      </w:r>
      <w:r>
        <w:t xml:space="preserve"> </w:t>
      </w:r>
      <w:r>
        <w:t xml:space="preserve">variation to fit a stable 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113"/>
    <w:bookmarkStart w:id="114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The last row is a</w:t>
      </w:r>
      <w:r>
        <w:t xml:space="preserve"> </w:t>
      </w:r>
      <w:r>
        <w:rPr>
          <w:i/>
          <w:iCs/>
        </w:rPr>
        <w:t xml:space="preserve">complete-outcome</w:t>
      </w:r>
      <w:r>
        <w:t xml:space="preserve"> </w:t>
      </w:r>
      <w:r>
        <w:t xml:space="preserve">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the complete-case path with IPCW obsWeights; the function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The last row is a complete-outcome 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 tmle::tmle() Delta-path raised an error on this lock and run_ipcw_tmle() fell back to the complete-case path with IPCW obsWeights; the function records method_used = 'ipcw_weighted_complete_case' in the result object. A full-cohort Delta-path run is on the cleanTMLE 0.2 roadmap once the upstream tmle interface is pinned."/>
      </w:tblPr>
      <w:tblGrid>
        <w:gridCol w:w="2262"/>
        <w:gridCol w:w="4129"/>
        <w:gridCol w:w="282"/>
        <w:gridCol w:w="396"/>
        <w:gridCol w:w="452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rows, weighted toward the full-cohort marginal 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complete-outcome TMLE</w:t>
      </w:r>
      <w:r>
        <w:t xml:space="preserve"> </w:t>
      </w:r>
      <w:r>
        <w:t xml:space="preserve">with IPCW weights, which uses inverse-probability-of-censoring</w:t>
      </w:r>
      <w:r>
        <w:t xml:space="preserve"> </w:t>
      </w:r>
      <w:r>
        <w:t xml:space="preserve">weights to recover the full-cohort marginal contrast under the</w:t>
      </w:r>
      <w:r>
        <w:t xml:space="preserve"> </w:t>
      </w:r>
      <w:r>
        <w:t xml:space="preserve">missingness model, returns RD = 0.033 with a CI that just crosses</w:t>
      </w:r>
      <w:r>
        <w:t xml:space="preserve"> </w:t>
      </w:r>
      <w:r>
        <w:t xml:space="preserve">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114"/>
    <w:bookmarkStart w:id="118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115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.</w:t>
      </w:r>
    </w:p>
    <w:bookmarkEnd w:id="115"/>
    <w:bookmarkStart w:id="116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design validation a reviewer would</w:t>
      </w:r>
      <w:r>
        <w:t xml:space="preserve"> </w:t>
      </w:r>
      <w:r>
        <w:t xml:space="preserve">want. Stage 2c then runs the full DQ stress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run_plasmode_dq_stress()</w:t>
      </w:r>
      <w:r>
        <w:t xml:space="preserve">) over the four threats and produces a</w:t>
      </w:r>
      <w:r>
        <w:t xml:space="preserve"> </w:t>
      </w:r>
      <w:r>
        <w:t xml:space="preserve">structural pass on each scenario. [NOTE: the bundled low-replicate</w:t>
      </w:r>
      <w:r>
        <w:t xml:space="preserve"> </w:t>
      </w:r>
      <w:r>
        <w:t xml:space="preserve">run uses 3 replicates per scenario × severity cell and is retained</w:t>
      </w:r>
      <w:r>
        <w:t xml:space="preserve"> </w:t>
      </w:r>
      <w:r>
        <w:t xml:space="preserve">only as a fast reproducibility example. The case-study DQ</w:t>
      </w:r>
      <w:r>
        <w:t xml:space="preserve"> </w:t>
      </w:r>
      <w:r>
        <w:t xml:space="preserve">results should not be interpreted 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 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to confirm the minimax winner</w:t>
      </w:r>
      <w:r>
        <w:t xml:space="preserve"> </w:t>
      </w:r>
      <w:r>
        <w:t xml:space="preserve">under sufficient replicates.]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116"/>
    <w:bookmarkStart w:id="117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17"/>
    <w:bookmarkEnd w:id="118"/>
    <w:bookmarkEnd w:id="119"/>
    <w:bookmarkStart w:id="133" w:name="sec-discussion"/>
    <w:p>
      <w:pPr>
        <w:pStyle w:val="Heading1"/>
      </w:pPr>
      <w:r>
        <w:t xml:space="preserve">10. Discussion</w:t>
      </w:r>
    </w:p>
    <w:bookmarkStart w:id="120" w:name="what-cleantmle-contributes-operationally"/>
    <w:p>
      <w:pPr>
        <w:pStyle w:val="Heading2"/>
      </w:pPr>
      <w:r>
        <w:t xml:space="preserve">10.1 What cleanTMLE contributes operationally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20"/>
    <w:bookmarkStart w:id="121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21"/>
    <w:bookmarkStart w:id="122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guidance,</w:t>
      </w:r>
      <w:r>
        <w:t xml:space="preserve"> </w:t>
      </w:r>
      <w:r>
        <w:t xml:space="preserve">EMA RWD guidance, and the NICE RWE framework expect</w:t>
      </w:r>
      <w:r>
        <w:t xml:space="preserve"> </w:t>
      </w:r>
      <w:r>
        <w:t xml:space="preserve">(U.S. Food and Drug Administration 2018, 2024a, 2024c; European Medicines Agency 2024; National Institute for Health and Care Excellence 2022)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22"/>
    <w:bookmarkStart w:id="123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23"/>
    <w:bookmarkStart w:id="124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24"/>
    <w:bookmarkStart w:id="125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25"/>
    <w:bookmarkStart w:id="129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26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26"/>
    <w:bookmarkStart w:id="127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27"/>
    <w:bookmarkStart w:id="128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as alternative</w:t>
      </w:r>
      <w:r>
        <w:t xml:space="preserve"> </w:t>
      </w:r>
      <w:r>
        <w:t xml:space="preserve">implementations.</w:t>
      </w:r>
    </w:p>
    <w:bookmarkEnd w:id="128"/>
    <w:bookmarkEnd w:id="129"/>
    <w:bookmarkStart w:id="130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30"/>
    <w:bookmarkStart w:id="131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31"/>
    <w:bookmarkStart w:id="132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32"/>
    <w:bookmarkEnd w:id="133"/>
    <w:bookmarkStart w:id="136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package is available at</w:t>
      </w:r>
      <w:r>
        <w:t xml:space="preserve"> </w:t>
      </w:r>
      <w:hyperlink r:id="rId134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35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36"/>
    <w:bookmarkStart w:id="137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 the broader</w:t>
      </w:r>
      <w:r>
        <w:t xml:space="preserve"> </w:t>
      </w:r>
      <w:r>
        <w:t xml:space="preserve">cumulative-risk pharmacoepidemiology literature whose estimand</w:t>
      </w:r>
      <w:r>
        <w:t xml:space="preserve"> </w:t>
      </w:r>
      <w:r>
        <w:t xml:space="preserve">framing motivated several of our diagnostic helpers. Any errors</w:t>
      </w:r>
      <w:r>
        <w:t xml:space="preserve"> </w:t>
      </w:r>
      <w:r>
        <w:t xml:space="preserve">are ours.</w:t>
      </w:r>
    </w:p>
    <w:bookmarkEnd w:id="137"/>
    <w:bookmarkStart w:id="222" w:name="references"/>
    <w:p>
      <w:pPr>
        <w:pStyle w:val="Heading1"/>
      </w:pPr>
      <w:r>
        <w:t xml:space="preserve">References</w:t>
      </w:r>
    </w:p>
    <w:bookmarkStart w:id="221" w:name="refs"/>
    <w:bookmarkStart w:id="139" w:name="ref-austin2009ps"/>
    <w:p>
      <w:pPr>
        <w:pStyle w:val="Bibliography"/>
      </w:pPr>
      <w:r>
        <w:t xml:space="preserve">Austin, Peter C. 2009.</w:t>
      </w:r>
      <w:r>
        <w:t xml:space="preserve"> </w:t>
      </w:r>
      <w:r>
        <w:t xml:space="preserve">“Balance Diagnostics for Comparing the Distribution of Baseline Covariates Between Treatment Groups in Propensity-Score Matched Samples.”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28 (25): 3083–3107.</w:t>
      </w:r>
      <w:r>
        <w:t xml:space="preserve"> </w:t>
      </w:r>
      <w:hyperlink r:id="rId138">
        <w:r>
          <w:rPr>
            <w:rStyle w:val="Hyperlink"/>
          </w:rPr>
          <w:t xml:space="preserve">https://doi.org/10.1002/sim.3697</w:t>
        </w:r>
      </w:hyperlink>
      <w:r>
        <w:t xml:space="preserve">.</w:t>
      </w:r>
    </w:p>
    <w:bookmarkEnd w:id="139"/>
    <w:bookmarkStart w:id="140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40"/>
    <w:bookmarkStart w:id="142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42"/>
    <w:bookmarkStart w:id="144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43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44"/>
    <w:bookmarkStart w:id="146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45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46"/>
    <w:bookmarkStart w:id="148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47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48"/>
    <w:bookmarkStart w:id="150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49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50"/>
    <w:bookmarkStart w:id="152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51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52"/>
    <w:bookmarkStart w:id="153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53"/>
    <w:bookmarkStart w:id="155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54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55"/>
    <w:bookmarkStart w:id="157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56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57"/>
    <w:bookmarkStart w:id="159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58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59"/>
    <w:bookmarkStart w:id="161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60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61"/>
    <w:bookmarkStart w:id="163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62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63"/>
    <w:bookmarkStart w:id="165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64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65"/>
    <w:bookmarkStart w:id="166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64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66"/>
    <w:bookmarkStart w:id="167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67"/>
    <w:bookmarkStart w:id="168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68"/>
    <w:bookmarkStart w:id="169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69"/>
    <w:bookmarkStart w:id="171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70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71"/>
    <w:bookmarkStart w:id="172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72"/>
    <w:bookmarkStart w:id="174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73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74"/>
    <w:bookmarkStart w:id="176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75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76"/>
    <w:bookmarkStart w:id="178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77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78"/>
    <w:bookmarkStart w:id="180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79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80"/>
    <w:bookmarkStart w:id="182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81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82"/>
    <w:bookmarkStart w:id="184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83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84"/>
    <w:bookmarkStart w:id="186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85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86"/>
    <w:bookmarkStart w:id="188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87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88"/>
    <w:bookmarkStart w:id="190" w:name="ref-nice2022rwe"/>
    <w:p>
      <w:pPr>
        <w:pStyle w:val="Bibliography"/>
      </w:pPr>
      <w:r>
        <w:t xml:space="preserve">National Institute for Health and Care Excellence. 2022.</w:t>
      </w:r>
      <w:r>
        <w:t xml:space="preserve"> </w:t>
      </w:r>
      <w:r>
        <w:t xml:space="preserve">“</w:t>
      </w:r>
      <w:r>
        <w:t xml:space="preserve">NICE</w:t>
      </w:r>
      <w:r>
        <w:t xml:space="preserve"> </w:t>
      </w:r>
      <w:r>
        <w:t xml:space="preserve">Real-World Evidence Framework (ECD9).”</w:t>
      </w:r>
      <w:r>
        <w:t xml:space="preserve"> </w:t>
      </w:r>
      <w:r>
        <w:t xml:space="preserve">NICE corporate document, London.</w:t>
      </w:r>
      <w:r>
        <w:t xml:space="preserve"> </w:t>
      </w:r>
      <w:hyperlink r:id="rId189">
        <w:r>
          <w:rPr>
            <w:rStyle w:val="Hyperlink"/>
          </w:rPr>
          <w:t xml:space="preserve">https://www.nice.org.uk/corporate/ecd9</w:t>
        </w:r>
      </w:hyperlink>
      <w:r>
        <w:t xml:space="preserve">.</w:t>
      </w:r>
    </w:p>
    <w:bookmarkEnd w:id="190"/>
    <w:bookmarkStart w:id="192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91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92"/>
    <w:bookmarkStart w:id="194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93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94"/>
    <w:bookmarkStart w:id="196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9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96"/>
    <w:bookmarkStart w:id="197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97"/>
    <w:bookmarkStart w:id="198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98"/>
    <w:bookmarkStart w:id="199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99"/>
    <w:bookmarkStart w:id="201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200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201"/>
    <w:bookmarkStart w:id="203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202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203"/>
    <w:bookmarkStart w:id="205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204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205"/>
    <w:bookmarkStart w:id="207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206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207"/>
    <w:bookmarkStart w:id="209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208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209"/>
    <w:bookmarkStart w:id="211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210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211"/>
    <w:bookmarkStart w:id="213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12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213"/>
    <w:bookmarkStart w:id="215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214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215"/>
    <w:bookmarkStart w:id="217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216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217"/>
    <w:bookmarkStart w:id="218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218"/>
    <w:bookmarkStart w:id="219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219"/>
    <w:bookmarkStart w:id="220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20"/>
    <w:bookmarkEnd w:id="221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png_0.1-8         </w:t>
      </w:r>
      <w:r>
        <w:br/>
      </w:r>
      <w:r>
        <w:rPr>
          <w:rStyle w:val="VerbatimChar"/>
        </w:rPr>
        <w:t xml:space="preserve">R&gt;   [9] splines_4.4.2      scales_1.4.0       yaml_2.3.10        fastmap_1.2.0     </w:t>
      </w:r>
      <w:r>
        <w:br/>
      </w:r>
      <w:r>
        <w:rPr>
          <w:rStyle w:val="VerbatimChar"/>
        </w:rPr>
        <w:t xml:space="preserve">R&gt;  [13] lattice_0.22-6     R6_2.6.1           labeling_0.4.3     generics_0.1.3    </w:t>
      </w:r>
      <w:r>
        <w:br/>
      </w:r>
      <w:r>
        <w:rPr>
          <w:rStyle w:val="VerbatimChar"/>
        </w:rPr>
        <w:t xml:space="preserve">R&gt;  [17] knitr_1.49         tibble_3.2.1       pillar_1.9.0       RColorBrewer_1.1-3</w:t>
      </w:r>
      <w:r>
        <w:br/>
      </w:r>
      <w:r>
        <w:rPr>
          <w:rStyle w:val="VerbatimChar"/>
        </w:rPr>
        <w:t xml:space="preserve">R&gt;  [21] rlang_1.1.7        utf8_1.2.4         xfun_0.49          S7_0.2.1          </w:t>
      </w:r>
      <w:r>
        <w:br/>
      </w:r>
      <w:r>
        <w:rPr>
          <w:rStyle w:val="VerbatimChar"/>
        </w:rPr>
        <w:t xml:space="preserve">R&gt;  [25] cli_3.6.5          withr_3.0.2        magrittr_2.0.3     digest_0.6.37     </w:t>
      </w:r>
      <w:r>
        <w:br/>
      </w:r>
      <w:r>
        <w:rPr>
          <w:rStyle w:val="VerbatimChar"/>
        </w:rPr>
        <w:t xml:space="preserve">R&gt;  [29] grid_4.4.2         sandwich_3.1-1     lifecycle_1.0.5    vctrs_0.7.1       </w:t>
      </w:r>
      <w:r>
        <w:br/>
      </w:r>
      <w:r>
        <w:rPr>
          <w:rStyle w:val="VerbatimChar"/>
        </w:rPr>
        <w:t xml:space="preserve">R&gt;  [33] evaluate_1.0.5     glue_1.8.0         farver_2.1.2       zoo_1.8-15        </w:t>
      </w:r>
      <w:r>
        <w:br/>
      </w:r>
      <w:r>
        <w:rPr>
          <w:rStyle w:val="VerbatimChar"/>
        </w:rPr>
        <w:t xml:space="preserve">R&gt;  [37] survival_3.7-0     fansi_1.0.6        rmarkdown_2.29     tools_4.4.2       </w:t>
      </w:r>
      <w:r>
        <w:br/>
      </w:r>
      <w:r>
        <w:rPr>
          <w:rStyle w:val="VerbatimChar"/>
        </w:rPr>
        <w:t xml:space="preserve">R&gt;  [41] pkgconfig_2.0.3    htmltools_0.5.8.1</w:t>
      </w:r>
    </w:p>
    <w:bookmarkEnd w:id="2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22" Target="media/rId22.png" /><Relationship Type="http://schemas.openxmlformats.org/officeDocument/2006/relationships/image" Id="rId75" Target="media/rId75.png" /><Relationship Type="http://schemas.openxmlformats.org/officeDocument/2006/relationships/image" Id="rId89" Target="media/rId89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110" Target="media/rId110.png" /><Relationship Type="http://schemas.openxmlformats.org/officeDocument/2006/relationships/image" Id="rId98" Target="media/rId98.png" /><Relationship Type="http://schemas.openxmlformats.org/officeDocument/2006/relationships/image" Id="rId32" Target="media/rId32.png" /><Relationship Type="http://schemas.openxmlformats.org/officeDocument/2006/relationships/hyperlink" Id="rId185" Target="https://doi.org/10.1002/cpt.2399" TargetMode="External" /><Relationship Type="http://schemas.openxmlformats.org/officeDocument/2006/relationships/hyperlink" Id="rId156" Target="https://doi.org/10.1002/cpt.2466" TargetMode="External" /><Relationship Type="http://schemas.openxmlformats.org/officeDocument/2006/relationships/hyperlink" Id="rId158" Target="https://doi.org/10.1002/cpt.2883" TargetMode="External" /><Relationship Type="http://schemas.openxmlformats.org/officeDocument/2006/relationships/hyperlink" Id="rId181" Target="https://doi.org/10.1002/pds.5623" TargetMode="External" /><Relationship Type="http://schemas.openxmlformats.org/officeDocument/2006/relationships/hyperlink" Id="rId216" Target="https://doi.org/10.1002/pds.5642" TargetMode="External" /><Relationship Type="http://schemas.openxmlformats.org/officeDocument/2006/relationships/hyperlink" Id="rId187" Target="https://doi.org/10.1002/pds.5770" TargetMode="External" /><Relationship Type="http://schemas.openxmlformats.org/officeDocument/2006/relationships/hyperlink" Id="rId138" Target="https://doi.org/10.1002/sim.3697" TargetMode="External" /><Relationship Type="http://schemas.openxmlformats.org/officeDocument/2006/relationships/hyperlink" Id="rId175" Target="https://doi.org/10.1007/978-1-4419-9782-1" TargetMode="External" /><Relationship Type="http://schemas.openxmlformats.org/officeDocument/2006/relationships/hyperlink" Id="rId154" Target="https://doi.org/10.1016/j.csda.2013.10.018" TargetMode="External" /><Relationship Type="http://schemas.openxmlformats.org/officeDocument/2006/relationships/hyperlink" Id="rId145" Target="https://doi.org/10.1017/cts.2023.635" TargetMode="External" /><Relationship Type="http://schemas.openxmlformats.org/officeDocument/2006/relationships/hyperlink" Id="rId160" Target="https://doi.org/10.1080/19466315.2022.2116104" TargetMode="External" /><Relationship Type="http://schemas.openxmlformats.org/officeDocument/2006/relationships/hyperlink" Id="rId164" Target="https://doi.org/10.1093/aje/kwv254" TargetMode="External" /><Relationship Type="http://schemas.openxmlformats.org/officeDocument/2006/relationships/hyperlink" Id="rId200" Target="https://doi.org/10.1093/aje/kww165" TargetMode="External" /><Relationship Type="http://schemas.openxmlformats.org/officeDocument/2006/relationships/hyperlink" Id="rId193" Target="https://doi.org/10.1093/ije/dyad023" TargetMode="External" /><Relationship Type="http://schemas.openxmlformats.org/officeDocument/2006/relationships/hyperlink" Id="rId179" Target="https://doi.org/10.1093/ije/dyu149" TargetMode="External" /><Relationship Type="http://schemas.openxmlformats.org/officeDocument/2006/relationships/hyperlink" Id="rId191" Target="https://doi.org/10.1097/EDE.0000000000000078" TargetMode="External" /><Relationship Type="http://schemas.openxmlformats.org/officeDocument/2006/relationships/hyperlink" Id="rId183" Target="https://doi.org/10.1097/EDE.0b013e3181d61eeb" TargetMode="External" /><Relationship Type="http://schemas.openxmlformats.org/officeDocument/2006/relationships/hyperlink" Id="rId143" Target="https://doi.org/10.1111/ectj.12097" TargetMode="External" /><Relationship Type="http://schemas.openxmlformats.org/officeDocument/2006/relationships/hyperlink" Id="rId141" Target="https://doi.org/10.1136/bmj-2024-080483" TargetMode="External" /><Relationship Type="http://schemas.openxmlformats.org/officeDocument/2006/relationships/hyperlink" Id="rId214" Target="https://doi.org/10.1136/bmj.m4856" TargetMode="External" /><Relationship Type="http://schemas.openxmlformats.org/officeDocument/2006/relationships/hyperlink" Id="rId162" Target="https://doi.org/10.1186/s12874-024-02244-z" TargetMode="External" /><Relationship Type="http://schemas.openxmlformats.org/officeDocument/2006/relationships/hyperlink" Id="rId170" Target="https://doi.org/10.13063/2327-9214.1244" TargetMode="External" /><Relationship Type="http://schemas.openxmlformats.org/officeDocument/2006/relationships/hyperlink" Id="rId147" Target="https://doi.org/10.1515/ijb-2013-0004" TargetMode="External" /><Relationship Type="http://schemas.openxmlformats.org/officeDocument/2006/relationships/hyperlink" Id="rId173" Target="https://doi.org/10.2202/1544-6115.1309" TargetMode="External" /><Relationship Type="http://schemas.openxmlformats.org/officeDocument/2006/relationships/hyperlink" Id="rId177" Target="https://doi.org/10.2202/1557-4679.1043" TargetMode="External" /><Relationship Type="http://schemas.openxmlformats.org/officeDocument/2006/relationships/hyperlink" Id="rId212" Target="https://doi.org/10.7326/M16-2607" TargetMode="External" /><Relationship Type="http://schemas.openxmlformats.org/officeDocument/2006/relationships/hyperlink" Id="rId135" Target="https://github.com/amertens/clean-room-sim" TargetMode="External" /><Relationship Type="http://schemas.openxmlformats.org/officeDocument/2006/relationships/hyperlink" Id="rId134" Target="https://github.com/amertens/cleanTMLE" TargetMode="External" /><Relationship Type="http://schemas.openxmlformats.org/officeDocument/2006/relationships/hyperlink" Id="rId195" Target="https://www.R-project.org/" TargetMode="External" /><Relationship Type="http://schemas.openxmlformats.org/officeDocument/2006/relationships/hyperlink" Id="rId151" Target="https://www.ema.europa.eu/en/about-us/how-we-work/big-data/real-world-evidence" TargetMode="External" /><Relationship Type="http://schemas.openxmlformats.org/officeDocument/2006/relationships/hyperlink" Id="rId149" Target="https://www.ema.europa.eu/en/guideline-registry-based-studies-scientific-guideline" TargetMode="External" /><Relationship Type="http://schemas.openxmlformats.org/officeDocument/2006/relationships/hyperlink" Id="rId202" Target="https://www.fda.gov/media/120060/download" TargetMode="External" /><Relationship Type="http://schemas.openxmlformats.org/officeDocument/2006/relationships/hyperlink" Id="rId206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08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04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10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89" Target="https://www.nice.org.uk/corporate/ecd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5" Target="https://doi.org/10.1002/cpt.2399" TargetMode="External" /><Relationship Type="http://schemas.openxmlformats.org/officeDocument/2006/relationships/hyperlink" Id="rId156" Target="https://doi.org/10.1002/cpt.2466" TargetMode="External" /><Relationship Type="http://schemas.openxmlformats.org/officeDocument/2006/relationships/hyperlink" Id="rId158" Target="https://doi.org/10.1002/cpt.2883" TargetMode="External" /><Relationship Type="http://schemas.openxmlformats.org/officeDocument/2006/relationships/hyperlink" Id="rId181" Target="https://doi.org/10.1002/pds.5623" TargetMode="External" /><Relationship Type="http://schemas.openxmlformats.org/officeDocument/2006/relationships/hyperlink" Id="rId216" Target="https://doi.org/10.1002/pds.5642" TargetMode="External" /><Relationship Type="http://schemas.openxmlformats.org/officeDocument/2006/relationships/hyperlink" Id="rId187" Target="https://doi.org/10.1002/pds.5770" TargetMode="External" /><Relationship Type="http://schemas.openxmlformats.org/officeDocument/2006/relationships/hyperlink" Id="rId138" Target="https://doi.org/10.1002/sim.3697" TargetMode="External" /><Relationship Type="http://schemas.openxmlformats.org/officeDocument/2006/relationships/hyperlink" Id="rId175" Target="https://doi.org/10.1007/978-1-4419-9782-1" TargetMode="External" /><Relationship Type="http://schemas.openxmlformats.org/officeDocument/2006/relationships/hyperlink" Id="rId154" Target="https://doi.org/10.1016/j.csda.2013.10.018" TargetMode="External" /><Relationship Type="http://schemas.openxmlformats.org/officeDocument/2006/relationships/hyperlink" Id="rId145" Target="https://doi.org/10.1017/cts.2023.635" TargetMode="External" /><Relationship Type="http://schemas.openxmlformats.org/officeDocument/2006/relationships/hyperlink" Id="rId160" Target="https://doi.org/10.1080/19466315.2022.2116104" TargetMode="External" /><Relationship Type="http://schemas.openxmlformats.org/officeDocument/2006/relationships/hyperlink" Id="rId164" Target="https://doi.org/10.1093/aje/kwv254" TargetMode="External" /><Relationship Type="http://schemas.openxmlformats.org/officeDocument/2006/relationships/hyperlink" Id="rId200" Target="https://doi.org/10.1093/aje/kww165" TargetMode="External" /><Relationship Type="http://schemas.openxmlformats.org/officeDocument/2006/relationships/hyperlink" Id="rId193" Target="https://doi.org/10.1093/ije/dyad023" TargetMode="External" /><Relationship Type="http://schemas.openxmlformats.org/officeDocument/2006/relationships/hyperlink" Id="rId179" Target="https://doi.org/10.1093/ije/dyu149" TargetMode="External" /><Relationship Type="http://schemas.openxmlformats.org/officeDocument/2006/relationships/hyperlink" Id="rId191" Target="https://doi.org/10.1097/EDE.0000000000000078" TargetMode="External" /><Relationship Type="http://schemas.openxmlformats.org/officeDocument/2006/relationships/hyperlink" Id="rId183" Target="https://doi.org/10.1097/EDE.0b013e3181d61eeb" TargetMode="External" /><Relationship Type="http://schemas.openxmlformats.org/officeDocument/2006/relationships/hyperlink" Id="rId143" Target="https://doi.org/10.1111/ectj.12097" TargetMode="External" /><Relationship Type="http://schemas.openxmlformats.org/officeDocument/2006/relationships/hyperlink" Id="rId141" Target="https://doi.org/10.1136/bmj-2024-080483" TargetMode="External" /><Relationship Type="http://schemas.openxmlformats.org/officeDocument/2006/relationships/hyperlink" Id="rId214" Target="https://doi.org/10.1136/bmj.m4856" TargetMode="External" /><Relationship Type="http://schemas.openxmlformats.org/officeDocument/2006/relationships/hyperlink" Id="rId162" Target="https://doi.org/10.1186/s12874-024-02244-z" TargetMode="External" /><Relationship Type="http://schemas.openxmlformats.org/officeDocument/2006/relationships/hyperlink" Id="rId170" Target="https://doi.org/10.13063/2327-9214.1244" TargetMode="External" /><Relationship Type="http://schemas.openxmlformats.org/officeDocument/2006/relationships/hyperlink" Id="rId147" Target="https://doi.org/10.1515/ijb-2013-0004" TargetMode="External" /><Relationship Type="http://schemas.openxmlformats.org/officeDocument/2006/relationships/hyperlink" Id="rId173" Target="https://doi.org/10.2202/1544-6115.1309" TargetMode="External" /><Relationship Type="http://schemas.openxmlformats.org/officeDocument/2006/relationships/hyperlink" Id="rId177" Target="https://doi.org/10.2202/1557-4679.1043" TargetMode="External" /><Relationship Type="http://schemas.openxmlformats.org/officeDocument/2006/relationships/hyperlink" Id="rId212" Target="https://doi.org/10.7326/M16-2607" TargetMode="External" /><Relationship Type="http://schemas.openxmlformats.org/officeDocument/2006/relationships/hyperlink" Id="rId135" Target="https://github.com/amertens/clean-room-sim" TargetMode="External" /><Relationship Type="http://schemas.openxmlformats.org/officeDocument/2006/relationships/hyperlink" Id="rId134" Target="https://github.com/amertens/cleanTMLE" TargetMode="External" /><Relationship Type="http://schemas.openxmlformats.org/officeDocument/2006/relationships/hyperlink" Id="rId195" Target="https://www.R-project.org/" TargetMode="External" /><Relationship Type="http://schemas.openxmlformats.org/officeDocument/2006/relationships/hyperlink" Id="rId151" Target="https://www.ema.europa.eu/en/about-us/how-we-work/big-data/real-world-evidence" TargetMode="External" /><Relationship Type="http://schemas.openxmlformats.org/officeDocument/2006/relationships/hyperlink" Id="rId149" Target="https://www.ema.europa.eu/en/guideline-registry-based-studies-scientific-guideline" TargetMode="External" /><Relationship Type="http://schemas.openxmlformats.org/officeDocument/2006/relationships/hyperlink" Id="rId202" Target="https://www.fda.gov/media/120060/download" TargetMode="External" /><Relationship Type="http://schemas.openxmlformats.org/officeDocument/2006/relationships/hyperlink" Id="rId206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208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204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10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89" Target="https://www.nice.org.uk/corporate/ecd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2026-05-11T15:23:46Z</dcterms:created>
  <dcterms:modified xsi:type="dcterms:W3CDTF">2026-05-11T15:23:46Z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