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84"/>
        <w:gridCol w:w="1872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 (-0.19,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-0.13 (-0.25,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-0.02 (-0.16,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-0.12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0.21 (-0.5,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109.68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110.32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0.64 (-1.07, 2.35)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 (-0.08,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84"/>
        <w:gridCol w:w="2304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Maternal Perceived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0.15 (-0.03,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0.13 (0.03,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0.25 (-0.2, 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110.42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0.78 (-0.27,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Paternal Perceived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0.11 (-0.01,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0.08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0.13 (-0.13,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-0.66 (-1.25,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106.89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 (0.36, 3.05)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21.75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-0.11 (-0.27,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016"/>
        <w:gridCol w:w="2304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0.05 (0.01,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0.09 (0.01,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-1.34 (-2.51, -0.17)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0.09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 (-0.2,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0.47 (0.05,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106.32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1.17 (-1.26, 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1.3 (-0.11, 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0.07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-0.17 (-0.36,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-0.13 (-0.36,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0.16 (-0.26,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110.18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0.18 (-0.81,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Binary CES-D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0.06 (-0.02,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0.11 (-0.01,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-0.19 (-1.19,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0.13 (-0.03,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-0.06 (-0.18,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-0.18 (-0.34,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 (-0.31,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106.93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106.42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-0.51 (-2.46, 1.44)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Binary CES-D at  Year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0.31 (-0.7,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0.11 (-0.03,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0.09 (-0.07,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-0.09 (-0.25,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0.33 (-0.48,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110.33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 (-1.63, 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-4.43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-4.46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-0.03 (-0.13,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2021-04-28T10:17:36Z</dcterms:modified>
  <cp:category/>
</cp:coreProperties>
</file>