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3"/>
        <w:gridCol w:w="1120"/>
        <w:gridCol w:w="260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(-0.19,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 (-0.21,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 (-0.51,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 (-0.5,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1,454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 (-0.73, 2.67)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 (-1.07, 2.35)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(-0.08,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29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-0.53 (-1.18,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(-0.02,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 (-0.03,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(0.04,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(0.03,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 (-0.21, 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 (-0.2, 0.69)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 (0.05, 2.16)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 (-0.27,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(-0.82,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(-0.13,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 (-1.08,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 (-1.25,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1.86 (0.51, 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108.59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 (0.36, 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21.75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(-0.24,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(-0.27,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5"/>
        <w:gridCol w:w="1120"/>
        <w:gridCol w:w="249"/>
        <w:gridCol w:w="427"/>
        <w:gridCol w:w="427"/>
        <w:gridCol w:w="932"/>
        <w:gridCol w:w="825"/>
        <w:gridCol w:w="518"/>
        <w:gridCol w:w="296"/>
        <w:gridCol w:w="576"/>
        <w:gridCol w:w="825"/>
        <w:gridCol w:w="825"/>
        <w:gridCol w:w="518"/>
        <w:gridCol w:w="296"/>
        <w:gridCol w:w="576"/>
      </w:tblGrid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19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19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-1.36 (-2.52, -0.19)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(0,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(-0.09,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(-0.21,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 (-0.22,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 (0.05,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(-1.12, 0.87)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1.17 (-1.26, 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(-0.09,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1.5 (0.09, 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(-0.31,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(-0.36,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(-0.32,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(-0.26, 0.58)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 (-0.72,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 (-0.81,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(-0.02,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Compiled F2-isoprostanes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(0.01,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(-0.01,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(-1.16,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(-1.19, 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(-0.11,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(-0.03,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0.25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 (-0.36,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-0.18 (-0.34,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 (-0.27,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 (-0.31,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 (-2.24, 1.61)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-0.51 (-2.46,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0.72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0.46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Binary CES-D at  Year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 (-0.66,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 (-0.7,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 (-0.02,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(-0.03,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 (-0.09,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(-0.07,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 (-0.25,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</w:tr>
      <w:tr>
        <w:trPr>
          <w:cantSplit/>
          <w:trHeight w:val="1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(-0.58, 1.02)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65.63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109.91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0.38 (-1.53,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110.33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 (-1.63, 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</w:tr>
      <w:tr>
        <w:trPr>
          <w:cantSplit/>
          <w:trHeight w:val="1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0.95</w:t>
            </w:r>
          </w:p>
        </w:tc>
      </w:tr>
      <w:tr>
        <w:trPr>
          <w:cantSplit/>
          <w:trHeight w:val="1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(-0.14,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-4.46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(-0.13, 0.06)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2021-03-14T23:04:17Z</dcterms:modified>
  <cp:category/>
</cp:coreProperties>
</file>