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5"/>
        <w:gridCol w:w="2081"/>
        <w:gridCol w:w="360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 (-0.19,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 (-0.25,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-0.12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0.21 (-0.5,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109.68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 (-1.07, 2.35)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(-0.08,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98"/>
        <w:gridCol w:w="2081"/>
        <w:gridCol w:w="338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Perceived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0.15 (-0.03,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 (0.03,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0.85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0.25 (-0.2, 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0.78 (-0.27,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0.75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Paternal Perceived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 (-0.01,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 (-0.13,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-0.66 (-1.25,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 (0.36, 3.05)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21.75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-0.11 (-0.27,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9"/>
        <w:gridCol w:w="2081"/>
        <w:gridCol w:w="338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0.63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 (0.01,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 (0.01,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 (-0.2,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 (0.05,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1.17 (-1.26, 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-0.17 (-0.36,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 (-0.36,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 (-0.26,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 (-0.81,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0.84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0.98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Binary CES-D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 (-0.01,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-0.19 (-1.19,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 (-0.03,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0.25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-0.06 (-0.18,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-0.18 (-0.34,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 (-0.31,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-0.51 (-2.46, 1.44)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Binary CES-D at  Year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 (-0.7,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 (-0.03,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 (-0.07,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 (-0.25,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0.33 (-0.48,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 (-1.63, 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0.84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0.95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(-0.13,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2021-03-14T23:03:28Z</dcterms:modified>
  <cp:category/>
</cp:coreProperties>
</file>