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3"/>
        <w:gridCol w:w="1120"/>
        <w:gridCol w:w="260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(-0.19,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(-0.25,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 (-0.21,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 (-0.32,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(-0.09,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 (-0.51, 0.91)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(-0.5, 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1,454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 (-0.73, 2.67)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 (-1.07, 2.35)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(-0.08,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29"/>
        <w:gridCol w:w="1120"/>
        <w:gridCol w:w="249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Maternal Perceived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-0.53 (-1.18,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 (-1.2,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(-0.02,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 (-0.03,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 (0.04,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(0.03,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 (-0.21, 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 (-0.2, 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1.1 (0.05, 2.16)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 (-0.27, 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Paternal Perceived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(-0.82,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 (-0.95,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(0,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(-0.01,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(-0.02,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(-0.01,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(-0.02,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(-0.07,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(-0.13,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 (-1.08,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-0.66 (-1.25,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1.86 (0.51, 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106.89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 (0.36, 3.05)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21.75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(-0.24,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(-0.27,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05"/>
        <w:gridCol w:w="1120"/>
        <w:gridCol w:w="249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(0,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(0,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(0,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(0.02,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-1.36 (-2.52, -0.19)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-1.34 (-2.51, -0.17)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(-0.21,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 (-0.22,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 (0.05,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(-1.12, 0.87)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106.32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107.49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1.17 (-1.26, 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 (0.09, 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 (-0.11, 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 (-0.39,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(-0.31,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(-0.36,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(-0.32, 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(-0.26, 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 (-0.72,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 (-0.81,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Binary CES-D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(-0.01,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(0,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(-0.02,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 (0.01,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(-0.01,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(-1.16, 0.83)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 (-1.19,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(-0.06,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(-0.03,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 (-0.36,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-0.18 (-0.34,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 (-0.27,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 (-0.31,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-0.31 (-2.24, 1.61)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106.93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-0.51 (-2.46, 1.44)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Binary CES-D at  Year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 (-0.66, 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 (-0.7,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(-0.02,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(-0.03,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(-0.09,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(-0.07,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(-0.58, 1.02)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 (-0.48,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 (-1.53, 2.29)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 (-1.63, 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(-0.14,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2021-03-14T23:06:06Z</dcterms:modified>
  <cp:category/>
</cp:coreProperties>
</file>