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ED77" w14:textId="77777777" w:rsidR="00113276" w:rsidRDefault="00113276">
      <w:pPr>
        <w:pStyle w:val="Heading1"/>
      </w:pPr>
      <w:bookmarkStart w:id="0" w:name="X75607151c4aabb6495bfd8cf847b513266433fc"/>
    </w:p>
    <w:p w14:paraId="2445D7EB" w14:textId="507ADDD3" w:rsidR="00C06726" w:rsidRDefault="00960167">
      <w:pPr>
        <w:pStyle w:val="Heading1"/>
      </w:pPr>
      <w:r>
        <w:t xml:space="preserve">MN prediction </w:t>
      </w:r>
      <w:r w:rsidR="00000000">
        <w:t>project</w:t>
      </w:r>
      <w:r>
        <w:t xml:space="preserve"> extensions </w:t>
      </w:r>
      <w:r w:rsidR="00000000">
        <w:t xml:space="preserve"> on the simplified subset</w:t>
      </w:r>
    </w:p>
    <w:p w14:paraId="26790985" w14:textId="32C1AF5D" w:rsidR="00C06726" w:rsidRDefault="00000000">
      <w:pPr>
        <w:pStyle w:val="FirstParagraph"/>
      </w:pPr>
      <w:r>
        <w:t xml:space="preserve">A plan to apply the ideas from </w:t>
      </w:r>
      <w:r w:rsidR="00960167">
        <w:t>we discussed with Alan</w:t>
      </w:r>
      <w:r>
        <w:t xml:space="preserve"> to the demo dataset in this folder. It is written so you can start without learning the full project pipeline. E</w:t>
      </w:r>
    </w:p>
    <w:p w14:paraId="0C6F012C" w14:textId="77777777" w:rsidR="00C06726" w:rsidRDefault="00000000">
      <w:pPr>
        <w:pStyle w:val="Heading2"/>
      </w:pPr>
      <w:bookmarkStart w:id="1" w:name="the-dataset"/>
      <w:r>
        <w:t>The dataset</w:t>
      </w:r>
    </w:p>
    <w:p w14:paraId="198C9DE6" w14:textId="77777777" w:rsidR="00C06726" w:rsidRDefault="00000000">
      <w:pPr>
        <w:pStyle w:val="FirstParagraph"/>
      </w:pPr>
      <w:r>
        <w:t xml:space="preserve">This folder holds every micronutrient-deficiency outcome for the four study countries (Gambia, Ghana, Sierra Leone, Malawi), aggregated to three geographic levels and stored in wide format (one row per area, with a small block of columns for each outcome plus a shared set of 16 predictors). See </w:t>
      </w:r>
      <w:hyperlink r:id="rId5">
        <w:r>
          <w:rPr>
            <w:rStyle w:val="VerbatimChar"/>
          </w:rPr>
          <w:t>README.md</w:t>
        </w:r>
      </w:hyperlink>
      <w:r>
        <w:t xml:space="preserve"> and the column-by-column </w:t>
      </w:r>
      <w:hyperlink r:id="rId6">
        <w:r>
          <w:rPr>
            <w:rStyle w:val="VerbatimChar"/>
          </w:rPr>
          <w:t>data_dictionary.csv</w:t>
        </w:r>
      </w:hyperlink>
      <w:r>
        <w:t>.</w:t>
      </w:r>
    </w:p>
    <w:tbl>
      <w:tblPr>
        <w:tblStyle w:val="Table"/>
        <w:tblW w:w="5000" w:type="pct"/>
        <w:tblLayout w:type="fixed"/>
        <w:tblLook w:val="0020" w:firstRow="1" w:lastRow="0" w:firstColumn="0" w:lastColumn="0" w:noHBand="0" w:noVBand="0"/>
      </w:tblPr>
      <w:tblGrid>
        <w:gridCol w:w="3192"/>
        <w:gridCol w:w="3192"/>
        <w:gridCol w:w="3192"/>
      </w:tblGrid>
      <w:tr w:rsidR="00C06726" w14:paraId="471AB215" w14:textId="77777777" w:rsidTr="00C0672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2923AC6" w14:textId="77777777" w:rsidR="00C06726" w:rsidRDefault="00000000">
            <w:pPr>
              <w:pStyle w:val="Compact"/>
            </w:pPr>
            <w:r>
              <w:t>File</w:t>
            </w:r>
          </w:p>
        </w:tc>
        <w:tc>
          <w:tcPr>
            <w:tcW w:w="2640" w:type="dxa"/>
          </w:tcPr>
          <w:p w14:paraId="7EE59CEF" w14:textId="77777777" w:rsidR="00C06726" w:rsidRDefault="00000000">
            <w:pPr>
              <w:pStyle w:val="Compact"/>
            </w:pPr>
            <w:r>
              <w:t>Geographic level</w:t>
            </w:r>
          </w:p>
        </w:tc>
        <w:tc>
          <w:tcPr>
            <w:tcW w:w="2640" w:type="dxa"/>
          </w:tcPr>
          <w:p w14:paraId="49C28951" w14:textId="77777777" w:rsidR="00C06726" w:rsidRDefault="00000000">
            <w:pPr>
              <w:pStyle w:val="Compact"/>
            </w:pPr>
            <w:r>
              <w:t>Rows</w:t>
            </w:r>
          </w:p>
        </w:tc>
      </w:tr>
      <w:tr w:rsidR="00C06726" w14:paraId="24208C83" w14:textId="77777777">
        <w:tc>
          <w:tcPr>
            <w:tcW w:w="2640" w:type="dxa"/>
          </w:tcPr>
          <w:p w14:paraId="662E984F" w14:textId="77777777" w:rsidR="00C06726" w:rsidRDefault="00000000">
            <w:pPr>
              <w:pStyle w:val="Compact"/>
            </w:pPr>
            <w:r>
              <w:rPr>
                <w:rStyle w:val="VerbatimChar"/>
              </w:rPr>
              <w:t>data/mn_cluster.csv</w:t>
            </w:r>
          </w:p>
        </w:tc>
        <w:tc>
          <w:tcPr>
            <w:tcW w:w="2640" w:type="dxa"/>
          </w:tcPr>
          <w:p w14:paraId="2495EFE2" w14:textId="77777777" w:rsidR="00C06726" w:rsidRDefault="00000000">
            <w:pPr>
              <w:pStyle w:val="Compact"/>
            </w:pPr>
            <w:r>
              <w:t>survey cluster (the survey’s primary sampling unit, a small group of neighbouring households)</w:t>
            </w:r>
          </w:p>
        </w:tc>
        <w:tc>
          <w:tcPr>
            <w:tcW w:w="2640" w:type="dxa"/>
          </w:tcPr>
          <w:p w14:paraId="27207B22" w14:textId="77777777" w:rsidR="00C06726" w:rsidRDefault="00000000">
            <w:pPr>
              <w:pStyle w:val="Compact"/>
            </w:pPr>
            <w:r>
              <w:t>323</w:t>
            </w:r>
          </w:p>
        </w:tc>
      </w:tr>
      <w:tr w:rsidR="00C06726" w14:paraId="710A6CDB" w14:textId="77777777">
        <w:tc>
          <w:tcPr>
            <w:tcW w:w="2640" w:type="dxa"/>
          </w:tcPr>
          <w:p w14:paraId="0FBB4A2B" w14:textId="77777777" w:rsidR="00C06726" w:rsidRDefault="00000000">
            <w:pPr>
              <w:pStyle w:val="Compact"/>
            </w:pPr>
            <w:r>
              <w:rPr>
                <w:rStyle w:val="VerbatimChar"/>
              </w:rPr>
              <w:t>data/mn_admin2.csv</w:t>
            </w:r>
          </w:p>
        </w:tc>
        <w:tc>
          <w:tcPr>
            <w:tcW w:w="2640" w:type="dxa"/>
          </w:tcPr>
          <w:p w14:paraId="1F191F87" w14:textId="77777777" w:rsidR="00C06726" w:rsidRDefault="00000000">
            <w:pPr>
              <w:pStyle w:val="Compact"/>
            </w:pPr>
            <w:r>
              <w:t>district (Admin-2)</w:t>
            </w:r>
          </w:p>
        </w:tc>
        <w:tc>
          <w:tcPr>
            <w:tcW w:w="2640" w:type="dxa"/>
          </w:tcPr>
          <w:p w14:paraId="21DB3199" w14:textId="77777777" w:rsidR="00C06726" w:rsidRDefault="00000000">
            <w:pPr>
              <w:pStyle w:val="Compact"/>
            </w:pPr>
            <w:r>
              <w:t>206</w:t>
            </w:r>
          </w:p>
        </w:tc>
      </w:tr>
      <w:tr w:rsidR="00C06726" w14:paraId="3FFF8FD2" w14:textId="77777777">
        <w:tc>
          <w:tcPr>
            <w:tcW w:w="2640" w:type="dxa"/>
          </w:tcPr>
          <w:p w14:paraId="37FF0931" w14:textId="77777777" w:rsidR="00C06726" w:rsidRDefault="00000000">
            <w:pPr>
              <w:pStyle w:val="Compact"/>
            </w:pPr>
            <w:r>
              <w:rPr>
                <w:rStyle w:val="VerbatimChar"/>
              </w:rPr>
              <w:t>data/mn_admin1.csv</w:t>
            </w:r>
          </w:p>
        </w:tc>
        <w:tc>
          <w:tcPr>
            <w:tcW w:w="2640" w:type="dxa"/>
          </w:tcPr>
          <w:p w14:paraId="4E106B8D" w14:textId="77777777" w:rsidR="00C06726" w:rsidRDefault="00000000">
            <w:pPr>
              <w:pStyle w:val="Compact"/>
            </w:pPr>
            <w:r>
              <w:t>region or province (Admin-1)</w:t>
            </w:r>
          </w:p>
        </w:tc>
        <w:tc>
          <w:tcPr>
            <w:tcW w:w="2640" w:type="dxa"/>
          </w:tcPr>
          <w:p w14:paraId="66FAD663" w14:textId="77777777" w:rsidR="00C06726" w:rsidRDefault="00000000">
            <w:pPr>
              <w:pStyle w:val="Compact"/>
            </w:pPr>
            <w:r>
              <w:t>53</w:t>
            </w:r>
          </w:p>
        </w:tc>
      </w:tr>
    </w:tbl>
    <w:p w14:paraId="4A3D4ECB" w14:textId="77777777" w:rsidR="00C06726" w:rsidRDefault="00000000">
      <w:pPr>
        <w:pStyle w:val="BodyText"/>
      </w:pPr>
      <w:r>
        <w:t>For each outcome there are four columns, following a fixed naming pattern:</w:t>
      </w:r>
    </w:p>
    <w:p w14:paraId="2D04A3FB" w14:textId="77777777" w:rsidR="00C06726" w:rsidRDefault="00000000">
      <w:pPr>
        <w:pStyle w:val="Compact"/>
        <w:numPr>
          <w:ilvl w:val="0"/>
          <w:numId w:val="2"/>
        </w:numPr>
      </w:pPr>
      <w:r>
        <w:rPr>
          <w:rStyle w:val="VerbatimChar"/>
        </w:rPr>
        <w:t>prev_&lt;outcome&gt;</w:t>
      </w:r>
      <w:r>
        <w:t>: the survey-weighted prevalence of the deficiency in that area (a proportion between 0 and 1). This is the quantity you model.</w:t>
      </w:r>
    </w:p>
    <w:p w14:paraId="26138CAE" w14:textId="77777777" w:rsidR="00C06726" w:rsidRDefault="00000000">
      <w:pPr>
        <w:pStyle w:val="Compact"/>
        <w:numPr>
          <w:ilvl w:val="0"/>
          <w:numId w:val="2"/>
        </w:numPr>
      </w:pPr>
      <w:r>
        <w:rPr>
          <w:rStyle w:val="VerbatimChar"/>
        </w:rPr>
        <w:t>n_&lt;outcome&gt;</w:t>
      </w:r>
      <w:r>
        <w:t>: the number of people surveyed for that outcome in the area (the denominator). Larger n means a more reliable prevalence estimate, so n is a reasonable weight.</w:t>
      </w:r>
    </w:p>
    <w:p w14:paraId="5708C767" w14:textId="77777777" w:rsidR="00C06726" w:rsidRDefault="00000000">
      <w:pPr>
        <w:pStyle w:val="Compact"/>
        <w:numPr>
          <w:ilvl w:val="0"/>
          <w:numId w:val="2"/>
        </w:numPr>
      </w:pPr>
      <w:r>
        <w:rPr>
          <w:rStyle w:val="VerbatimChar"/>
        </w:rPr>
        <w:t>ndef_&lt;outcome&gt;</w:t>
      </w:r>
      <w:r>
        <w:t xml:space="preserve">: the number found deficient (the numerator). The unweighted prevalence is </w:t>
      </w:r>
      <w:r>
        <w:rPr>
          <w:rStyle w:val="VerbatimChar"/>
        </w:rPr>
        <w:t>ndef / n</w:t>
      </w:r>
      <w:r>
        <w:t>.</w:t>
      </w:r>
    </w:p>
    <w:p w14:paraId="06D68C3E" w14:textId="77777777" w:rsidR="00C06726" w:rsidRDefault="00000000">
      <w:pPr>
        <w:pStyle w:val="Compact"/>
        <w:numPr>
          <w:ilvl w:val="0"/>
          <w:numId w:val="2"/>
        </w:numPr>
      </w:pPr>
      <w:r>
        <w:rPr>
          <w:rStyle w:val="VerbatimChar"/>
        </w:rPr>
        <w:t>var_&lt;outcome&gt;</w:t>
      </w:r>
      <w:r>
        <w:t xml:space="preserve">: the estimated sampling variance of the prevalence, that is, how much the area’s prevalence estimate would bounce around if the survey were repeated. Districts with bigger samples have smaller variance. Using </w:t>
      </w:r>
      <w:r>
        <w:rPr>
          <w:rStyle w:val="VerbatimChar"/>
        </w:rPr>
        <w:t>1 / var</w:t>
      </w:r>
      <w:r>
        <w:t xml:space="preserve"> as a weight lets the better-measured districts count more. This style of weight is what an area-level small-area model (for example Fay-Herriot) expects.</w:t>
      </w:r>
    </w:p>
    <w:p w14:paraId="6FCEE77C" w14:textId="77777777" w:rsidR="00C06726" w:rsidRDefault="00000000">
      <w:pPr>
        <w:pStyle w:val="FirstParagraph"/>
      </w:pPr>
      <w:r>
        <w:t xml:space="preserve">Outcomes present, and where they were measured: </w:t>
      </w:r>
      <w:r>
        <w:rPr>
          <w:rStyle w:val="VerbatimChar"/>
        </w:rPr>
        <w:t>women_iron</w:t>
      </w:r>
      <w:r>
        <w:t xml:space="preserve">, </w:t>
      </w:r>
      <w:r>
        <w:rPr>
          <w:rStyle w:val="VerbatimChar"/>
        </w:rPr>
        <w:t>women_vitA</w:t>
      </w:r>
      <w:r>
        <w:t xml:space="preserve">, </w:t>
      </w:r>
      <w:r>
        <w:rPr>
          <w:rStyle w:val="VerbatimChar"/>
        </w:rPr>
        <w:t>child_iron</w:t>
      </w:r>
      <w:r>
        <w:t xml:space="preserve">, </w:t>
      </w:r>
      <w:r>
        <w:rPr>
          <w:rStyle w:val="VerbatimChar"/>
        </w:rPr>
        <w:t>child_vitA</w:t>
      </w:r>
      <w:r>
        <w:t xml:space="preserve"> in all four countries; </w:t>
      </w:r>
      <w:r>
        <w:rPr>
          <w:rStyle w:val="VerbatimChar"/>
        </w:rPr>
        <w:t>women_b12</w:t>
      </w:r>
      <w:r>
        <w:t xml:space="preserve"> and </w:t>
      </w:r>
      <w:r>
        <w:rPr>
          <w:rStyle w:val="VerbatimChar"/>
        </w:rPr>
        <w:t>women_folate</w:t>
      </w:r>
      <w:r>
        <w:t xml:space="preserve"> in Ghana, Malawi, and Sierra Leone; </w:t>
      </w:r>
      <w:r>
        <w:rPr>
          <w:rStyle w:val="VerbatimChar"/>
        </w:rPr>
        <w:t>women_zinc</w:t>
      </w:r>
      <w:r>
        <w:t xml:space="preserve"> and </w:t>
      </w:r>
      <w:r>
        <w:rPr>
          <w:rStyle w:val="VerbatimChar"/>
        </w:rPr>
        <w:t>child_zinc</w:t>
      </w:r>
      <w:r>
        <w:t xml:space="preserve"> in Malawi only. A column is left blank (NA) for a country that did not measure that outcome.</w:t>
      </w:r>
    </w:p>
    <w:p w14:paraId="6F936C64" w14:textId="4B71611F" w:rsidR="00C06726" w:rsidRDefault="00000000">
      <w:pPr>
        <w:pStyle w:val="BodyText"/>
      </w:pPr>
      <w:r>
        <w:lastRenderedPageBreak/>
        <w:t xml:space="preserve">The 16 predictors are geospatial proxies (rainfall, temperature, vegetation greenness, land use and human footprint, and malaria indicators). They are the same for every outcome. </w:t>
      </w:r>
    </w:p>
    <w:p w14:paraId="1F35A1EB" w14:textId="73D82B36" w:rsidR="00C06726" w:rsidRDefault="00000000">
      <w:pPr>
        <w:pStyle w:val="Heading2"/>
      </w:pPr>
      <w:bookmarkStart w:id="2" w:name="two-ways-a-model-is-tested-here"/>
      <w:bookmarkEnd w:id="1"/>
      <w:r>
        <w:t xml:space="preserve">Two ways </w:t>
      </w:r>
      <w:r w:rsidR="00960167">
        <w:t>we want to test a model:</w:t>
      </w:r>
    </w:p>
    <w:p w14:paraId="67916AC4" w14:textId="77777777" w:rsidR="00C06726" w:rsidRDefault="00000000">
      <w:pPr>
        <w:pStyle w:val="FirstParagraph"/>
      </w:pPr>
      <w:r>
        <w:t>Both evaluation setups appear throughout the tasks, so it helps to fix the terms:</w:t>
      </w:r>
    </w:p>
    <w:p w14:paraId="50B9DC76" w14:textId="77777777" w:rsidR="00C06726" w:rsidRDefault="00000000">
      <w:pPr>
        <w:pStyle w:val="Compact"/>
        <w:numPr>
          <w:ilvl w:val="0"/>
          <w:numId w:val="3"/>
        </w:numPr>
      </w:pPr>
      <w:r>
        <w:t>Within-country cross-validation: split one country’s areas into folds, train on most of them, predict the held-out fold, and rotate. This measures how well the model works inside a country that already has survey data.</w:t>
      </w:r>
    </w:p>
    <w:p w14:paraId="054B6CFE" w14:textId="77777777" w:rsidR="00C06726" w:rsidRDefault="00000000">
      <w:pPr>
        <w:pStyle w:val="Compact"/>
        <w:numPr>
          <w:ilvl w:val="0"/>
          <w:numId w:val="3"/>
        </w:numPr>
      </w:pPr>
      <w:r>
        <w:t>Leave-one-country-out (LOCO): train on three countries and predict the fourth, which contributed no data to the fit. This imitates the real goal of predicting a country that has never been surveyed, and it is much harder. The gap between the two is the central story of the project.</w:t>
      </w:r>
    </w:p>
    <w:p w14:paraId="39A102BF" w14:textId="77777777" w:rsidR="00C06726" w:rsidRDefault="00000000">
      <w:pPr>
        <w:pStyle w:val="Heading2"/>
      </w:pPr>
      <w:bookmarkStart w:id="3" w:name="Xb72d6811132d6098281ed930e5d05e77ace2a57"/>
      <w:bookmarkEnd w:id="2"/>
      <w:r>
        <w:t>Task 1: decision-focused targeting of the highest-burden districts</w:t>
      </w:r>
    </w:p>
    <w:p w14:paraId="70F3353F" w14:textId="470EB5CB" w:rsidR="00C06726" w:rsidRDefault="00000000">
      <w:pPr>
        <w:pStyle w:val="FirstParagraph"/>
      </w:pPr>
      <w:r>
        <w:t xml:space="preserve">For program planning the question is usually not the exact prevalence in a district but whether a district is among the worst affected, so it can be prioritised for fortification, supplementation, or a follow-up survey. A standard model is trained to make the average prediction error small across all districts, which spreads attention evenly. We </w:t>
      </w:r>
      <w:r w:rsidR="00831299">
        <w:t>could</w:t>
      </w:r>
      <w:r>
        <w:t xml:space="preserve"> instead tune the model so it is good at the specific job of flagging the highest-burden districts. </w:t>
      </w:r>
      <w:r w:rsidR="00831299">
        <w:t>I believe this</w:t>
      </w:r>
      <w:r>
        <w:t xml:space="preserve"> is </w:t>
      </w:r>
      <w:r w:rsidR="00831299">
        <w:t>realted to</w:t>
      </w:r>
      <w:r>
        <w:t xml:space="preserve"> your sensitivity-constrained and quintile work, now applied to geographic areas.</w:t>
      </w:r>
    </w:p>
    <w:p w14:paraId="0D4CC28A" w14:textId="24112DE6" w:rsidR="00C06726" w:rsidRDefault="00000000">
      <w:pPr>
        <w:pStyle w:val="BodyText"/>
      </w:pPr>
      <w:r>
        <w:t>Work at the district level (</w:t>
      </w:r>
      <w:r>
        <w:rPr>
          <w:rStyle w:val="VerbatimChar"/>
        </w:rPr>
        <w:t>mn_admin2.csv</w:t>
      </w:r>
      <w:r>
        <w:t>) and start with iron in women (</w:t>
      </w:r>
      <w:r>
        <w:rPr>
          <w:rStyle w:val="VerbatimChar"/>
        </w:rPr>
        <w:t>prev_women_iron</w:t>
      </w:r>
      <w:r>
        <w:t>). Define the planning target two ways: districts above a WHO public-health threshold</w:t>
      </w:r>
      <w:r w:rsidR="00831299">
        <w:t xml:space="preserve"> (you can pick an arbitrary cutodd at this point)</w:t>
      </w:r>
      <w:r>
        <w:t>, and separately the top 20 percent most affected districts within each country. Fit the base models, then choose the combination weights to maximise how many truly high-burden districts the model catches (sensitivity) while holding the false-alarm rate below a set limit. Evaluate both within-country and with LOCO.</w:t>
      </w:r>
    </w:p>
    <w:p w14:paraId="54CFE114" w14:textId="061F0527" w:rsidR="00C06726" w:rsidRDefault="00831299">
      <w:pPr>
        <w:pStyle w:val="BodyText"/>
      </w:pPr>
      <w:r>
        <w:t>Output could be a</w:t>
      </w:r>
      <w:r w:rsidR="00000000">
        <w:t xml:space="preserve"> table or curve showing the share of high-burden districts correctly flagged, within a country and when transported to a new one, compared with an ordinary error-minimising model. </w:t>
      </w:r>
    </w:p>
    <w:p w14:paraId="45FA97E7" w14:textId="77777777" w:rsidR="00C06726" w:rsidRDefault="00000000">
      <w:pPr>
        <w:pStyle w:val="Heading2"/>
      </w:pPr>
      <w:bookmarkStart w:id="4" w:name="Xf40d058a710ec70be275b488f595daf24f961af"/>
      <w:bookmarkEnd w:id="3"/>
      <w:r>
        <w:t>Task 2: anchoring transported predictions to a known national prevalence</w:t>
      </w:r>
    </w:p>
    <w:p w14:paraId="39A25861" w14:textId="77777777" w:rsidR="00C06726" w:rsidRDefault="00000000">
      <w:pPr>
        <w:pStyle w:val="FirstParagraph"/>
      </w:pPr>
      <w:r>
        <w:t>Why this matters. When a model trained in some countries is applied to a new one, the ranking of districts often survives but the overall level drifts, because the model pulls every prediction toward the average of the countries it learned from. Many countries that lack district-level survey data still have a national prevalence number from a past survey or from a compilation such as VMNIS, BRINDA, or DHS anaemia. We can use that single national number to correct the level.</w:t>
      </w:r>
    </w:p>
    <w:p w14:paraId="24254473" w14:textId="13114798" w:rsidR="00C06726" w:rsidRDefault="00000000">
      <w:pPr>
        <w:pStyle w:val="BodyText"/>
      </w:pPr>
      <w:r>
        <w:lastRenderedPageBreak/>
        <w:t xml:space="preserve">What to do. In the LOCO loop, treat the held-out country’s national prevalence as known (for the demo, compute it as the sample-size-weighted average of </w:t>
      </w:r>
      <w:r>
        <w:rPr>
          <w:rStyle w:val="VerbatimChar"/>
        </w:rPr>
        <w:t>prev_&lt;outcome&gt;</w:t>
      </w:r>
      <w:r>
        <w:t xml:space="preserve"> across that country’s districts, standing in for the external number </w:t>
      </w:r>
      <w:r w:rsidR="003C3FC7">
        <w:t>we</w:t>
      </w:r>
      <w:r>
        <w:t xml:space="preserve"> would have in practice). Then apply a one-number correction that shifts all predictions so their population-weighted average equals the national value. Doing the shift on the log-odds scale, or with isotonic regression, keeps the district ordering exactly as it was. Report the ranking metrics (which should not change) and the level metrics (mean absolute error and bias) before and after.</w:t>
      </w:r>
    </w:p>
    <w:p w14:paraId="44BFC6FE" w14:textId="560DF4EE" w:rsidR="00C06726" w:rsidRDefault="003C3FC7">
      <w:pPr>
        <w:pStyle w:val="BodyText"/>
      </w:pPr>
      <w:r>
        <w:t>The output should be a</w:t>
      </w:r>
      <w:r w:rsidR="00000000">
        <w:t xml:space="preserve"> clear measure of how much of the transport level error a single national anchor removes. This addresses Alan’s calibration suggestion directly and tests </w:t>
      </w:r>
      <w:r>
        <w:t xml:space="preserve">my </w:t>
      </w:r>
      <w:r w:rsidR="00000000">
        <w:t>finding</w:t>
      </w:r>
      <w:r>
        <w:t xml:space="preserve"> so</w:t>
      </w:r>
      <w:r w:rsidR="00000000">
        <w:t xml:space="preserve"> that transport mostly fails on </w:t>
      </w:r>
      <w:r>
        <w:t>absolute predictions</w:t>
      </w:r>
      <w:r w:rsidR="00000000">
        <w:t>, not on ranking.</w:t>
      </w:r>
    </w:p>
    <w:p w14:paraId="0C41E89A" w14:textId="77777777" w:rsidR="00C06726" w:rsidRDefault="00000000">
      <w:pPr>
        <w:pStyle w:val="Heading2"/>
      </w:pPr>
      <w:bookmarkStart w:id="5" w:name="Xe541580aca071c5a1bf4a2017b1f26eb7b805ee"/>
      <w:bookmarkEnd w:id="4"/>
      <w:r>
        <w:t>Task 3: a proper model for proportions, with sampling weights</w:t>
      </w:r>
    </w:p>
    <w:p w14:paraId="253AA497" w14:textId="52FBE221" w:rsidR="00C06726" w:rsidRDefault="00000000">
      <w:pPr>
        <w:pStyle w:val="BodyText"/>
      </w:pPr>
      <w:r>
        <w:t xml:space="preserve">Refit the area-level models for a chosen outcome using a binomial or quasi-binomial family on </w:t>
      </w:r>
      <w:r>
        <w:rPr>
          <w:rStyle w:val="VerbatimChar"/>
        </w:rPr>
        <w:t>prev_&lt;outcome&gt;</w:t>
      </w:r>
      <w:r>
        <w:t xml:space="preserve">, weighting each district by its sample size </w:t>
      </w:r>
      <w:r>
        <w:rPr>
          <w:rStyle w:val="VerbatimChar"/>
        </w:rPr>
        <w:t>n_&lt;outcome&gt;</w:t>
      </w:r>
      <w:r>
        <w:t xml:space="preserve"> or by the precision weight </w:t>
      </w:r>
      <w:r>
        <w:rPr>
          <w:rStyle w:val="VerbatimChar"/>
        </w:rPr>
        <w:t>1 / var_&lt;outcome&gt;</w:t>
      </w:r>
      <w:r>
        <w:t xml:space="preserve">. Compare calibration and stability against the plain linear version from Task 1. The </w:t>
      </w:r>
      <w:r>
        <w:rPr>
          <w:rStyle w:val="VerbatimChar"/>
        </w:rPr>
        <w:t>var_&lt;outcome&gt;</w:t>
      </w:r>
      <w:r>
        <w:t xml:space="preserve"> column is included precisely so this weighting is easy.</w:t>
      </w:r>
    </w:p>
    <w:p w14:paraId="55C908C6" w14:textId="0D9A1B16" w:rsidR="00C06726" w:rsidRDefault="00D644E2">
      <w:pPr>
        <w:pStyle w:val="BodyText"/>
      </w:pPr>
      <w:r>
        <w:t>Output should be</w:t>
      </w:r>
      <w:r w:rsidR="00000000">
        <w:t xml:space="preserve"> </w:t>
      </w:r>
      <w:r>
        <w:t>e</w:t>
      </w:r>
      <w:r w:rsidR="00000000">
        <w:t>vidence on whether the proper proportion model gives better-calibrated and more stable predictions, especially for low-prevalence outcomes such as vitamin A or B12 in women.</w:t>
      </w:r>
    </w:p>
    <w:p w14:paraId="1C627E8E" w14:textId="77777777" w:rsidR="00C06726" w:rsidRDefault="00000000">
      <w:pPr>
        <w:pStyle w:val="Heading2"/>
      </w:pPr>
      <w:bookmarkStart w:id="6" w:name="X5aec69895198fb01552fccb84ed84777fc47e70"/>
      <w:bookmarkEnd w:id="5"/>
      <w:r>
        <w:t>Task 4: uncertainty on each estimate, and where to survey next</w:t>
      </w:r>
    </w:p>
    <w:p w14:paraId="099DD346" w14:textId="6C0DCEC4" w:rsidR="00C06726" w:rsidRDefault="00000000">
      <w:pPr>
        <w:pStyle w:val="FirstParagraph"/>
      </w:pPr>
      <w:r>
        <w:t>There are two accessible ways to attach an interval to each district’s prediction. A bootstrap resamples the clusters or districts, refits, and watches how much the predictions move. A conformal interval uses the model’s past prediction errors to build an interval with a guaranteed long-run coverage rate, without assuming a particular error distribution.</w:t>
      </w:r>
    </w:p>
    <w:p w14:paraId="06BED510" w14:textId="77777777" w:rsidR="00C06726" w:rsidRDefault="00000000">
      <w:pPr>
        <w:pStyle w:val="BodyText"/>
      </w:pPr>
      <w:r>
        <w:t>Once each district has both a predicted prevalence and a measure of uncertainty, you can rank districts by where a new survey would be most informative. A district that is both likely high-burden and highly uncertain is a strong candidate, because measuring it resolves the most doubt about a place that may need action. This is a value-of-information ranking, and it answers a concrete funder question: given a fixed budget, where should the next biomarker survey go.</w:t>
      </w:r>
    </w:p>
    <w:p w14:paraId="620075DE" w14:textId="68C222BF" w:rsidR="00C06726" w:rsidRDefault="00000000">
      <w:pPr>
        <w:pStyle w:val="BodyText"/>
      </w:pPr>
      <w:r>
        <w:t>Produce a per-district interval (start with a cluster or district bootstrap, or a conformal interval; cross-validated loss-based inference is a later refinement). Then rank districts by predicted risk multiplied by prediction uncertainty.</w:t>
      </w:r>
    </w:p>
    <w:p w14:paraId="46B6A22F" w14:textId="316CFF3D" w:rsidR="00C06726" w:rsidRDefault="00D644E2">
      <w:pPr>
        <w:pStyle w:val="BodyText"/>
      </w:pPr>
      <w:r>
        <w:t xml:space="preserve">Make </w:t>
      </w:r>
      <w:r w:rsidR="00000000">
        <w:t>A ranked list of districts that would most improve the map if surveyed next, demonstrated on at least one outcome.</w:t>
      </w:r>
    </w:p>
    <w:p w14:paraId="6778CB6D" w14:textId="77777777" w:rsidR="00C06726" w:rsidRDefault="00000000">
      <w:pPr>
        <w:pStyle w:val="Heading2"/>
      </w:pPr>
      <w:bookmarkStart w:id="7" w:name="X30d1ed23bc9aa5f6657f7f9721cebf5f79d607d"/>
      <w:bookmarkEnd w:id="6"/>
      <w:r>
        <w:lastRenderedPageBreak/>
        <w:t>Task 5: borrowing strength across deficiencies (sequential modelling)</w:t>
      </w:r>
    </w:p>
    <w:p w14:paraId="2B1A4858" w14:textId="2958C3D1" w:rsidR="00C06726" w:rsidRDefault="00000000">
      <w:pPr>
        <w:pStyle w:val="BodyText"/>
      </w:pPr>
      <w:r>
        <w:t xml:space="preserve">Order the outcomes from best measured to least measured (iron, then vitamin A, then B12 and folate, then zinc). Predict the first outcome from the 16 proxies. Then predict the next outcome from the proxies plus the first outcome, the next from the proxies plus the two before it, and so on. When a country did not measure an upstream outcome, add a 0/1 indicator marking it missing and impute a value, so the model can still run. </w:t>
      </w:r>
    </w:p>
    <w:p w14:paraId="43E4D05C" w14:textId="3122331A" w:rsidR="00C06726" w:rsidRDefault="000E1506">
      <w:pPr>
        <w:pStyle w:val="BodyText"/>
      </w:pPr>
      <w:r>
        <w:t>T</w:t>
      </w:r>
      <w:r w:rsidR="00000000">
        <w:t>est the within-country version first and treat the cross-country version as exploratory.</w:t>
      </w:r>
      <w:r>
        <w:t xml:space="preserve"> Make </w:t>
      </w:r>
      <w:r w:rsidR="00000000">
        <w:t>A comparison, per outcome, of prediction accuracy with proxies only versus proxies plus the earlier outcomes, reported separately for within-country and for transport. The clearest expected gains are for the data-poorest outcomes (zinc, B12), which have the most to borrow.</w:t>
      </w:r>
    </w:p>
    <w:p w14:paraId="53D726E4" w14:textId="4B71CF70" w:rsidR="00C06726" w:rsidRDefault="00C06726">
      <w:pPr>
        <w:pStyle w:val="FirstParagraph"/>
      </w:pPr>
      <w:bookmarkStart w:id="8" w:name="Xb35ac522e03378e441eeab368e560261f620368"/>
      <w:bookmarkEnd w:id="0"/>
      <w:bookmarkEnd w:id="7"/>
      <w:bookmarkEnd w:id="8"/>
    </w:p>
    <w:sectPr w:rsidR="00C067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6023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EE7F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24781323">
    <w:abstractNumId w:val="0"/>
  </w:num>
  <w:num w:numId="2" w16cid:durableId="604769133">
    <w:abstractNumId w:val="1"/>
  </w:num>
  <w:num w:numId="3" w16cid:durableId="32004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06726"/>
    <w:rsid w:val="000E1506"/>
    <w:rsid w:val="00113276"/>
    <w:rsid w:val="003C3FC7"/>
    <w:rsid w:val="008122EF"/>
    <w:rsid w:val="00831299"/>
    <w:rsid w:val="00960167"/>
    <w:rsid w:val="00C06726"/>
    <w:rsid w:val="00D64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86A8"/>
  <w15:docId w15:val="{2B270587-236B-4482-9BCE-BF90DB6B9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data_dictionary.csv" TargetMode="External"/><Relationship Id="rId5" Type="http://schemas.openxmlformats.org/officeDocument/2006/relationships/hyperlink" Target="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Mertens</cp:lastModifiedBy>
  <cp:revision>7</cp:revision>
  <dcterms:created xsi:type="dcterms:W3CDTF">2026-06-26T19:09:00Z</dcterms:created>
  <dcterms:modified xsi:type="dcterms:W3CDTF">2026-06-26T19:18:00Z</dcterms:modified>
</cp:coreProperties>
</file>