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2026-09-11</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0.40 against 0.31 on the biomarker concentration,</w:t>
      </w:r>
      <w:r>
        <w:t xml:space="preserve"> </w:t>
      </w:r>
      <w:r>
        <w:t xml:space="preserve">0.29 against 0.22 on prevalence) but a covariate-free spatial smoother</w:t>
      </w:r>
      <w:r>
        <w:t xml:space="preserve"> </w:t>
      </w:r>
      <w:r>
        <w:t xml:space="preserve">scores 0.39 where the full covariate model scores 0.40. Rankings transport</w:t>
      </w:r>
      <w:r>
        <w:t xml:space="preserve"> </w:t>
      </w:r>
      <w:r>
        <w:t xml:space="preserve">to a country never used in training: mean Spearman 0.26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22%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and contribute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is the binding constraint on</w:t>
      </w:r>
      <w:r>
        <w:t xml:space="preserve"> </w:t>
      </w:r>
      <w:r>
        <w:t xml:space="preserve">everything that follows; Sections 3 and 4.5 treat it explicitly.</w:t>
      </w:r>
    </w:p>
    <w:bookmarkEnd w:id="25"/>
    <w:bookmarkStart w:id="27" w:name="predictors"/>
    <w:p>
      <w:pPr>
        <w:pStyle w:val="Heading2"/>
      </w:pPr>
      <w:r>
        <w:t xml:space="preserve">2.2 Predictors</w:t>
      </w:r>
    </w:p>
    <w:p>
      <w:pPr>
        <w:pStyle w:val="FirstParagraph"/>
      </w:pPr>
      <w:r>
        <w:t xml:space="preserve">We assembled every predictor available at district resolution, whatever its</w:t>
      </w:r>
      <w:r>
        <w:t xml:space="preserve"> </w:t>
      </w:r>
      <w:r>
        <w:t xml:space="preserve">source.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 Because</w:t>
      </w:r>
      <w:r>
        <w:t xml:space="preserve"> </w:t>
      </w:r>
      <w:r>
        <w:t xml:space="preserve">the index is linear in the rank-normalised predictors, its component weights</w:t>
      </w:r>
      <w:r>
        <w:t xml:space="preserve"> </w:t>
      </w:r>
      <w:r>
        <w:t xml:space="preserve">project back exactly onto the original columns</w:t>
      </w:r>
      <w:r>
        <w:t xml:space="preserve"> </w:t>
      </w:r>
      <w:r>
        <w:t xml:space="preserve">(</w:t>
      </w:r>
      <m:oMath>
        <m:sSub>
          <m:e>
            <m:r>
              <m:t>β</m:t>
            </m:r>
          </m:e>
          <m:sub>
            <m:r>
              <m:t>j</m:t>
            </m:r>
          </m:sub>
        </m:sSub>
        <m:r>
          <m:rPr>
            <m:sty m:val="p"/>
          </m:rPr>
          <m:t>=</m:t>
        </m:r>
        <m:nary>
          <m:naryPr>
            <m:chr m:val="∑"/>
            <m:limLoc m:val="undOvr"/>
            <m:subHide m:val="off"/>
            <m:supHide m:val="on"/>
          </m:naryPr>
          <m:sub>
            <m:r>
              <m:t>k</m:t>
            </m:r>
          </m:sub>
          <m:sup>
            <m:r>
              <m:t>​</m:t>
            </m:r>
          </m:sup>
          <m:e>
            <m:sSub>
              <m:e>
                <m:r>
                  <m:t>w</m:t>
                </m:r>
              </m:e>
              <m:sub>
                <m:r>
                  <m:t>k</m:t>
                </m:r>
              </m:sub>
            </m:sSub>
          </m:e>
        </m:nary>
        <m:sSubSup>
          <m:e>
            <m:r>
              <m:t>R</m:t>
            </m:r>
          </m:e>
          <m:sub>
            <m:r>
              <m:t>j</m:t>
            </m:r>
            <m:r>
              <m:t>k</m:t>
            </m:r>
          </m:sub>
          <m:sup>
            <m:r>
              <m:rPr>
                <m:sty m:val="p"/>
              </m:rPr>
              <m:t>*</m:t>
            </m:r>
          </m:sup>
        </m:sSubSup>
      </m:oMath>
      <w:r>
        <w:t xml:space="preserve">, with</w:t>
      </w:r>
      <w:r>
        <w:t xml:space="preserve"> </w:t>
      </w:r>
      <m:oMath>
        <m:sSup>
          <m:e>
            <m:r>
              <m:t>R</m:t>
            </m:r>
          </m:e>
          <m:sup>
            <m:r>
              <m:rPr>
                <m:sty m:val="p"/>
              </m:rPr>
              <m:t>*</m:t>
            </m:r>
          </m:sup>
        </m:sSup>
      </m:oMath>
      <w:r>
        <w:t xml:space="preserve"> </w:t>
      </w:r>
      <w:r>
        <w:t xml:space="preserve">the oriented rotation of the</w:t>
      </w:r>
      <w:r>
        <w:t xml:space="preserve"> </w:t>
      </w:r>
      <w:r>
        <w:t xml:space="preserve">column’s domain), which is how predictor importance is reported</w:t>
      </w:r>
      <w:r>
        <w:t xml:space="preserve"> </w:t>
      </w:r>
      <w:r>
        <w:t xml:space="preserve">(</w:t>
      </w:r>
      <w:hyperlink w:anchor="fig-importance">
        <w:r>
          <w:rPr>
            <w:rStyle w:val="Hyperlink"/>
          </w:rPr>
          <w:t xml:space="preserve">Figure 1</w:t>
        </w:r>
      </w:hyperlink>
      <w:r>
        <w:t xml:space="preserve">): a weight per unit of rank-normal score, comparable across</w:t>
      </w:r>
      <w:r>
        <w:t xml:space="preserve"> </w:t>
      </w:r>
      <w:r>
        <w:t xml:space="preserve">predictors because every column shares that scale, with an exact</w:t>
      </w:r>
      <w:r>
        <w:t xml:space="preserve"> </w:t>
      </w:r>
      <w:r>
        <w:t xml:space="preserve">decomposition of the index’s variance by predictor and by domain. The same</w:t>
      </w:r>
      <w:r>
        <w:t xml:space="preserve"> </w:t>
      </w:r>
      <w:r>
        <w:t xml:space="preserve">projection defines a sparse companion, the</w:t>
      </w:r>
      <w:r>
        <w:t xml:space="preserve"> </w:t>
      </w:r>
      <w:r>
        <w:rPr>
          <w:b/>
          <w:bCs/>
        </w:rPr>
        <w:t xml:space="preserve">twenty-predictor composite</w:t>
      </w:r>
      <w:r>
        <w:t xml:space="preserve">:</w:t>
      </w:r>
      <w:r>
        <w:t xml:space="preserve"> </w:t>
      </w:r>
      <w:r>
        <w:t xml:space="preserve">inside each training fold the twenty columns with the largest back-projected</w:t>
      </w:r>
      <w:r>
        <w:t xml:space="preserve"> </w:t>
      </w:r>
      <w:r>
        <w:t xml:space="preserve">weight are kept and summed with equal weights and the sign of their weight,</w:t>
      </w:r>
      <w:r>
        <w:t xml:space="preserve"> </w:t>
      </w:r>
      <w:r>
        <w:t xml:space="preserve">then rescaled like the index. Membership is chosen on training districts</w:t>
      </w:r>
      <w:r>
        <w:t xml:space="preserve"> </w:t>
      </w:r>
      <w:r>
        <w:t xml:space="preserve">only, so the composite is scored under exactly the folds of the index.</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9"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0.28</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0.34</w:t>
                  </w:r>
                </w:p>
              </w:tc>
              <w:tc>
                <w:tcPr/>
                <w:p>
                  <w:pPr>
                    <w:pStyle w:val="Compact"/>
                    <w:jc w:val="right"/>
                    <w:jc w:val="center"/>
                  </w:pPr>
                  <w:r>
                    <w:t xml:space="preserve">16</w:t>
                  </w:r>
                </w:p>
              </w:tc>
              <w:tc>
                <w:tcPr/>
                <w:p>
                  <w:pPr>
                    <w:pStyle w:val="Compact"/>
                    <w:jc w:val="right"/>
                    <w:jc w:val="center"/>
                  </w:pPr>
                  <w:r>
                    <w:t xml:space="preserve">0.18</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0.17</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(0.28</w:t>
      </w:r>
      <w:r>
        <w:t xml:space="preserve"> </w:t>
      </w:r>
      <w:r>
        <w:t xml:space="preserve">against</w:t>
      </w:r>
      <w:r>
        <w:t xml:space="preserve"> </w:t>
      </w:r>
      <w:r>
        <w:t xml:space="preserve">0.17</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the closest, an ensemble tuned</w:t>
      </w:r>
      <w:r>
        <w:t xml:space="preserve"> </w:t>
      </w:r>
      <w:r>
        <w:t xml:space="preserve">on a rank loss, ties it (0.30 against 0.31 on prevalence over the 17 cells</w:t>
      </w:r>
      <w:r>
        <w:t xml:space="preserve"> </w:t>
      </w:r>
      <w:r>
        <w:t xml:space="preserve">both scored)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0.24</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0.26</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0.29</w:t>
                  </w:r>
                </w:p>
              </w:tc>
              <w:tc>
                <w:tcPr/>
                <w:p>
                  <w:pPr>
                    <w:pStyle w:val="Compact"/>
                    <w:jc w:val="right"/>
                    <w:jc w:val="center"/>
                  </w:pPr>
                  <w:r>
                    <w:t xml:space="preserve">16</w:t>
                  </w:r>
                </w:p>
              </w:tc>
              <w:tc>
                <w:tcPr/>
                <w:p>
                  <w:pPr>
                    <w:pStyle w:val="Compact"/>
                    <w:jc w:val="right"/>
                    <w:jc w:val="center"/>
                  </w:pPr>
                  <w:r>
                    <w:t xml:space="preserve">0.11</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0.20</w:t>
                  </w:r>
                </w:p>
              </w:tc>
              <w:tc>
                <w:tcPr/>
                <w:p>
                  <w:pPr>
                    <w:pStyle w:val="Compact"/>
                    <w:jc w:val="right"/>
                    <w:jc w:val="center"/>
                  </w:pPr>
                  <w:r>
                    <w:t xml:space="preserve">14</w:t>
                  </w:r>
                </w:p>
              </w:tc>
              <w:tc>
                <w:tcPr/>
                <w:p>
                  <w:pPr>
                    <w:pStyle w:val="Compact"/>
                    <w:jc w:val="right"/>
                    <w:jc w:val="center"/>
                  </w:pPr>
                  <w:r>
                    <w:t xml:space="preserve">-0.01</w:t>
                  </w:r>
                </w:p>
              </w:tc>
              <w:tc>
                <w:tcPr/>
                <w:p>
                  <w:pPr>
                    <w:pStyle w:val="Compact"/>
                    <w:jc w:val="right"/>
                    <w:jc w:val="center"/>
                  </w:pPr>
                  <w:r>
                    <w:t xml:space="preserve">9</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41"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0.26</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0.31;</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part of its margin (median</w:t>
      </w:r>
      <w:r>
        <w:t xml:space="preserve"> </w:t>
      </w:r>
      <w:r>
        <w:t xml:space="preserve">difference from the full index +0.04, better in 13 of 22 cells, from -0.02</w:t>
      </w:r>
      <w:r>
        <w:t xml:space="preserve"> </w:t>
      </w:r>
      <w:r>
        <w:t xml:space="preserve">before the survey-derived columns were re-estimated in DS-01).</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0.26</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0.31</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131 survey</w:t>
      </w:r>
      <w:r>
        <w:t xml:space="preserve"> </w:t>
      </w:r>
      <w:r>
        <w:t xml:space="preserve">indicator columns improves it by 0.07.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Climate and weather</w:t>
                  </w:r>
                </w:p>
              </w:tc>
              <w:tc>
                <w:tcPr/>
                <w:p>
                  <w:pPr>
                    <w:pStyle w:val="Compact"/>
                    <w:jc w:val="right"/>
                    <w:jc w:val="center"/>
                  </w:pPr>
                  <w:r>
                    <w:t xml:space="preserve">0.019</w:t>
                  </w:r>
                </w:p>
              </w:tc>
              <w:tc>
                <w:tcPr/>
                <w:p>
                  <w:pPr>
                    <w:pStyle w:val="Compact"/>
                    <w:jc w:val="right"/>
                    <w:jc w:val="center"/>
                  </w:pPr>
                  <w:r>
                    <w:t xml:space="preserve">0.353</w:t>
                  </w:r>
                </w:p>
              </w:tc>
            </w:tr>
            <w:tr>
              <w:tc>
                <w:tcPr/>
                <w:p>
                  <w:pPr>
                    <w:pStyle w:val="Compact"/>
                    <w:jc w:val="left"/>
                    <w:jc w:val="center"/>
                  </w:pPr>
                  <w:r>
                    <w:t xml:space="preserve">Soil characteristics</w:t>
                  </w:r>
                </w:p>
              </w:tc>
              <w:tc>
                <w:tcPr/>
                <w:p>
                  <w:pPr>
                    <w:pStyle w:val="Compact"/>
                    <w:jc w:val="right"/>
                    <w:jc w:val="center"/>
                  </w:pPr>
                  <w:r>
                    <w:t xml:space="preserve">0.015</w:t>
                  </w:r>
                </w:p>
              </w:tc>
              <w:tc>
                <w:tcPr/>
                <w:p>
                  <w:pPr>
                    <w:pStyle w:val="Compact"/>
                    <w:jc w:val="right"/>
                    <w:jc w:val="center"/>
                  </w:pPr>
                  <w:r>
                    <w:t xml:space="preserve">0.327</w:t>
                  </w:r>
                </w:p>
              </w:tc>
            </w:tr>
            <w:tr>
              <w:tc>
                <w:tcPr/>
                <w:p>
                  <w:pPr>
                    <w:pStyle w:val="Compact"/>
                    <w:jc w:val="left"/>
                    <w:jc w:val="center"/>
                  </w:pPr>
                  <w:r>
                    <w:t xml:space="preserve">Nutrition status (MODELLED SURFACE)</w:t>
                  </w:r>
                </w:p>
              </w:tc>
              <w:tc>
                <w:tcPr/>
                <w:p>
                  <w:pPr>
                    <w:pStyle w:val="Compact"/>
                    <w:jc w:val="right"/>
                    <w:jc w:val="center"/>
                  </w:pPr>
                  <w:r>
                    <w:t xml:space="preserve">0.011</w:t>
                  </w:r>
                </w:p>
              </w:tc>
              <w:tc>
                <w:tcPr/>
                <w:p>
                  <w:pPr>
                    <w:pStyle w:val="Compact"/>
                    <w:jc w:val="right"/>
                    <w:jc w:val="center"/>
                  </w:pPr>
                  <w:r>
                    <w:t xml:space="preserve">0.220</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0.262</w:t>
                  </w:r>
                </w:p>
              </w:tc>
            </w:tr>
            <w:tr>
              <w:tc>
                <w:tcPr/>
                <w:p>
                  <w:pPr>
                    <w:pStyle w:val="Compact"/>
                    <w:jc w:val="left"/>
                    <w:jc w:val="center"/>
                  </w:pPr>
                  <w:r>
                    <w:t xml:space="preserve">Livestock density</w:t>
                  </w:r>
                </w:p>
              </w:tc>
              <w:tc>
                <w:tcPr/>
                <w:p>
                  <w:pPr>
                    <w:pStyle w:val="Compact"/>
                    <w:jc w:val="right"/>
                    <w:jc w:val="center"/>
                  </w:pPr>
                  <w:r>
                    <w:t xml:space="preserve">0.009</w:t>
                  </w:r>
                </w:p>
              </w:tc>
              <w:tc>
                <w:tcPr/>
                <w:p>
                  <w:pPr>
                    <w:pStyle w:val="Compact"/>
                    <w:jc w:val="right"/>
                    <w:jc w:val="center"/>
                  </w:pPr>
                  <w:r>
                    <w:t xml:space="preserve">0.236</w:t>
                  </w:r>
                </w:p>
              </w:tc>
            </w:tr>
            <w:tr>
              <w:tc>
                <w:tcPr/>
                <w:p>
                  <w:pPr>
                    <w:pStyle w:val="Compact"/>
                    <w:jc w:val="left"/>
                    <w:jc w:val="center"/>
                  </w:pPr>
                  <w:r>
                    <w:t xml:space="preserve">Malaria incidence and treatment</w:t>
                  </w:r>
                </w:p>
              </w:tc>
              <w:tc>
                <w:tcPr/>
                <w:p>
                  <w:pPr>
                    <w:pStyle w:val="Compact"/>
                    <w:jc w:val="right"/>
                    <w:jc w:val="center"/>
                  </w:pPr>
                  <w:r>
                    <w:t xml:space="preserve">0.005</w:t>
                  </w:r>
                </w:p>
              </w:tc>
              <w:tc>
                <w:tcPr/>
                <w:p>
                  <w:pPr>
                    <w:pStyle w:val="Compact"/>
                    <w:jc w:val="right"/>
                    <w:jc w:val="center"/>
                  </w:pPr>
                  <w:r>
                    <w:t xml:space="preserve">0.043</w:t>
                  </w:r>
                </w:p>
              </w:tc>
            </w:tr>
            <w:tr>
              <w:tc>
                <w:tcPr/>
                <w:p>
                  <w:pPr>
                    <w:pStyle w:val="Compact"/>
                    <w:jc w:val="left"/>
                    <w:jc w:val="center"/>
                  </w:pPr>
                  <w:r>
                    <w:t xml:space="preserve">Helminth burden and control</w:t>
                  </w:r>
                </w:p>
              </w:tc>
              <w:tc>
                <w:tcPr/>
                <w:p>
                  <w:pPr>
                    <w:pStyle w:val="Compact"/>
                    <w:jc w:val="right"/>
                    <w:jc w:val="center"/>
                  </w:pPr>
                  <w:r>
                    <w:t xml:space="preserve">0.002</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0.000</w:t>
                  </w:r>
                </w:p>
              </w:tc>
              <w:tc>
                <w:tcPr/>
                <w:p>
                  <w:pPr>
                    <w:pStyle w:val="Compact"/>
                    <w:jc w:val="right"/>
                    <w:jc w:val="center"/>
                  </w:pPr>
                  <w:r>
                    <w:t xml:space="preserve">-0.038</w:t>
                  </w:r>
                </w:p>
              </w:tc>
            </w:tr>
            <w:tr>
              <w:tc>
                <w:tcPr/>
                <w:p>
                  <w:pPr>
                    <w:pStyle w:val="Compact"/>
                    <w:jc w:val="left"/>
                    <w:jc w:val="center"/>
                  </w:pPr>
                  <w:r>
                    <w:t xml:space="preserve">Education, employment, SES</w:t>
                  </w:r>
                </w:p>
              </w:tc>
              <w:tc>
                <w:tcPr/>
                <w:p>
                  <w:pPr>
                    <w:pStyle w:val="Compact"/>
                    <w:jc w:val="right"/>
                    <w:jc w:val="center"/>
                  </w:pPr>
                  <w:r>
                    <w:t xml:space="preserve">-0.001</w:t>
                  </w:r>
                </w:p>
              </w:tc>
              <w:tc>
                <w:tcPr/>
                <w:p>
                  <w:pPr>
                    <w:pStyle w:val="Compact"/>
                    <w:jc w:val="right"/>
                    <w:jc w:val="center"/>
                  </w:pPr>
                  <w:r>
                    <w:t xml:space="preserve">0.159</w:t>
                  </w:r>
                </w:p>
              </w:tc>
            </w:tr>
            <w:tr>
              <w:tc>
                <w:tcPr/>
                <w:p>
                  <w:pPr>
                    <w:pStyle w:val="Compact"/>
                    <w:jc w:val="left"/>
                    <w:jc w:val="center"/>
                  </w:pPr>
                  <w:r>
                    <w:t xml:space="preserve">Food fortification and supplementation</w:t>
                  </w:r>
                </w:p>
              </w:tc>
              <w:tc>
                <w:tcPr/>
                <w:p>
                  <w:pPr>
                    <w:pStyle w:val="Compact"/>
                    <w:jc w:val="right"/>
                    <w:jc w:val="center"/>
                  </w:pPr>
                  <w:r>
                    <w:t xml:space="preserve">-0.002</w:t>
                  </w:r>
                </w:p>
              </w:tc>
              <w:tc>
                <w:tcPr/>
                <w:p>
                  <w:pPr>
                    <w:pStyle w:val="Compact"/>
                    <w:jc w:val="right"/>
                    <w:jc w:val="center"/>
                  </w:pPr>
                  <w:r>
                    <w:t xml:space="preserve">0.039</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p>
      <w:pPr>
        <w:pStyle w:val="BodyText"/>
      </w:pPr>
      <w:r>
        <w:t xml:space="preserve">What the index weights, once its component weights are projected back onto</w:t>
      </w:r>
      <w:r>
        <w:t xml:space="preserve"> </w:t>
      </w:r>
      <w:r>
        <w:t xml:space="preserve">the columns, is one gradient that recurs in every outcome (</w:t>
      </w:r>
      <w:hyperlink w:anchor="fig-importance">
        <w:r>
          <w:rPr>
            <w:rStyle w:val="Hyperlink"/>
          </w:rPr>
          <w:t xml:space="preserve">Figure 1</w:t>
        </w:r>
      </w:hyperlink>
      <w:r>
        <w:t xml:space="preserve">):</w:t>
      </w:r>
      <w:r>
        <w:t xml:space="preserve"> </w:t>
      </w:r>
      <w:r>
        <w:t xml:space="preserve">districts that are drier and grassier, less productive (lower net and gross</w:t>
      </w:r>
      <w:r>
        <w:t xml:space="preserve"> </w:t>
      </w:r>
      <w:r>
        <w:t xml:space="preserve">primary productivity), more pastoral (a higher ruminant share of livestock,</w:t>
      </w:r>
      <w:r>
        <w:t xml:space="preserve"> </w:t>
      </w:r>
      <w:r>
        <w:t xml:space="preserve">more livestock units per head), poorer (less house ownership, fewer women in</w:t>
      </w:r>
      <w:r>
        <w:t xml:space="preserve"> </w:t>
      </w:r>
      <w:r>
        <w:t xml:space="preserve">work, less schooling) and more stunted score high on all six deficiencies,</w:t>
      </w:r>
      <w:r>
        <w:t xml:space="preserve"> </w:t>
      </w:r>
      <w:r>
        <w:t xml:space="preserve">and vegetation productivity, schooling and market proxies score low. The</w:t>
      </w:r>
      <w:r>
        <w:t xml:space="preserve"> </w:t>
      </w:r>
      <w:r>
        <w:t xml:space="preserve">positive weight on livestock density for iron and B12 is ecological rather</w:t>
      </w:r>
      <w:r>
        <w:t xml:space="preserve"> </w:t>
      </w:r>
      <w:r>
        <w:t xml:space="preserve">than dietary: in these four countries the pastoral zones are the dry, poor</w:t>
      </w:r>
      <w:r>
        <w:t xml:space="preserve"> </w:t>
      </w:r>
      <w:r>
        <w:t xml:space="preserve">zones. Outcome-specific signals sit beneath that gradient, such as</w:t>
      </w:r>
      <w:r>
        <w:t xml:space="preserve"> </w:t>
      </w:r>
      <w:r>
        <w:t xml:space="preserve">haemoglobin C allele frequency and cattle for child iron, the modelled anaemia</w:t>
      </w:r>
      <w:r>
        <w:t xml:space="preserve"> </w:t>
      </w:r>
      <w:r>
        <w:t xml:space="preserve">surfaces for women’s iron, helminth treatment coverage and the drought index</w:t>
      </w:r>
      <w:r>
        <w:t xml:space="preserve"> </w:t>
      </w:r>
      <w:r>
        <w:t xml:space="preserve">for folate, and elevation and distance to the coast for B12. No single</w:t>
      </w:r>
      <w:r>
        <w:t xml:space="preserve"> </w:t>
      </w:r>
      <w:r>
        <w:t xml:space="preserve">predictor carries more than two percent of the index’s variance; by domain,</w:t>
      </w:r>
      <w:r>
        <w:t xml:space="preserve"> </w:t>
      </w:r>
      <w:r>
        <w:t xml:space="preserve">the satellite embedding, climate and soil together carry 30 to 48 percent</w:t>
      </w:r>
      <w:r>
        <w:t xml:space="preserve"> </w:t>
      </w:r>
      <w:r>
        <w:t xml:space="preserve">depending on the outcome, which is the same answer the ablation gives. Signs</w:t>
      </w:r>
      <w:r>
        <w:t xml:space="preserve"> </w:t>
      </w:r>
      <w:r>
        <w:t xml:space="preserve">are replicated in every country’s own independent fit for all ten of women’s</w:t>
      </w:r>
      <w:r>
        <w:t xml:space="preserve"> </w:t>
      </w:r>
      <w:r>
        <w:t xml:space="preserve">B12’s leading predictors, eight of child iron’s and most of the others; the</w:t>
      </w:r>
      <w:r>
        <w:t xml:space="preserve"> </w:t>
      </w:r>
      <w:r>
        <w:t xml:space="preserve">exceptions are marked in the figure. Re-estimating the survey aggregates with</w:t>
      </w:r>
      <w:r>
        <w:t xml:space="preserve"> </w:t>
      </w:r>
      <w:r>
        <w:t xml:space="preserve">the cluster-level model (DS-01) raised their share of the index’s variance</w:t>
      </w:r>
      <w:r>
        <w:t xml:space="preserve"> </w:t>
      </w:r>
      <w:r>
        <w:t xml:space="preserve">from 0.24 to 0.34 and put more of them in the leading ten, the same shift</w:t>
      </w:r>
      <w:r>
        <w:t xml:space="preserve"> </w:t>
      </w:r>
      <w:r>
        <w:t xml:space="preserve">that cost the index across borders in RR-10. The two importances answer</w:t>
      </w:r>
      <w:r>
        <w:t xml:space="preserve"> </w:t>
      </w:r>
      <w:r>
        <w:t xml:space="preserve">different questions. The back-projection says what the fitted index</w:t>
      </w:r>
      <w:r>
        <w:t xml:space="preserve"> </w:t>
      </w:r>
      <w:r>
        <w:t xml:space="preserve">computes; the ablation says what a new country needs. They agree on soil and</w:t>
      </w:r>
      <w:r>
        <w:t xml:space="preserve"> </w:t>
      </w:r>
      <w:r>
        <w:t xml:space="preserve">climate, and they disagree on the survey-derived domains, which hold several</w:t>
      </w:r>
      <w:r>
        <w:t xml:space="preserve"> </w:t>
      </w:r>
      <w:r>
        <w:t xml:space="preserve">of the largest individual weights yet improve transport when removed</w:t>
      </w:r>
      <w:r>
        <w:t xml:space="preserve"> </w:t>
      </w:r>
      <w:r>
        <w:t xml:space="preserve">(</w:t>
      </w:r>
      <w:hyperlink w:anchor="tbl-ablation">
        <w:r>
          <w:rPr>
            <w:rStyle w:val="Hyperlink"/>
          </w:rPr>
          <w:t xml:space="preserve">Table 6</w:t>
        </w:r>
      </w:hyperlink>
      <w:r>
        <w:t xml:space="preserve">), and on the satellite embedding, which carries the largest</w:t>
      </w:r>
      <w:r>
        <w:t xml:space="preserve"> </w:t>
      </w:r>
      <w:r>
        <w:t xml:space="preserve">share of the index’s variance yet costs nothing to drop because it repeats</w:t>
      </w:r>
      <w:r>
        <w:t xml:space="preserve"> </w:t>
      </w:r>
      <w:r>
        <w:t xml:space="preserve">the climate and soil gradient. The pooled marginal correlations that set the</w:t>
      </w:r>
      <w:r>
        <w:t xml:space="preserve"> </w:t>
      </w:r>
      <w:r>
        <w:t xml:space="preserve">weights over-value indicators that fit the training countries and do not</w:t>
      </w:r>
      <w:r>
        <w:t xml:space="preserve"> </w:t>
      </w:r>
      <w:r>
        <w:t xml:space="preserve">carry, which is the climate-and-soil result seen from the other side.</w:t>
      </w:r>
    </w:p>
    <w:tbl>
      <w:tblPr>
        <w:tblStyle w:val="Table"/>
        <w:tblW w:type="pct" w:w="5000"/>
        <w:tblLayout w:type="fixed"/>
        <w:tblLook w:firstRow="0" w:lastRow="0" w:firstColumn="0" w:lastColumn="0" w:noHBand="0" w:noVBand="0" w:val="0000"/>
      </w:tblPr>
      <w:tblGrid>
        <w:gridCol w:w="7920"/>
      </w:tblGrid>
      <w:tr>
        <w:tc>
          <w:tcPr/>
          <w:bookmarkStart w:id="39" w:name="fig-importance"/>
          <w:p>
            <w:pPr>
              <w:pStyle w:val="Compact"/>
              <w:jc w:val="center"/>
            </w:pPr>
            <w:r>
              <w:drawing>
                <wp:inline>
                  <wp:extent cx="5334000" cy="4000500"/>
                  <wp:effectExtent b="0" l="0" r="0" t="0"/>
                  <wp:docPr descr="" title="" id="37" name="Picture"/>
                  <a:graphic>
                    <a:graphicData uri="http://schemas.openxmlformats.org/drawingml/2006/picture">
                      <pic:pic>
                        <pic:nvPicPr>
                          <pic:cNvPr descr="manuscript_mcn_v2_files/figure-docx/fig-importance-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What the zero-tuning index weights: the ten predictors with the largest back-projected weight per outcome in the pooled four-country fit on the biomarker level. Bar length is the weight per unit rank-normal score times the training standard deviation (positive means more deficiency); colour is the predictor’s data source; a star marks a sign that is not reproduced in every country’s own fit. The prevalence-target version is in results/figures/protocol_v2.</w:t>
            </w:r>
          </w:p>
          <w:bookmarkEnd w:id="39"/>
        </w:tc>
      </w:tr>
    </w:tbl>
    <w:p>
      <w:pPr>
        <w:pStyle w:val="BodyText"/>
      </w:pPr>
      <w:r>
        <w:t xml:space="preserve">A twenty-predictor composite built from those weights transports as well as</w:t>
      </w:r>
      <w:r>
        <w:t xml:space="preserve"> </w:t>
      </w:r>
      <w:r>
        <w:t xml:space="preserve">the full index and can be computed from twenty public layers (</w:t>
      </w:r>
      <w:hyperlink w:anchor="tbl-sparse">
        <w:r>
          <w:rPr>
            <w:rStyle w:val="Hyperlink"/>
          </w:rPr>
          <w:t xml:space="preserve">Table 7</w:t>
        </w:r>
      </w:hyperlink>
      <w:r>
        <w:t xml:space="preserve">).</w:t>
      </w:r>
      <w:r>
        <w:t xml:space="preserve"> </w:t>
      </w:r>
      <w:r>
        <w:t xml:space="preserve">Across countries it scores</w:t>
      </w:r>
      <w:r>
        <w:t xml:space="preserve"> </w:t>
      </w:r>
      <w:r>
        <w:t xml:space="preserve">0.29</w:t>
      </w:r>
      <w:r>
        <w:t xml:space="preserve"> </w:t>
      </w:r>
      <w:r>
        <w:t xml:space="preserve">on the concentration against</w:t>
      </w:r>
      <w:r>
        <w:t xml:space="preserve"> </w:t>
      </w:r>
      <w:r>
        <w:t xml:space="preserve">0.26</w:t>
      </w:r>
      <w:r>
        <w:t xml:space="preserve"> </w:t>
      </w:r>
      <w:r>
        <w:t xml:space="preserve">for the index, positive in 18 of 22 cells against 17, and it loses 0.02 on</w:t>
      </w:r>
      <w:r>
        <w:t xml:space="preserve"> </w:t>
      </w:r>
      <w:r>
        <w:t xml:space="preserve">prevalence; inside a surveyed country it costs 0.02 in-fill and 0.04 under</w:t>
      </w:r>
      <w:r>
        <w:t xml:space="preserve"> </w:t>
      </w:r>
      <w:r>
        <w:t xml:space="preserve">region extrapolation, because there the breadth of the full vocabulary is</w:t>
      </w:r>
      <w:r>
        <w:t xml:space="preserve"> </w:t>
      </w:r>
      <w:r>
        <w:t xml:space="preserve">what neighbouring districts reward. Five predictors are too few under every</w:t>
      </w:r>
      <w:r>
        <w:t xml:space="preserve"> </w:t>
      </w:r>
      <w:r>
        <w:t xml:space="preserve">estimand, and weighting the members by their index weights instead of</w:t>
      </w:r>
      <w:r>
        <w:t xml:space="preserve"> </w:t>
      </w:r>
      <w:r>
        <w:t xml:space="preserve">equally changes nothing, the small-sample result of</w:t>
      </w:r>
      <w:r>
        <w:t xml:space="preserve"> </w:t>
      </w:r>
      <w:r>
        <w:t xml:space="preserve">Dawes (1979)</w:t>
      </w:r>
      <w:r>
        <w:t xml:space="preserve"> </w:t>
      </w:r>
      <w:r>
        <w:t xml:space="preserve">reproduced.</w:t>
      </w:r>
      <w:r>
        <w:t xml:space="preserve"> </w:t>
      </w:r>
      <w:r>
        <w:t xml:space="preserve">The composites for the six outcomes, as the four-country fit would deploy</w:t>
      </w:r>
      <w:r>
        <w:t xml:space="preserve"> </w:t>
      </w:r>
      <w:r>
        <w:t xml:space="preserve">them, are listed in Supplement S4; for child iron thirteen of the twenty</w:t>
      </w:r>
      <w:r>
        <w:t xml:space="preserve"> </w:t>
      </w:r>
      <w:r>
        <w:t xml:space="preserve">members carry the same sign in every country’s own fit.</w:t>
      </w:r>
    </w:p>
    <w:tbl>
      <w:tblPr>
        <w:tblStyle w:val="Table"/>
        <w:tblW w:type="pct" w:w="5000"/>
        <w:tblLayout w:type="fixed"/>
        <w:tblLook w:firstRow="0" w:lastRow="0" w:firstColumn="0" w:lastColumn="0" w:noHBand="0" w:noVBand="0" w:val="0000"/>
      </w:tblPr>
      <w:tblGrid>
        <w:gridCol w:w="7920"/>
      </w:tblGrid>
      <w:tr>
        <w:tc>
          <w:tcPr/>
          <w:bookmarkStart w:id="40" w:name="tbl-sparse"/>
          <w:p>
            <w:pPr>
              <w:jc w:val="center"/>
            </w:pPr>
            <w:pPr>
              <w:jc w:val="start"/>
              <w:spacing w:before="200"/>
              <w:pStyle w:val="ImageCaption"/>
            </w:pPr>
            <w:r>
              <w:t xml:space="preserve">Table 7: Sparse equal-weight composites against the full index: mean Spearman over the scored cells (18 in-fill and region, 22 transport), membership chosen inside each training fold by back-projected index weight. Sierra Leone’s six cells score NA in-country on every arm (14 districts).</w:t>
            </w:r>
          </w:p>
          <w:tbl>
            <w:tblPr>
              <w:tblStyle w:val="Table"/>
              <w:tblW w:type="pct" w:w="5000"/>
              <w:tblLayout w:type="fixed"/>
              <w:tblLook w:firstRow="1" w:lastRow="0" w:firstColumn="0" w:lastColumn="0" w:noHBand="0" w:noVBand="0" w:val="0020"/>
            </w:tblPr>
            <w:tblGrid>
              <w:gridCol w:w="2090"/>
              <w:gridCol w:w="950"/>
              <w:gridCol w:w="950"/>
              <w:gridCol w:w="887"/>
              <w:gridCol w:w="887"/>
              <w:gridCol w:w="1077"/>
              <w:gridCol w:w="1077"/>
            </w:tblGrid>
            <w:tr>
              <w:trPr>
                <w:tblHeader w:val="on"/>
              </w:trPr>
              <w:tc>
                <w:tcPr/>
                <w:p>
                  <w:pPr>
                    <w:pStyle w:val="Compact"/>
                    <w:jc w:val="left"/>
                    <w:jc w:val="center"/>
                  </w:pPr>
                  <w:r>
                    <w:t xml:space="preserve">Model</w:t>
                  </w:r>
                </w:p>
              </w:tc>
              <w:tc>
                <w:tcPr/>
                <w:p>
                  <w:pPr>
                    <w:pStyle w:val="Compact"/>
                    <w:jc w:val="right"/>
                    <w:jc w:val="center"/>
                  </w:pPr>
                  <w:r>
                    <w:t xml:space="preserve">In-fill, level</w:t>
                  </w:r>
                </w:p>
              </w:tc>
              <w:tc>
                <w:tcPr/>
                <w:p>
                  <w:pPr>
                    <w:pStyle w:val="Compact"/>
                    <w:jc w:val="right"/>
                    <w:jc w:val="center"/>
                  </w:pPr>
                  <w:r>
                    <w:t xml:space="preserve">In-fill, prev.</w:t>
                  </w:r>
                </w:p>
              </w:tc>
              <w:tc>
                <w:tcPr/>
                <w:p>
                  <w:pPr>
                    <w:pStyle w:val="Compact"/>
                    <w:jc w:val="right"/>
                    <w:jc w:val="center"/>
                  </w:pPr>
                  <w:r>
                    <w:t xml:space="preserve">Region, level</w:t>
                  </w:r>
                </w:p>
              </w:tc>
              <w:tc>
                <w:tcPr/>
                <w:p>
                  <w:pPr>
                    <w:pStyle w:val="Compact"/>
                    <w:jc w:val="right"/>
                    <w:jc w:val="center"/>
                  </w:pPr>
                  <w:r>
                    <w:t xml:space="preserve">Region, prev.</w:t>
                  </w:r>
                </w:p>
              </w:tc>
              <w:tc>
                <w:tcPr/>
                <w:p>
                  <w:pPr>
                    <w:pStyle w:val="Compact"/>
                    <w:jc w:val="right"/>
                    <w:jc w:val="center"/>
                  </w:pPr>
                  <w:r>
                    <w:t xml:space="preserve">Transport, level</w:t>
                  </w:r>
                </w:p>
              </w:tc>
              <w:tc>
                <w:tcPr/>
                <w:p>
                  <w:pPr>
                    <w:pStyle w:val="Compact"/>
                    <w:jc w:val="right"/>
                    <w:jc w:val="center"/>
                  </w:pPr>
                  <w:r>
                    <w:t xml:space="preserve">Transport, prev.</w:t>
                  </w:r>
                </w:p>
              </w:tc>
            </w:tr>
            <w:tr>
              <w:tc>
                <w:tcPr/>
                <w:p>
                  <w:pPr>
                    <w:pStyle w:val="Compact"/>
                    <w:jc w:val="left"/>
                    <w:jc w:val="center"/>
                  </w:pPr>
                  <w:r>
                    <w:t xml:space="preserve">Full index (454 columns)</w:t>
                  </w:r>
                </w:p>
              </w:tc>
              <w:tc>
                <w:tcPr/>
                <w:p>
                  <w:pPr>
                    <w:pStyle w:val="Compact"/>
                    <w:jc w:val="right"/>
                    <w:jc w:val="center"/>
                  </w:pPr>
                  <w:r>
                    <w:t xml:space="preserve">0.40</w:t>
                  </w:r>
                </w:p>
              </w:tc>
              <w:tc>
                <w:tcPr/>
                <w:p>
                  <w:pPr>
                    <w:pStyle w:val="Compact"/>
                    <w:jc w:val="right"/>
                    <w:jc w:val="center"/>
                  </w:pPr>
                  <w:r>
                    <w:t xml:space="preserve">0.28</w:t>
                  </w:r>
                </w:p>
              </w:tc>
              <w:tc>
                <w:tcPr/>
                <w:p>
                  <w:pPr>
                    <w:pStyle w:val="Compact"/>
                    <w:jc w:val="right"/>
                    <w:jc w:val="center"/>
                  </w:pPr>
                  <w:r>
                    <w:t xml:space="preserve">0.38</w:t>
                  </w:r>
                </w:p>
              </w:tc>
              <w:tc>
                <w:tcPr/>
                <w:p>
                  <w:pPr>
                    <w:pStyle w:val="Compact"/>
                    <w:jc w:val="right"/>
                    <w:jc w:val="center"/>
                  </w:pPr>
                  <w:r>
                    <w:t xml:space="preserve">0.26</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Top 20 predictors, equal weights</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0.34</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Top 10, equal weights</w:t>
                  </w:r>
                </w:p>
              </w:tc>
              <w:tc>
                <w:tcPr/>
                <w:p>
                  <w:pPr>
                    <w:pStyle w:val="Compact"/>
                    <w:jc w:val="right"/>
                    <w:jc w:val="center"/>
                  </w:pPr>
                  <w:r>
                    <w:t xml:space="preserve">0.36</w:t>
                  </w:r>
                </w:p>
              </w:tc>
              <w:tc>
                <w:tcPr/>
                <w:p>
                  <w:pPr>
                    <w:pStyle w:val="Compact"/>
                    <w:jc w:val="right"/>
                    <w:jc w:val="center"/>
                  </w:pPr>
                  <w:r>
                    <w:t xml:space="preserve">0.25</w:t>
                  </w:r>
                </w:p>
              </w:tc>
              <w:tc>
                <w:tcPr/>
                <w:p>
                  <w:pPr>
                    <w:pStyle w:val="Compact"/>
                    <w:jc w:val="right"/>
                    <w:jc w:val="center"/>
                  </w:pPr>
                  <w:r>
                    <w:t xml:space="preserve">0.32</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r>
              <w:tc>
                <w:tcPr/>
                <w:p>
                  <w:pPr>
                    <w:pStyle w:val="Compact"/>
                    <w:jc w:val="left"/>
                    <w:jc w:val="center"/>
                  </w:pPr>
                  <w:r>
                    <w:t xml:space="preserve">Top 5, equal weights</w:t>
                  </w:r>
                </w:p>
              </w:tc>
              <w:tc>
                <w:tcPr/>
                <w:p>
                  <w:pPr>
                    <w:pStyle w:val="Compact"/>
                    <w:jc w:val="right"/>
                    <w:jc w:val="center"/>
                  </w:pPr>
                  <w:r>
                    <w:t xml:space="preserve">0.33</w:t>
                  </w:r>
                </w:p>
              </w:tc>
              <w:tc>
                <w:tcPr/>
                <w:p>
                  <w:pPr>
                    <w:pStyle w:val="Compact"/>
                    <w:jc w:val="right"/>
                    <w:jc w:val="center"/>
                  </w:pPr>
                  <w:r>
                    <w:t xml:space="preserve">0.21</w:t>
                  </w:r>
                </w:p>
              </w:tc>
              <w:tc>
                <w:tcPr/>
                <w:p>
                  <w:pPr>
                    <w:pStyle w:val="Compact"/>
                    <w:jc w:val="right"/>
                    <w:jc w:val="center"/>
                  </w:pPr>
                  <w:r>
                    <w:t xml:space="preserve">0.28</w:t>
                  </w:r>
                </w:p>
              </w:tc>
              <w:tc>
                <w:tcPr/>
                <w:p>
                  <w:pPr>
                    <w:pStyle w:val="Compact"/>
                    <w:jc w:val="right"/>
                    <w:jc w:val="center"/>
                  </w:pPr>
                  <w:r>
                    <w:t xml:space="preserve">0.20</w:t>
                  </w:r>
                </w:p>
              </w:tc>
              <w:tc>
                <w:tcPr/>
                <w:p>
                  <w:pPr>
                    <w:pStyle w:val="Compact"/>
                    <w:jc w:val="right"/>
                    <w:jc w:val="center"/>
                  </w:pPr>
                  <w:r>
                    <w:t xml:space="preserve">0.10</w:t>
                  </w:r>
                </w:p>
              </w:tc>
              <w:tc>
                <w:tcPr/>
                <w:p>
                  <w:pPr>
                    <w:pStyle w:val="Compact"/>
                    <w:jc w:val="right"/>
                    <w:jc w:val="center"/>
                  </w:pPr>
                  <w:r>
                    <w:t xml:space="preserve">0.08</w:t>
                  </w:r>
                </w:p>
              </w:tc>
            </w:tr>
            <w:tr>
              <w:tc>
                <w:tcPr/>
                <w:p>
                  <w:pPr>
                    <w:pStyle w:val="Compact"/>
                    <w:jc w:val="left"/>
                    <w:jc w:val="center"/>
                  </w:pPr>
                  <w:r>
                    <w:t xml:space="preserve">Top 10, index weights</w:t>
                  </w:r>
                </w:p>
              </w:tc>
              <w:tc>
                <w:tcPr/>
                <w:p>
                  <w:pPr>
                    <w:pStyle w:val="Compact"/>
                    <w:jc w:val="right"/>
                    <w:jc w:val="center"/>
                  </w:pPr>
                  <w:r>
                    <w:t xml:space="preserve">0.35</w:t>
                  </w:r>
                </w:p>
              </w:tc>
              <w:tc>
                <w:tcPr/>
                <w:p>
                  <w:pPr>
                    <w:pStyle w:val="Compact"/>
                    <w:jc w:val="right"/>
                    <w:jc w:val="center"/>
                  </w:pPr>
                  <w:r>
                    <w:t xml:space="preserve">0.24</w:t>
                  </w:r>
                </w:p>
              </w:tc>
              <w:tc>
                <w:tcPr/>
                <w:p>
                  <w:pPr>
                    <w:pStyle w:val="Compact"/>
                    <w:jc w:val="right"/>
                    <w:jc w:val="center"/>
                  </w:pPr>
                  <w:r>
                    <w:t xml:space="preserve">0.31</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bl>
          <w:bookmarkEnd w:id="40"/>
          <w:p/>
        </w:tc>
      </w:tr>
    </w:tbl>
    <w:bookmarkEnd w:id="41"/>
    <w:bookmarkStart w:id="44"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8</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42" w:name="tbl-burden"/>
          <w:p>
            <w:pPr>
              <w:jc w:val="center"/>
            </w:pPr>
            <w:pPr>
              <w:jc w:val="start"/>
              <w:spacing w:before="200"/>
              <w:pStyle w:val="ImageCaption"/>
            </w:pPr>
            <w:r>
              <w:t xml:space="preserve">Table 8: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1.13</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42"/>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9</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calibrates the</w:t>
      </w:r>
      <w:r>
        <w:t xml:space="preserve"> </w:t>
      </w:r>
      <w:r>
        <w:t xml:space="preserve">level of a ranking and does not substitute for a survey.</w:t>
      </w:r>
    </w:p>
    <w:tbl>
      <w:tblPr>
        <w:tblStyle w:val="Table"/>
        <w:tblW w:type="pct" w:w="5000"/>
        <w:tblLayout w:type="fixed"/>
        <w:tblLook w:firstRow="0" w:lastRow="0" w:firstColumn="0" w:lastColumn="0" w:noHBand="0" w:noVBand="0" w:val="0000"/>
      </w:tblPr>
      <w:tblGrid>
        <w:gridCol w:w="7920"/>
      </w:tblGrid>
      <w:tr>
        <w:tc>
          <w:tcPr/>
          <w:bookmarkStart w:id="43" w:name="tbl-anchor"/>
          <w:p>
            <w:pPr>
              <w:jc w:val="center"/>
            </w:pPr>
            <w:pPr>
              <w:jc w:val="start"/>
              <w:spacing w:before="200"/>
              <w:pStyle w:val="ImageCaption"/>
            </w:pPr>
            <w:r>
              <w:t xml:space="preserve">Table 9: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43"/>
          <w:p/>
        </w:tc>
      </w:tr>
    </w:tbl>
    <w:bookmarkEnd w:id="44"/>
    <w:bookmarkStart w:id="46"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10</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5" w:name="tbl-ceiling"/>
          <w:p>
            <w:pPr>
              <w:jc w:val="center"/>
            </w:pPr>
            <w:pPr>
              <w:jc w:val="start"/>
              <w:spacing w:before="200"/>
              <w:pStyle w:val="ImageCaption"/>
            </w:pPr>
            <w:r>
              <w:t xml:space="preserve">Table 10: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0.59</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0.12</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5"/>
          <w:p/>
        </w:tc>
      </w:tr>
    </w:tbl>
    <w:bookmarkEnd w:id="46"/>
    <w:bookmarkStart w:id="48"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11</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0.26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7" w:name="tbl-addons"/>
          <w:p>
            <w:pPr>
              <w:jc w:val="center"/>
            </w:pPr>
            <w:pPr>
              <w:jc w:val="start"/>
              <w:spacing w:before="200"/>
              <w:pStyle w:val="ImageCaption"/>
            </w:pPr>
            <w:r>
              <w:t xml:space="preserve">Table 11: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7"/>
          <w:p/>
        </w:tc>
      </w:tr>
    </w:tbl>
    <w:p>
      <w:pPr>
        <w:pStyle w:val="BodyText"/>
      </w:pPr>
      <w:r>
        <w:t xml:space="preserve">Nor does any other way of setting the index’s weights improve on the</w:t>
      </w:r>
      <w:r>
        <w:t xml:space="preserve"> </w:t>
      </w:r>
      <w:r>
        <w:t xml:space="preserve">pooled marginal correlation inside a surveyed country. The index is the</w:t>
      </w:r>
      <w:r>
        <w:t xml:space="preserve"> </w:t>
      </w:r>
      <w:r>
        <w:t xml:space="preserve">infinite-penalty limit of a ridge regression on the same components, and</w:t>
      </w:r>
      <w:r>
        <w:t xml:space="preserve"> </w:t>
      </w:r>
      <w:r>
        <w:t xml:space="preserve">every point of that family that estimates more joint structure loses:</w:t>
      </w:r>
      <w:r>
        <w:t xml:space="preserve"> </w:t>
      </w:r>
      <w:r>
        <w:t xml:space="preserve">ridge by 0.05 on the concentration in-fill, the elastic net and lasso by</w:t>
      </w:r>
      <w:r>
        <w:t xml:space="preserve"> </w:t>
      </w:r>
      <w:r>
        <w:t xml:space="preserve">0.06, the one-standard-error penalty rule by 0.2 because it returns the null</w:t>
      </w:r>
      <w:r>
        <w:t xml:space="preserve"> </w:t>
      </w:r>
      <w:r>
        <w:t xml:space="preserve">model in a third of cells, and a highly adaptive ridge on the components by</w:t>
      </w:r>
      <w:r>
        <w:t xml:space="preserve"> </w:t>
      </w:r>
      <w:r>
        <w:t xml:space="preserve">0.06 on prevalence (Supplement S1). One variant ties the index exactly</w:t>
      </w:r>
      <w:r>
        <w:t xml:space="preserve"> </w:t>
      </w:r>
      <w:r>
        <w:t xml:space="preserve">in-country and gains 0.03 across borders on both the direct and the</w:t>
      </w:r>
      <w:r>
        <w:t xml:space="preserve"> </w:t>
      </w:r>
      <w:r>
        <w:t xml:space="preserve">cluster-model versions of the survey columns, a decorrelation of the</w:t>
      </w:r>
      <w:r>
        <w:t xml:space="preserve"> </w:t>
      </w:r>
      <w:r>
        <w:t xml:space="preserve">components across domains (better in 11 of 22 transport cells); a soft</w:t>
      </w:r>
      <w:r>
        <w:t xml:space="preserve"> </w:t>
      </w:r>
      <w:r>
        <w:t xml:space="preserve">threshold on the component weights gained as much on the noisier columns and</w:t>
      </w:r>
      <w:r>
        <w:t xml:space="preserve"> </w:t>
      </w:r>
      <w:r>
        <w:t xml:space="preserve">nothing once they were smoothed. The decorrelated index was chosen among</w:t>
      </w:r>
      <w:r>
        <w:t xml:space="preserve"> </w:t>
      </w:r>
      <w:r>
        <w:t xml:space="preserve">twenty-one arms on these same cells and is pre-registered for the next</w:t>
      </w:r>
      <w:r>
        <w:t xml:space="preserve"> </w:t>
      </w:r>
      <w:r>
        <w:t xml:space="preserve">country rather than adopted</w:t>
      </w:r>
      <w:r>
        <w:t xml:space="preserve"> </w:t>
      </w:r>
      <w:r>
        <w:t xml:space="preserve">(</w:t>
      </w:r>
      <w:r>
        <w:rPr>
          <w:rStyle w:val="VerbatimChar"/>
        </w:rPr>
        <w:t xml:space="preserve">results/tables/protocol_v2/weight_sources_summary.csv</w:t>
      </w:r>
      <w:r>
        <w:t xml:space="preserve">).</w:t>
      </w:r>
    </w:p>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8"/>
    <w:bookmarkEnd w:id="49"/>
    <w:bookmarkStart w:id="51"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12</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50" w:name="tbl-changes"/>
          <w:p>
            <w:pPr>
              <w:jc w:val="center"/>
            </w:pPr>
            <w:pPr>
              <w:jc w:val="start"/>
              <w:spacing w:before="200"/>
              <w:pStyle w:val="ImageCaption"/>
            </w:pPr>
            <w:r>
              <w:t xml:space="preserve">Table 12: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0.40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0.26 zero-tuning index, 17 of 22; 0.23 penalised, 19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r>
              <w:tc>
                <w:tcPr/>
                <w:p>
                  <w:pPr>
                    <w:pStyle w:val="Compact"/>
                    <w:jc w:val="left"/>
                    <w:jc w:val="center"/>
                  </w:pPr>
                  <w:r>
                    <w:t xml:space="preserve">DHS-derived district predictors</w:t>
                  </w:r>
                </w:p>
              </w:tc>
              <w:tc>
                <w:tcPr/>
                <w:p>
                  <w:pPr>
                    <w:pStyle w:val="Compact"/>
                    <w:jc w:val="left"/>
                    <w:jc w:val="center"/>
                  </w:pPr>
                  <w:r>
                    <w:t xml:space="preserve">Direct cluster means; 8,104 district cells missing, one cluster per district common</w:t>
                  </w:r>
                </w:p>
              </w:tc>
              <w:tc>
                <w:tcPr/>
                <w:p>
                  <w:pPr>
                    <w:pStyle w:val="Compact"/>
                    <w:jc w:val="left"/>
                    <w:jc w:val="center"/>
                  </w:pPr>
                  <w:r>
                    <w:t xml:space="preserve">Cluster-level BYM2 model at every district for 113 binary indicators per country (surveyPrev, no covariates); in-country unchanged, district transport 0.28 to 0.26 and dropping all survey columns now gains 0.07</w:t>
                  </w:r>
                </w:p>
              </w:tc>
              <w:tc>
                <w:tcPr/>
                <w:p>
                  <w:pPr>
                    <w:pStyle w:val="Compact"/>
                    <w:jc w:val="left"/>
                    <w:jc w:val="center"/>
                  </w:pPr>
                  <w:r>
                    <w:t xml:space="preserve">The DHS estimator, without its covariates</w:t>
                  </w:r>
                </w:p>
              </w:tc>
            </w:tr>
          </w:tbl>
          <w:bookmarkEnd w:id="50"/>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The checks that found them were per-country coverage</w:t>
      </w:r>
      <w:r>
        <w:t xml:space="preserve"> </w:t>
      </w:r>
      <w:r>
        <w:t xml:space="preserve">and per-country cell counts.</w:t>
      </w:r>
    </w:p>
    <w:bookmarkEnd w:id="51"/>
    <w:bookmarkStart w:id="52"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without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52"/>
    <w:bookmarkStart w:id="53"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53"/>
    <w:bookmarkStart w:id="54"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54"/>
    <w:bookmarkStart w:id="55"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5"/>
    <w:bookmarkStart w:id="56"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6"/>
    <w:bookmarkStart w:id="57"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7"/>
    <w:bookmarkStart w:id="67"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62"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2</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61" w:name="fig-individual"/>
          <w:p>
            <w:pPr>
              <w:pStyle w:val="Compact"/>
              <w:jc w:val="center"/>
            </w:pPr>
            <w:r>
              <w:drawing>
                <wp:inline>
                  <wp:extent cx="5334000" cy="2800349"/>
                  <wp:effectExtent b="0" l="0" r="0" t="0"/>
                  <wp:docPr descr="" title="" id="59" name="Picture"/>
                  <a:graphic>
                    <a:graphicData uri="http://schemas.openxmlformats.org/drawingml/2006/picture">
                      <pic:pic>
                        <pic:nvPicPr>
                          <pic:cNvPr descr="manuscript_mcn_v2_files/figure-docx/fig-individual-1.png" id="60" name="Picture"/>
                          <pic:cNvPicPr>
                            <a:picLocks noChangeArrowheads="1" noChangeAspect="1"/>
                          </pic:cNvPicPr>
                        </pic:nvPicPr>
                        <pic:blipFill>
                          <a:blip r:embed="rId58"/>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Person-level SuperLearner, outer 5-fold cross-validation by district: Brier skill over the national prevalence for the survey questionnaire alone, the district proxies alone, and both, by country and outcome.</w:t>
            </w:r>
          </w:p>
          <w:bookmarkEnd w:id="61"/>
        </w:tc>
      </w:tr>
    </w:tbl>
    <w:bookmarkEnd w:id="62"/>
    <w:bookmarkStart w:id="65"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63" w:name="tbl-s1-honesty"/>
          <w:p>
            <w:pPr>
              <w:jc w:val="center"/>
            </w:pPr>
            <w:pPr>
              <w:jc w:val="start"/>
              <w:spacing w:before="200"/>
              <w:pStyle w:val="ImageCaption"/>
            </w:pPr>
            <w:r>
              <w:t xml:space="preserve">Table 13: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s1-error"/>
          <w:p>
            <w:pPr>
              <w:jc w:val="center"/>
            </w:pPr>
            <w:pPr>
              <w:jc w:val="start"/>
              <w:spacing w:before="200"/>
              <w:pStyle w:val="ImageCaption"/>
            </w:pPr>
            <w:r>
              <w:t xml:space="preserve">Table 14: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64"/>
          <w:p/>
        </w:tc>
      </w:tr>
    </w:tbl>
    <w:bookmarkEnd w:id="65"/>
    <w:bookmarkStart w:id="66"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12</w:t>
        </w:r>
      </w:hyperlink>
      <w:r>
        <w:t xml:space="preserve">.</w:t>
      </w:r>
    </w:p>
    <w:bookmarkEnd w:id="66"/>
    <w:bookmarkEnd w:id="67"/>
    <w:bookmarkStart w:id="68"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8"/>
    <w:bookmarkStart w:id="70"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9" w:name="tbl-s3-cells"/>
          <w:p>
            <w:pPr>
              <w:jc w:val="center"/>
            </w:pPr>
            <w:pPr>
              <w:jc w:val="start"/>
              <w:spacing w:before="200"/>
              <w:pStyle w:val="ImageCaption"/>
            </w:pPr>
            <w:r>
              <w:t xml:space="preserve">Table 15: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0.69</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0.75</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0.57</w:t>
                  </w:r>
                </w:p>
              </w:tc>
              <w:tc>
                <w:tcPr/>
                <w:p>
                  <w:pPr>
                    <w:pStyle w:val="Compact"/>
                    <w:jc w:val="right"/>
                    <w:jc w:val="center"/>
                  </w:pPr>
                  <w:r>
                    <w:t xml:space="preserve">0.61</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0.39</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0.61</w:t>
                  </w:r>
                </w:p>
              </w:tc>
              <w:tc>
                <w:tcPr/>
                <w:p>
                  <w:pPr>
                    <w:pStyle w:val="Compact"/>
                    <w:jc w:val="right"/>
                    <w:jc w:val="center"/>
                  </w:pPr>
                  <w:r>
                    <w:t xml:space="preserve">0.22</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0.30</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0.25</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-0.11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0.17</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0.21</w:t>
                  </w:r>
                </w:p>
              </w:tc>
              <w:tc>
                <w:tcPr/>
                <w:p>
                  <w:pPr>
                    <w:pStyle w:val="Compact"/>
                    <w:jc w:val="right"/>
                    <w:jc w:val="center"/>
                  </w:pPr>
                  <w:r>
                    <w:t xml:space="preserve">0.35</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-0.09</w:t>
                  </w:r>
                </w:p>
              </w:tc>
              <w:tc>
                <w:tcPr/>
                <w:p>
                  <w:pPr>
                    <w:pStyle w:val="Compact"/>
                    <w:jc w:val="right"/>
                    <w:jc w:val="center"/>
                  </w:pPr>
                  <w:r>
                    <w:t xml:space="preserve">-0.02</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-0.15</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0.01</w:t>
                  </w:r>
                </w:p>
              </w:tc>
              <w:tc>
                <w:tcPr/>
                <w:p>
                  <w:pPr>
                    <w:pStyle w:val="Compact"/>
                    <w:jc w:val="right"/>
                    <w:jc w:val="center"/>
                  </w:pPr>
                  <w:r>
                    <w:t xml:space="preserve">-0.11</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-0.09</w:t>
                  </w:r>
                </w:p>
              </w:tc>
              <w:tc>
                <w:tcPr/>
                <w:p>
                  <w:pPr>
                    <w:pStyle w:val="Compact"/>
                    <w:jc w:val="right"/>
                    <w:jc w:val="center"/>
                  </w:pPr>
                  <w:r>
                    <w:t xml:space="preserve">-0.07</w:t>
                  </w:r>
                </w:p>
              </w:tc>
            </w:tr>
          </w:tbl>
          <w:bookmarkEnd w:id="69"/>
          <w:p/>
        </w:tc>
      </w:tr>
    </w:tbl>
    <w:bookmarkEnd w:id="70"/>
    <w:bookmarkStart w:id="72" w:name="X931d8d70062060fbdfa0405a2051e1a0c36998d"/>
    <w:p>
      <w:pPr>
        <w:pStyle w:val="Heading1"/>
      </w:pPr>
      <w:r>
        <w:t xml:space="preserve">Supplement S4: the twenty-predictor composites</w:t>
      </w:r>
    </w:p>
    <w:p>
      <w:pPr>
        <w:pStyle w:val="FirstParagraph"/>
      </w:pPr>
      <w:r>
        <w:t xml:space="preserve">The members of each outcome’s composite in the pooled four-country fit on the</w:t>
      </w:r>
      <w:r>
        <w:t xml:space="preserve"> </w:t>
      </w:r>
      <w:r>
        <w:t xml:space="preserve">biomarker level, in order of back-projected weight, with the sign of the</w:t>
      </w:r>
      <w:r>
        <w:t xml:space="preserve"> </w:t>
      </w:r>
      <w:r>
        <w:t xml:space="preserve">contribution (+ means more deficiency). In the benchmark the membership is</w:t>
      </w:r>
      <w:r>
        <w:t xml:space="preserve"> </w:t>
      </w:r>
      <w:r>
        <w:t xml:space="preserve">re-chosen inside every training fold; these are the versions a fifth country</w:t>
      </w:r>
      <w:r>
        <w:t xml:space="preserve"> </w:t>
      </w:r>
      <w:r>
        <w:t xml:space="preserve">would receive. A star marks a member whose sign is not reproduced in every</w:t>
      </w:r>
      <w:r>
        <w:t xml:space="preserve"> </w:t>
      </w:r>
      <w:r>
        <w:t xml:space="preserve">country’s own independent fit.</w:t>
      </w:r>
    </w:p>
    <w:tbl>
      <w:tblPr>
        <w:tblStyle w:val="Table"/>
        <w:tblW w:type="pct" w:w="5000"/>
        <w:tblLayout w:type="fixed"/>
        <w:tblLook w:firstRow="0" w:lastRow="0" w:firstColumn="0" w:lastColumn="0" w:noHBand="0" w:noVBand="0" w:val="0000"/>
      </w:tblPr>
      <w:tblGrid>
        <w:gridCol w:w="7920"/>
      </w:tblGrid>
      <w:tr>
        <w:tc>
          <w:tcPr/>
          <w:bookmarkStart w:id="71" w:name="tbl-s4"/>
          <w:p>
            <w:pPr>
              <w:jc w:val="center"/>
            </w:pPr>
            <w:pPr>
              <w:jc w:val="start"/>
              <w:spacing w:before="200"/>
              <w:pStyle w:val="ImageCaption"/>
            </w:pPr>
            <w:r>
              <w:t xml:space="preserve">Table 16: Twenty-predictor composites by outcome (four-country fit, biomarker level): predictor and sign, in order of weight.</w:t>
            </w:r>
          </w:p>
          <w:tbl>
            <w:tblPr>
              <w:tblStyle w:val="Table"/>
              <w:tblW w:type="pct" w:w="5000"/>
              <w:tblLayout w:type="fixed"/>
              <w:tblLook w:firstRow="1" w:lastRow="0" w:firstColumn="0" w:lastColumn="0" w:noHBand="0" w:noVBand="0" w:val="0020"/>
            </w:tblPr>
            <w:tblGrid>
              <w:gridCol w:w="154"/>
              <w:gridCol w:w="986"/>
              <w:gridCol w:w="955"/>
              <w:gridCol w:w="1633"/>
              <w:gridCol w:w="2188"/>
              <w:gridCol w:w="1047"/>
              <w:gridCol w:w="955"/>
            </w:tblGrid>
            <w:tr>
              <w:trPr>
                <w:tblHeader w:val="on"/>
              </w:trPr>
              <w:tc>
                <w:tcPr/>
                <w:p>
                  <w:pPr>
                    <w:pStyle w:val="Compact"/>
                    <w:jc w:val="right"/>
                    <w:jc w:val="center"/>
                  </w:pPr>
                  <w:r>
                    <w:t xml:space="preserve">Rank</w:t>
                  </w:r>
                </w:p>
              </w:tc>
              <w:tc>
                <w:tcPr/>
                <w:p>
                  <w:pPr>
                    <w:pStyle w:val="Compact"/>
                    <w:jc w:val="left"/>
                    <w:jc w:val="center"/>
                  </w:pPr>
                  <w:r>
                    <w:t xml:space="preserve">Child vitamin A</w:t>
                  </w:r>
                </w:p>
              </w:tc>
              <w:tc>
                <w:tcPr/>
                <w:p>
                  <w:pPr>
                    <w:pStyle w:val="Compact"/>
                    <w:jc w:val="left"/>
                    <w:jc w:val="center"/>
                  </w:pPr>
                  <w:r>
                    <w:t xml:space="preserve">Women’s vitamin A</w:t>
                  </w:r>
                </w:p>
              </w:tc>
              <w:tc>
                <w:tcPr/>
                <w:p>
                  <w:pPr>
                    <w:pStyle w:val="Compact"/>
                    <w:jc w:val="left"/>
                    <w:jc w:val="center"/>
                  </w:pPr>
                  <w:r>
                    <w:t xml:space="preserve">Child iron</w:t>
                  </w:r>
                </w:p>
              </w:tc>
              <w:tc>
                <w:tcPr/>
                <w:p>
                  <w:pPr>
                    <w:pStyle w:val="Compact"/>
                    <w:jc w:val="left"/>
                    <w:jc w:val="center"/>
                  </w:pPr>
                  <w:r>
                    <w:t xml:space="preserve">Women’s iron</w:t>
                  </w:r>
                </w:p>
              </w:tc>
              <w:tc>
                <w:tcPr/>
                <w:p>
                  <w:pPr>
                    <w:pStyle w:val="Compact"/>
                    <w:jc w:val="left"/>
                    <w:jc w:val="center"/>
                  </w:pPr>
                  <w:r>
                    <w:t xml:space="preserve">Women’s folate</w:t>
                  </w:r>
                </w:p>
              </w:tc>
              <w:tc>
                <w:tcPr/>
                <w:p>
                  <w:pPr>
                    <w:pStyle w:val="Compact"/>
                    <w:jc w:val="left"/>
                    <w:jc w:val="center"/>
                  </w:pPr>
                  <w:r>
                    <w:t xml:space="preserve">Women’s B12</w:t>
                  </w:r>
                </w:p>
              </w:tc>
            </w:tr>
            <w:tr>
              <w:tc>
                <w:tcPr/>
                <w:p>
                  <w:pPr>
                    <w:pStyle w:val="Compact"/>
                    <w:jc w:val="right"/>
                    <w:jc w:val="center"/>
                  </w:pPr>
                  <w:r>
                    <w:t xml:space="preserve">1</w:t>
                  </w:r>
                </w:p>
              </w:tc>
              <w:tc>
                <w:tcPr/>
                <w:p>
                  <w:pPr>
                    <w:pStyle w:val="Compact"/>
                    <w:jc w:val="left"/>
                    <w:jc w:val="center"/>
                  </w:pPr>
                  <w:r>
                    <w:t xml:space="preserve">npp_gpp_t0 (-)</w:t>
                  </w:r>
                </w:p>
              </w:tc>
              <w:tc>
                <w:tcPr/>
                <w:p>
                  <w:pPr>
                    <w:pStyle w:val="Compact"/>
                    <w:jc w:val="left"/>
                    <w:jc w:val="center"/>
                  </w:pPr>
                  <w:r>
                    <w:t xml:space="preserve">ihme_underweightprevalence (+)</w:t>
                  </w:r>
                </w:p>
              </w:tc>
              <w:tc>
                <w:tcPr/>
                <w:p>
                  <w:pPr>
                    <w:pStyle w:val="Compact"/>
                    <w:jc w:val="left"/>
                    <w:jc w:val="center"/>
                  </w:pPr>
                  <w:r>
                    <w:t xml:space="preserve">glw_ruminant_share (+)</w:t>
                  </w:r>
                </w:p>
              </w:tc>
              <w:tc>
                <w:tcPr/>
                <w:p>
                  <w:pPr>
                    <w:pStyle w:val="Compact"/>
                    <w:jc w:val="left"/>
                    <w:jc w:val="center"/>
                  </w:pPr>
                  <w:r>
                    <w:t xml:space="preserve">glw_ruminant_share (+)</w:t>
                  </w:r>
                </w:p>
              </w:tc>
              <w:tc>
                <w:tcPr/>
                <w:p>
                  <w:pPr>
                    <w:pStyle w:val="Compact"/>
                    <w:jc w:val="left"/>
                    <w:jc w:val="center"/>
                  </w:pPr>
                  <w:r>
                    <w:t xml:space="preserve">dhs_w_working (-)</w:t>
                  </w:r>
                </w:p>
              </w:tc>
              <w:tc>
                <w:tcPr/>
                <w:p>
                  <w:pPr>
                    <w:pStyle w:val="Compact"/>
                    <w:jc w:val="left"/>
                    <w:jc w:val="center"/>
                  </w:pPr>
                  <w:r>
                    <w:t xml:space="preserve">ihme_stuntingprevalence (+)</w:t>
                  </w:r>
                </w:p>
              </w:tc>
            </w:tr>
            <w:tr>
              <w:tc>
                <w:tcPr/>
                <w:p>
                  <w:pPr>
                    <w:pStyle w:val="Compact"/>
                    <w:jc w:val="right"/>
                    <w:jc w:val="center"/>
                  </w:pPr>
                  <w:r>
                    <w:t xml:space="preserve">2</w:t>
                  </w:r>
                </w:p>
              </w:tc>
              <w:tc>
                <w:tcPr/>
                <w:p>
                  <w:pPr>
                    <w:pStyle w:val="Compact"/>
                    <w:jc w:val="left"/>
                    <w:jc w:val="center"/>
                  </w:pPr>
                  <w:r>
                    <w:t xml:space="preserve">dhs_CN_NUTS_C_HA2 (+*)</w:t>
                  </w:r>
                </w:p>
              </w:tc>
              <w:tc>
                <w:tcPr/>
                <w:p>
                  <w:pPr>
                    <w:pStyle w:val="Compact"/>
                    <w:jc w:val="left"/>
                    <w:jc w:val="center"/>
                  </w:pPr>
                  <w:r>
                    <w:t xml:space="preserve">glw_tlu_per_capita (+*)</w:t>
                  </w:r>
                </w:p>
              </w:tc>
              <w:tc>
                <w:tcPr/>
                <w:p>
                  <w:pPr>
                    <w:pStyle w:val="Compact"/>
                    <w:jc w:val="left"/>
                    <w:jc w:val="center"/>
                  </w:pPr>
                  <w:r>
                    <w:t xml:space="preserve">dhs_w_owns_house (-)</w:t>
                  </w:r>
                </w:p>
              </w:tc>
              <w:tc>
                <w:tcPr/>
                <w:p>
                  <w:pPr>
                    <w:pStyle w:val="Compact"/>
                    <w:jc w:val="left"/>
                    <w:jc w:val="center"/>
                  </w:pPr>
                  <w:r>
                    <w:t xml:space="preserve">glw_pigs_km2 (-)</w:t>
                  </w:r>
                </w:p>
              </w:tc>
              <w:tc>
                <w:tcPr/>
                <w:p>
                  <w:pPr>
                    <w:pStyle w:val="Compact"/>
                    <w:jc w:val="left"/>
                    <w:jc w:val="center"/>
                  </w:pPr>
                  <w:r>
                    <w:t xml:space="preserve">dhs_w_health_insurance (+)</w:t>
                  </w:r>
                </w:p>
              </w:tc>
              <w:tc>
                <w:tcPr/>
                <w:p>
                  <w:pPr>
                    <w:pStyle w:val="Compact"/>
                    <w:jc w:val="left"/>
                    <w:jc w:val="center"/>
                  </w:pPr>
                  <w:r>
                    <w:t xml:space="preserve">ihme_underweightprevalence (+)</w:t>
                  </w:r>
                </w:p>
              </w:tc>
            </w:tr>
            <w:tr>
              <w:tc>
                <w:tcPr/>
                <w:p>
                  <w:pPr>
                    <w:pStyle w:val="Compact"/>
                    <w:jc w:val="right"/>
                    <w:jc w:val="center"/>
                  </w:pPr>
                  <w:r>
                    <w:t xml:space="preserve">3</w:t>
                  </w:r>
                </w:p>
              </w:tc>
              <w:tc>
                <w:tcPr/>
                <w:p>
                  <w:pPr>
                    <w:pStyle w:val="Compact"/>
                    <w:jc w:val="left"/>
                    <w:jc w:val="center"/>
                  </w:pPr>
                  <w:r>
                    <w:t xml:space="preserve">lcover_grass_frac_t0 (+)</w:t>
                  </w:r>
                </w:p>
              </w:tc>
              <w:tc>
                <w:tcPr/>
                <w:p>
                  <w:pPr>
                    <w:pStyle w:val="Compact"/>
                    <w:jc w:val="left"/>
                    <w:jc w:val="center"/>
                  </w:pPr>
                  <w:r>
                    <w:t xml:space="preserve">glw_sheep_km2 (+)</w:t>
                  </w:r>
                </w:p>
              </w:tc>
              <w:tc>
                <w:tcPr/>
                <w:p>
                  <w:pPr>
                    <w:pStyle w:val="Compact"/>
                    <w:jc w:val="left"/>
                    <w:jc w:val="center"/>
                  </w:pPr>
                  <w:r>
                    <w:t xml:space="preserve">dhs_w_birth_interval_short (-)</w:t>
                  </w:r>
                </w:p>
              </w:tc>
              <w:tc>
                <w:tcPr/>
                <w:p>
                  <w:pPr>
                    <w:pStyle w:val="Compact"/>
                    <w:jc w:val="left"/>
                    <w:jc w:val="center"/>
                  </w:pPr>
                  <w:r>
                    <w:t xml:space="preserve">dhs_hh_soap_available (+*)</w:t>
                  </w:r>
                </w:p>
              </w:tc>
              <w:tc>
                <w:tcPr/>
                <w:p>
                  <w:pPr>
                    <w:pStyle w:val="Compact"/>
                    <w:jc w:val="left"/>
                    <w:jc w:val="center"/>
                  </w:pPr>
                  <w:r>
                    <w:t xml:space="preserve">spam_share_oilcrops (-*)</w:t>
                  </w:r>
                </w:p>
              </w:tc>
              <w:tc>
                <w:tcPr/>
                <w:p>
                  <w:pPr>
                    <w:pStyle w:val="Compact"/>
                    <w:jc w:val="left"/>
                    <w:jc w:val="center"/>
                  </w:pPr>
                  <w:r>
                    <w:t xml:space="preserve">glw_tlu_per_capita (+)</w:t>
                  </w:r>
                </w:p>
              </w:tc>
            </w:tr>
            <w:tr>
              <w:tc>
                <w:tcPr/>
                <w:p>
                  <w:pPr>
                    <w:pStyle w:val="Compact"/>
                    <w:jc w:val="right"/>
                    <w:jc w:val="center"/>
                  </w:pPr>
                  <w:r>
                    <w:t xml:space="preserve">4</w:t>
                  </w:r>
                </w:p>
              </w:tc>
              <w:tc>
                <w:tcPr/>
                <w:p>
                  <w:pPr>
                    <w:pStyle w:val="Compact"/>
                    <w:jc w:val="left"/>
                    <w:jc w:val="center"/>
                  </w:pPr>
                  <w:r>
                    <w:t xml:space="preserve">ihme_underweightprevalence (+*)</w:t>
                  </w:r>
                </w:p>
              </w:tc>
              <w:tc>
                <w:tcPr/>
                <w:p>
                  <w:pPr>
                    <w:pStyle w:val="Compact"/>
                    <w:jc w:val="left"/>
                    <w:jc w:val="center"/>
                  </w:pPr>
                  <w:r>
                    <w:t xml:space="preserve">npp_npp_t0 (-*)</w:t>
                  </w:r>
                </w:p>
              </w:tc>
              <w:tc>
                <w:tcPr/>
                <w:p>
                  <w:pPr>
                    <w:pStyle w:val="Compact"/>
                    <w:jc w:val="left"/>
                    <w:jc w:val="center"/>
                  </w:pPr>
                  <w:r>
                    <w:t xml:space="preserve">dhs_w_health_insurance (+*)</w:t>
                  </w:r>
                </w:p>
              </w:tc>
              <w:tc>
                <w:tcPr/>
                <w:p>
                  <w:pPr>
                    <w:pStyle w:val="Compact"/>
                    <w:jc w:val="left"/>
                    <w:jc w:val="center"/>
                  </w:pPr>
                  <w:r>
                    <w:t xml:space="preserve">dhs_FP_CUSA_W_MOD (-*)</w:t>
                  </w:r>
                </w:p>
              </w:tc>
              <w:tc>
                <w:tcPr/>
                <w:p>
                  <w:pPr>
                    <w:pStyle w:val="Compact"/>
                    <w:jc w:val="left"/>
                    <w:jc w:val="center"/>
                  </w:pPr>
                  <w:r>
                    <w:t xml:space="preserve">espen_sth_cov_mean (+)</w:t>
                  </w:r>
                </w:p>
              </w:tc>
              <w:tc>
                <w:tcPr/>
                <w:p>
                  <w:pPr>
                    <w:pStyle w:val="Compact"/>
                    <w:jc w:val="left"/>
                    <w:jc w:val="center"/>
                  </w:pPr>
                  <w:r>
                    <w:t xml:space="preserve">dhs_c_fg_grains (-)</w:t>
                  </w:r>
                </w:p>
              </w:tc>
            </w:tr>
            <w:tr>
              <w:tc>
                <w:tcPr/>
                <w:p>
                  <w:pPr>
                    <w:pStyle w:val="Compact"/>
                    <w:jc w:val="right"/>
                    <w:jc w:val="center"/>
                  </w:pPr>
                  <w:r>
                    <w:t xml:space="preserve">5</w:t>
                  </w:r>
                </w:p>
              </w:tc>
              <w:tc>
                <w:tcPr/>
                <w:p>
                  <w:pPr>
                    <w:pStyle w:val="Compact"/>
                    <w:jc w:val="left"/>
                    <w:jc w:val="center"/>
                  </w:pPr>
                  <w:r>
                    <w:t xml:space="preserve">ihme_stuntingprevalence (+*)</w:t>
                  </w:r>
                </w:p>
              </w:tc>
              <w:tc>
                <w:tcPr/>
                <w:p>
                  <w:pPr>
                    <w:pStyle w:val="Compact"/>
                    <w:jc w:val="left"/>
                    <w:jc w:val="center"/>
                  </w:pPr>
                  <w:r>
                    <w:t xml:space="preserve">lcover_grass_frac_t0 (+*)</w:t>
                  </w:r>
                </w:p>
              </w:tc>
              <w:tc>
                <w:tcPr/>
                <w:p>
                  <w:pPr>
                    <w:pStyle w:val="Compact"/>
                    <w:jc w:val="left"/>
                    <w:jc w:val="center"/>
                  </w:pPr>
                  <w:r>
                    <w:t xml:space="preserve">dhs_w_working (-*)</w:t>
                  </w:r>
                </w:p>
              </w:tc>
              <w:tc>
                <w:tcPr/>
                <w:p>
                  <w:pPr>
                    <w:pStyle w:val="Compact"/>
                    <w:jc w:val="left"/>
                    <w:jc w:val="center"/>
                  </w:pPr>
                  <w:r>
                    <w:t xml:space="preserve">dhs_w_modern_fp (-*)</w:t>
                  </w:r>
                </w:p>
              </w:tc>
              <w:tc>
                <w:tcPr/>
                <w:p>
                  <w:pPr>
                    <w:pStyle w:val="Compact"/>
                    <w:jc w:val="left"/>
                    <w:jc w:val="center"/>
                  </w:pPr>
                  <w:r>
                    <w:t xml:space="preserve">npp_npp_t0 (-*)</w:t>
                  </w:r>
                </w:p>
              </w:tc>
              <w:tc>
                <w:tcPr/>
                <w:p>
                  <w:pPr>
                    <w:pStyle w:val="Compact"/>
                    <w:jc w:val="left"/>
                    <w:jc w:val="center"/>
                  </w:pPr>
                  <w:r>
                    <w:t xml:space="preserve">dhs_CN_NUTS_C_HA2 (+)</w:t>
                  </w:r>
                </w:p>
              </w:tc>
            </w:tr>
            <w:tr>
              <w:tc>
                <w:tcPr/>
                <w:p>
                  <w:pPr>
                    <w:pStyle w:val="Compact"/>
                    <w:jc w:val="right"/>
                    <w:jc w:val="center"/>
                  </w:pPr>
                  <w:r>
                    <w:t xml:space="preserve">6</w:t>
                  </w:r>
                </w:p>
              </w:tc>
              <w:tc>
                <w:tcPr/>
                <w:p>
                  <w:pPr>
                    <w:pStyle w:val="Compact"/>
                    <w:jc w:val="left"/>
                    <w:jc w:val="center"/>
                  </w:pPr>
                  <w:r>
                    <w:t xml:space="preserve">fprice_staple_rel (-*)</w:t>
                  </w:r>
                </w:p>
              </w:tc>
              <w:tc>
                <w:tcPr/>
                <w:p>
                  <w:pPr>
                    <w:pStyle w:val="Compact"/>
                    <w:jc w:val="left"/>
                    <w:jc w:val="center"/>
                  </w:pPr>
                  <w:r>
                    <w:t xml:space="preserve">npp_gpp_t0 (-)</w:t>
                  </w:r>
                </w:p>
              </w:tc>
              <w:tc>
                <w:tcPr/>
                <w:p>
                  <w:pPr>
                    <w:pStyle w:val="Compact"/>
                    <w:jc w:val="left"/>
                    <w:jc w:val="center"/>
                  </w:pPr>
                  <w:r>
                    <w:t xml:space="preserve">spam_share_cereals (+)</w:t>
                  </w:r>
                </w:p>
              </w:tc>
              <w:tc>
                <w:tcPr/>
                <w:p>
                  <w:pPr>
                    <w:pStyle w:val="Compact"/>
                    <w:jc w:val="left"/>
                    <w:jc w:val="center"/>
                  </w:pPr>
                  <w:r>
                    <w:t xml:space="preserve">dhs_w_working (-*)</w:t>
                  </w:r>
                </w:p>
              </w:tc>
              <w:tc>
                <w:tcPr/>
                <w:p>
                  <w:pPr>
                    <w:pStyle w:val="Compact"/>
                    <w:jc w:val="left"/>
                    <w:jc w:val="center"/>
                  </w:pPr>
                  <w:r>
                    <w:t xml:space="preserve">dhs_w_bmi_low (+)</w:t>
                  </w:r>
                </w:p>
              </w:tc>
              <w:tc>
                <w:tcPr/>
                <w:p>
                  <w:pPr>
                    <w:pStyle w:val="Compact"/>
                    <w:jc w:val="left"/>
                    <w:jc w:val="center"/>
                  </w:pPr>
                  <w:r>
                    <w:t xml:space="preserve">dhs_c_fg_legumes (+)</w:t>
                  </w:r>
                </w:p>
              </w:tc>
            </w:tr>
            <w:tr>
              <w:tc>
                <w:tcPr/>
                <w:p>
                  <w:pPr>
                    <w:pStyle w:val="Compact"/>
                    <w:jc w:val="right"/>
                    <w:jc w:val="center"/>
                  </w:pPr>
                  <w:r>
                    <w:t xml:space="preserve">7</w:t>
                  </w:r>
                </w:p>
              </w:tc>
              <w:tc>
                <w:tcPr/>
                <w:p>
                  <w:pPr>
                    <w:pStyle w:val="Compact"/>
                    <w:jc w:val="left"/>
                    <w:jc w:val="center"/>
                  </w:pPr>
                  <w:r>
                    <w:t xml:space="preserve">npp_npp_t0 (-)</w:t>
                  </w:r>
                </w:p>
              </w:tc>
              <w:tc>
                <w:tcPr/>
                <w:p>
                  <w:pPr>
                    <w:pStyle w:val="Compact"/>
                    <w:jc w:val="left"/>
                    <w:jc w:val="center"/>
                  </w:pPr>
                  <w:r>
                    <w:t xml:space="preserve">ihme_stuntingprevalence (+*)</w:t>
                  </w:r>
                </w:p>
              </w:tc>
              <w:tc>
                <w:tcPr/>
                <w:p>
                  <w:pPr>
                    <w:pStyle w:val="Compact"/>
                    <w:jc w:val="left"/>
                    <w:jc w:val="center"/>
                  </w:pPr>
                  <w:r>
                    <w:t xml:space="preserve">fprice_staple_rel (-)</w:t>
                  </w:r>
                </w:p>
              </w:tc>
              <w:tc>
                <w:tcPr/>
                <w:p>
                  <w:pPr>
                    <w:pStyle w:val="Compact"/>
                    <w:jc w:val="left"/>
                    <w:jc w:val="center"/>
                  </w:pPr>
                  <w:r>
                    <w:t xml:space="preserve">soil_phosphorus_stdev_0_20 (+*)</w:t>
                  </w:r>
                </w:p>
              </w:tc>
              <w:tc>
                <w:tcPr/>
                <w:p>
                  <w:pPr>
                    <w:pStyle w:val="Compact"/>
                    <w:jc w:val="left"/>
                    <w:jc w:val="center"/>
                  </w:pPr>
                  <w:r>
                    <w:t xml:space="preserve">dhs_AN_NUTS_W_THN (+)</w:t>
                  </w:r>
                </w:p>
              </w:tc>
              <w:tc>
                <w:tcPr/>
                <w:p>
                  <w:pPr>
                    <w:pStyle w:val="Compact"/>
                    <w:jc w:val="left"/>
                    <w:jc w:val="center"/>
                  </w:pPr>
                  <w:r>
                    <w:t xml:space="preserve">lcover_crops_frac_t0 (+)</w:t>
                  </w:r>
                </w:p>
              </w:tc>
            </w:tr>
            <w:tr>
              <w:tc>
                <w:tcPr/>
                <w:p>
                  <w:pPr>
                    <w:pStyle w:val="Compact"/>
                    <w:jc w:val="right"/>
                    <w:jc w:val="center"/>
                  </w:pPr>
                  <w:r>
                    <w:t xml:space="preserve">8</w:t>
                  </w:r>
                </w:p>
              </w:tc>
              <w:tc>
                <w:tcPr/>
                <w:p>
                  <w:pPr>
                    <w:pStyle w:val="Compact"/>
                    <w:jc w:val="left"/>
                    <w:jc w:val="center"/>
                  </w:pPr>
                  <w:r>
                    <w:t xml:space="preserve">dhs_CN_NUTS_C_WH2 (+)</w:t>
                  </w:r>
                </w:p>
              </w:tc>
              <w:tc>
                <w:tcPr/>
                <w:p>
                  <w:pPr>
                    <w:pStyle w:val="Compact"/>
                    <w:jc w:val="left"/>
                    <w:jc w:val="center"/>
                  </w:pPr>
                  <w:r>
                    <w:t xml:space="preserve">dhs_CN_NUTS_C_WH2 (+)</w:t>
                  </w:r>
                </w:p>
              </w:tc>
              <w:tc>
                <w:tcPr/>
                <w:p>
                  <w:pPr>
                    <w:pStyle w:val="Compact"/>
                    <w:jc w:val="left"/>
                    <w:jc w:val="center"/>
                  </w:pPr>
                  <w:r>
                    <w:t xml:space="preserve">map_blooddisorders201201africahbcallelefrequency (+)</w:t>
                  </w:r>
                </w:p>
              </w:tc>
              <w:tc>
                <w:tcPr/>
                <w:p>
                  <w:pPr>
                    <w:pStyle w:val="Compact"/>
                    <w:jc w:val="left"/>
                    <w:jc w:val="center"/>
                  </w:pPr>
                  <w:r>
                    <w:t xml:space="preserve">ihme_severeanemia (+)</w:t>
                  </w:r>
                </w:p>
              </w:tc>
              <w:tc>
                <w:tcPr/>
                <w:p>
                  <w:pPr>
                    <w:pStyle w:val="Compact"/>
                    <w:jc w:val="left"/>
                    <w:jc w:val="center"/>
                  </w:pPr>
                  <w:r>
                    <w:t xml:space="preserve">fprice_staple_rel (-*)</w:t>
                  </w:r>
                </w:p>
              </w:tc>
              <w:tc>
                <w:tcPr/>
                <w:p>
                  <w:pPr>
                    <w:pStyle w:val="Compact"/>
                    <w:jc w:val="left"/>
                    <w:jc w:val="center"/>
                  </w:pPr>
                  <w:r>
                    <w:t xml:space="preserve">wapor_sd_t0 (+)</w:t>
                  </w:r>
                </w:p>
              </w:tc>
            </w:tr>
            <w:tr>
              <w:tc>
                <w:tcPr/>
                <w:p>
                  <w:pPr>
                    <w:pStyle w:val="Compact"/>
                    <w:jc w:val="right"/>
                    <w:jc w:val="center"/>
                  </w:pPr>
                  <w:r>
                    <w:t xml:space="preserve">9</w:t>
                  </w:r>
                </w:p>
              </w:tc>
              <w:tc>
                <w:tcPr/>
                <w:p>
                  <w:pPr>
                    <w:pStyle w:val="Compact"/>
                    <w:jc w:val="left"/>
                    <w:jc w:val="center"/>
                  </w:pPr>
                  <w:r>
                    <w:t xml:space="preserve">dhs_w_no_education (+*)</w:t>
                  </w:r>
                </w:p>
              </w:tc>
              <w:tc>
                <w:tcPr/>
                <w:p>
                  <w:pPr>
                    <w:pStyle w:val="Compact"/>
                    <w:jc w:val="left"/>
                    <w:jc w:val="center"/>
                  </w:pPr>
                  <w:r>
                    <w:t xml:space="preserve">dhs_w_height_low (-)</w:t>
                  </w:r>
                </w:p>
              </w:tc>
              <w:tc>
                <w:tcPr/>
                <w:p>
                  <w:pPr>
                    <w:pStyle w:val="Compact"/>
                    <w:jc w:val="left"/>
                    <w:jc w:val="center"/>
                  </w:pPr>
                  <w:r>
                    <w:t xml:space="preserve">glw_cattle_km2 (+)</w:t>
                  </w:r>
                </w:p>
              </w:tc>
              <w:tc>
                <w:tcPr/>
                <w:p>
                  <w:pPr>
                    <w:pStyle w:val="Compact"/>
                    <w:jc w:val="left"/>
                    <w:jc w:val="center"/>
                  </w:pPr>
                  <w:r>
                    <w:t xml:space="preserve">ihme_allanemia (+*)</w:t>
                  </w:r>
                </w:p>
              </w:tc>
              <w:tc>
                <w:tcPr/>
                <w:p>
                  <w:pPr>
                    <w:pStyle w:val="Compact"/>
                    <w:jc w:val="left"/>
                    <w:jc w:val="center"/>
                  </w:pPr>
                  <w:r>
                    <w:t xml:space="preserve">tclim_pdsi_t0 (-)</w:t>
                  </w:r>
                </w:p>
              </w:tc>
              <w:tc>
                <w:tcPr/>
                <w:p>
                  <w:pPr>
                    <w:pStyle w:val="Compact"/>
                    <w:jc w:val="left"/>
                    <w:jc w:val="center"/>
                  </w:pPr>
                  <w:r>
                    <w:t xml:space="preserve">dhs_CN_BRFS_C_EXB (+)</w:t>
                  </w:r>
                </w:p>
              </w:tc>
            </w:tr>
            <w:tr>
              <w:tc>
                <w:tcPr/>
                <w:p>
                  <w:pPr>
                    <w:pStyle w:val="Compact"/>
                    <w:jc w:val="right"/>
                    <w:jc w:val="center"/>
                  </w:pPr>
                  <w:r>
                    <w:t xml:space="preserve">10</w:t>
                  </w:r>
                </w:p>
              </w:tc>
              <w:tc>
                <w:tcPr/>
                <w:p>
                  <w:pPr>
                    <w:pStyle w:val="Compact"/>
                    <w:jc w:val="left"/>
                    <w:jc w:val="center"/>
                  </w:pPr>
                  <w:r>
                    <w:t xml:space="preserve">dhs_w_primary_edu (-*)</w:t>
                  </w:r>
                </w:p>
              </w:tc>
              <w:tc>
                <w:tcPr/>
                <w:p>
                  <w:pPr>
                    <w:pStyle w:val="Compact"/>
                    <w:jc w:val="left"/>
                    <w:jc w:val="center"/>
                  </w:pPr>
                  <w:r>
                    <w:t xml:space="preserve">fprice_staple_rel (-)</w:t>
                  </w:r>
                </w:p>
              </w:tc>
              <w:tc>
                <w:tcPr/>
                <w:p>
                  <w:pPr>
                    <w:pStyle w:val="Compact"/>
                    <w:jc w:val="left"/>
                    <w:jc w:val="center"/>
                  </w:pPr>
                  <w:r>
                    <w:t xml:space="preserve">dhs_FP_CUSA_W_MOD (-)</w:t>
                  </w:r>
                </w:p>
              </w:tc>
              <w:tc>
                <w:tcPr/>
                <w:p>
                  <w:pPr>
                    <w:pStyle w:val="Compact"/>
                    <w:jc w:val="left"/>
                    <w:jc w:val="center"/>
                  </w:pPr>
                  <w:r>
                    <w:t xml:space="preserve">dhs_w_barrier_permission (-*)</w:t>
                  </w:r>
                </w:p>
              </w:tc>
              <w:tc>
                <w:tcPr/>
                <w:p>
                  <w:pPr>
                    <w:pStyle w:val="Compact"/>
                    <w:jc w:val="left"/>
                    <w:jc w:val="center"/>
                  </w:pPr>
                  <w:r>
                    <w:t xml:space="preserve">dhs_c_fg_roots (+*)</w:t>
                  </w:r>
                </w:p>
              </w:tc>
              <w:tc>
                <w:tcPr/>
                <w:p>
                  <w:pPr>
                    <w:pStyle w:val="Compact"/>
                    <w:jc w:val="left"/>
                    <w:jc w:val="center"/>
                  </w:pPr>
                  <w:r>
                    <w:t xml:space="preserve">grassland_frac (+)</w:t>
                  </w:r>
                </w:p>
              </w:tc>
            </w:tr>
            <w:tr>
              <w:tc>
                <w:tcPr/>
                <w:p>
                  <w:pPr>
                    <w:pStyle w:val="Compact"/>
                    <w:jc w:val="right"/>
                    <w:jc w:val="center"/>
                  </w:pPr>
                  <w:r>
                    <w:t xml:space="preserve">11</w:t>
                  </w:r>
                </w:p>
              </w:tc>
              <w:tc>
                <w:tcPr/>
                <w:p>
                  <w:pPr>
                    <w:pStyle w:val="Compact"/>
                    <w:jc w:val="left"/>
                    <w:jc w:val="center"/>
                  </w:pPr>
                  <w:r>
                    <w:t xml:space="preserve">wpop_share_under5 (+)</w:t>
                  </w:r>
                </w:p>
              </w:tc>
              <w:tc>
                <w:tcPr/>
                <w:p>
                  <w:pPr>
                    <w:pStyle w:val="Compact"/>
                    <w:jc w:val="left"/>
                    <w:jc w:val="center"/>
                  </w:pPr>
                  <w:r>
                    <w:t xml:space="preserve">dhs_w_primary_edu (-*)</w:t>
                  </w:r>
                </w:p>
              </w:tc>
              <w:tc>
                <w:tcPr/>
                <w:p>
                  <w:pPr>
                    <w:pStyle w:val="Compact"/>
                    <w:jc w:val="left"/>
                    <w:jc w:val="center"/>
                  </w:pPr>
                  <w:r>
                    <w:t xml:space="preserve">dhs_w_modern_fp (-)</w:t>
                  </w:r>
                </w:p>
              </w:tc>
              <w:tc>
                <w:tcPr/>
                <w:p>
                  <w:pPr>
                    <w:pStyle w:val="Compact"/>
                    <w:jc w:val="left"/>
                    <w:jc w:val="center"/>
                  </w:pPr>
                  <w:r>
                    <w:t xml:space="preserve">ihme_moderateanemia (+*)</w:t>
                  </w:r>
                </w:p>
              </w:tc>
              <w:tc>
                <w:tcPr/>
                <w:p>
                  <w:pPr>
                    <w:pStyle w:val="Compact"/>
                    <w:jc w:val="left"/>
                    <w:jc w:val="center"/>
                  </w:pPr>
                  <w:r>
                    <w:t xml:space="preserve">wdist_perm_km_mean (-)</w:t>
                  </w:r>
                </w:p>
              </w:tc>
              <w:tc>
                <w:tcPr/>
                <w:p>
                  <w:pPr>
                    <w:pStyle w:val="Compact"/>
                    <w:jc w:val="left"/>
                    <w:jc w:val="center"/>
                  </w:pPr>
                  <w:r>
                    <w:t xml:space="preserve">dhs_c_deworm_6mo (-)</w:t>
                  </w:r>
                </w:p>
              </w:tc>
            </w:tr>
            <w:tr>
              <w:tc>
                <w:tcPr/>
                <w:p>
                  <w:pPr>
                    <w:pStyle w:val="Compact"/>
                    <w:jc w:val="right"/>
                    <w:jc w:val="center"/>
                  </w:pPr>
                  <w:r>
                    <w:t xml:space="preserve">12</w:t>
                  </w:r>
                </w:p>
              </w:tc>
              <w:tc>
                <w:tcPr/>
                <w:p>
                  <w:pPr>
                    <w:pStyle w:val="Compact"/>
                    <w:jc w:val="left"/>
                    <w:jc w:val="center"/>
                  </w:pPr>
                  <w:r>
                    <w:t xml:space="preserve">wpop_dependency_ratio (+)</w:t>
                  </w:r>
                </w:p>
              </w:tc>
              <w:tc>
                <w:tcPr/>
                <w:p>
                  <w:pPr>
                    <w:pStyle w:val="Compact"/>
                    <w:jc w:val="left"/>
                    <w:jc w:val="center"/>
                  </w:pPr>
                  <w:r>
                    <w:t xml:space="preserve">dhs_w_no_education (+*)</w:t>
                  </w:r>
                </w:p>
              </w:tc>
              <w:tc>
                <w:tcPr/>
                <w:p>
                  <w:pPr>
                    <w:pStyle w:val="Compact"/>
                    <w:jc w:val="left"/>
                    <w:jc w:val="center"/>
                  </w:pPr>
                  <w:r>
                    <w:t xml:space="preserve">npp_npp_t0 (-)</w:t>
                  </w:r>
                </w:p>
              </w:tc>
              <w:tc>
                <w:tcPr/>
                <w:p>
                  <w:pPr>
                    <w:pStyle w:val="Compact"/>
                    <w:jc w:val="left"/>
                    <w:jc w:val="center"/>
                  </w:pPr>
                  <w:r>
                    <w:t xml:space="preserve">ihme_mildanemia (+*)</w:t>
                  </w:r>
                </w:p>
              </w:tc>
              <w:tc>
                <w:tcPr/>
                <w:p>
                  <w:pPr>
                    <w:pStyle w:val="Compact"/>
                    <w:jc w:val="left"/>
                    <w:jc w:val="center"/>
                  </w:pPr>
                  <w:r>
                    <w:t xml:space="preserve">ihme_severeanemia (+*)</w:t>
                  </w:r>
                </w:p>
              </w:tc>
              <w:tc>
                <w:tcPr/>
                <w:p>
                  <w:pPr>
                    <w:pStyle w:val="Compact"/>
                    <w:jc w:val="left"/>
                    <w:jc w:val="center"/>
                  </w:pPr>
                  <w:r>
                    <w:t xml:space="preserve">elevation (+*)</w:t>
                  </w:r>
                </w:p>
              </w:tc>
            </w:tr>
            <w:tr>
              <w:tc>
                <w:tcPr/>
                <w:p>
                  <w:pPr>
                    <w:pStyle w:val="Compact"/>
                    <w:jc w:val="right"/>
                    <w:jc w:val="center"/>
                  </w:pPr>
                  <w:r>
                    <w:t xml:space="preserve">13</w:t>
                  </w:r>
                </w:p>
              </w:tc>
              <w:tc>
                <w:tcPr/>
                <w:p>
                  <w:pPr>
                    <w:pStyle w:val="Compact"/>
                    <w:jc w:val="left"/>
                    <w:jc w:val="center"/>
                  </w:pPr>
                  <w:r>
                    <w:t xml:space="preserve">wapor_sd_t0 (+*)</w:t>
                  </w:r>
                </w:p>
              </w:tc>
              <w:tc>
                <w:tcPr/>
                <w:p>
                  <w:pPr>
                    <w:pStyle w:val="Compact"/>
                    <w:jc w:val="left"/>
                    <w:jc w:val="center"/>
                  </w:pPr>
                  <w:r>
                    <w:t xml:space="preserve">dhs_CN_BRFS_C_EXB (+*)</w:t>
                  </w:r>
                </w:p>
              </w:tc>
              <w:tc>
                <w:tcPr/>
                <w:p>
                  <w:pPr>
                    <w:pStyle w:val="Compact"/>
                    <w:jc w:val="left"/>
                    <w:jc w:val="center"/>
                  </w:pPr>
                  <w:r>
                    <w:t xml:space="preserve">soil_phosphorus_stdev_0_20 (+*)</w:t>
                  </w:r>
                </w:p>
              </w:tc>
              <w:tc>
                <w:tcPr/>
                <w:p>
                  <w:pPr>
                    <w:pStyle w:val="Compact"/>
                    <w:jc w:val="left"/>
                    <w:jc w:val="center"/>
                  </w:pPr>
                  <w:r>
                    <w:t xml:space="preserve">dhs_w_owns_house (-)</w:t>
                  </w:r>
                </w:p>
              </w:tc>
              <w:tc>
                <w:tcPr/>
                <w:p>
                  <w:pPr>
                    <w:pStyle w:val="Compact"/>
                    <w:jc w:val="left"/>
                    <w:jc w:val="center"/>
                  </w:pPr>
                  <w:r>
                    <w:t xml:space="preserve">ihme_allanemia (+)</w:t>
                  </w:r>
                </w:p>
              </w:tc>
              <w:tc>
                <w:tcPr/>
                <w:p>
                  <w:pPr>
                    <w:pStyle w:val="Compact"/>
                    <w:jc w:val="left"/>
                    <w:jc w:val="center"/>
                  </w:pPr>
                  <w:r>
                    <w:t xml:space="preserve">dhs_hh_agland_ha (+)</w:t>
                  </w:r>
                </w:p>
              </w:tc>
            </w:tr>
            <w:tr>
              <w:tc>
                <w:tcPr/>
                <w:p>
                  <w:pPr>
                    <w:pStyle w:val="Compact"/>
                    <w:jc w:val="right"/>
                    <w:jc w:val="center"/>
                  </w:pPr>
                  <w:r>
                    <w:t xml:space="preserve">14</w:t>
                  </w:r>
                </w:p>
              </w:tc>
              <w:tc>
                <w:tcPr/>
                <w:p>
                  <w:pPr>
                    <w:pStyle w:val="Compact"/>
                    <w:jc w:val="left"/>
                    <w:jc w:val="center"/>
                  </w:pPr>
                  <w:r>
                    <w:t xml:space="preserve">ihme_wastingprevalence (+)</w:t>
                  </w:r>
                </w:p>
              </w:tc>
              <w:tc>
                <w:tcPr/>
                <w:p>
                  <w:pPr>
                    <w:pStyle w:val="Compact"/>
                    <w:jc w:val="left"/>
                    <w:jc w:val="center"/>
                  </w:pPr>
                  <w:r>
                    <w:t xml:space="preserve">dhs_c_wasted (+)</w:t>
                  </w:r>
                </w:p>
              </w:tc>
              <w:tc>
                <w:tcPr/>
                <w:p>
                  <w:pPr>
                    <w:pStyle w:val="Compact"/>
                    <w:jc w:val="left"/>
                    <w:jc w:val="center"/>
                  </w:pPr>
                  <w:r>
                    <w:t xml:space="preserve">dhs_hh_soap_available (+*)</w:t>
                  </w:r>
                </w:p>
              </w:tc>
              <w:tc>
                <w:tcPr/>
                <w:p>
                  <w:pPr>
                    <w:pStyle w:val="Compact"/>
                    <w:jc w:val="left"/>
                    <w:jc w:val="center"/>
                  </w:pPr>
                  <w:r>
                    <w:t xml:space="preserve">dhs_hh_handwash_facility (+*)</w:t>
                  </w:r>
                </w:p>
              </w:tc>
              <w:tc>
                <w:tcPr/>
                <w:p>
                  <w:pPr>
                    <w:pStyle w:val="Compact"/>
                    <w:jc w:val="left"/>
                    <w:jc w:val="center"/>
                  </w:pPr>
                  <w:r>
                    <w:t xml:space="preserve">lcover_water_seasonal_frac_t0 (+)</w:t>
                  </w:r>
                </w:p>
              </w:tc>
              <w:tc>
                <w:tcPr/>
                <w:p>
                  <w:pPr>
                    <w:pStyle w:val="Compact"/>
                    <w:jc w:val="left"/>
                    <w:jc w:val="center"/>
                  </w:pPr>
                  <w:r>
                    <w:t xml:space="preserve">wdist_coast_km_mean (+)</w:t>
                  </w:r>
                </w:p>
              </w:tc>
            </w:tr>
            <w:tr>
              <w:tc>
                <w:tcPr/>
                <w:p>
                  <w:pPr>
                    <w:pStyle w:val="Compact"/>
                    <w:jc w:val="right"/>
                    <w:jc w:val="center"/>
                  </w:pPr>
                  <w:r>
                    <w:t xml:space="preserve">15</w:t>
                  </w:r>
                </w:p>
              </w:tc>
              <w:tc>
                <w:tcPr/>
                <w:p>
                  <w:pPr>
                    <w:pStyle w:val="Compact"/>
                    <w:jc w:val="left"/>
                    <w:jc w:val="center"/>
                  </w:pPr>
                  <w:r>
                    <w:t xml:space="preserve">glw_ruminant_share (+)</w:t>
                  </w:r>
                </w:p>
              </w:tc>
              <w:tc>
                <w:tcPr/>
                <w:p>
                  <w:pPr>
                    <w:pStyle w:val="Compact"/>
                    <w:jc w:val="left"/>
                    <w:jc w:val="center"/>
                  </w:pPr>
                  <w:r>
                    <w:t xml:space="preserve">dhs_ML_NETP_H_IT2 (-*)</w:t>
                  </w:r>
                </w:p>
              </w:tc>
              <w:tc>
                <w:tcPr/>
                <w:p>
                  <w:pPr>
                    <w:pStyle w:val="Compact"/>
                    <w:jc w:val="left"/>
                    <w:jc w:val="center"/>
                  </w:pPr>
                  <w:r>
                    <w:t xml:space="preserve">npp_gpp_t0 (-)</w:t>
                  </w:r>
                </w:p>
              </w:tc>
              <w:tc>
                <w:tcPr/>
                <w:p>
                  <w:pPr>
                    <w:pStyle w:val="Compact"/>
                    <w:jc w:val="left"/>
                    <w:jc w:val="center"/>
                  </w:pPr>
                  <w:r>
                    <w:t xml:space="preserve">dhs_hh_mean_hhsize (+)</w:t>
                  </w:r>
                </w:p>
              </w:tc>
              <w:tc>
                <w:tcPr/>
                <w:p>
                  <w:pPr>
                    <w:pStyle w:val="Compact"/>
                    <w:jc w:val="left"/>
                    <w:jc w:val="center"/>
                  </w:pPr>
                  <w:r>
                    <w:t xml:space="preserve">ihme_moderateanemia (+)</w:t>
                  </w:r>
                </w:p>
              </w:tc>
              <w:tc>
                <w:tcPr/>
                <w:p>
                  <w:pPr>
                    <w:pStyle w:val="Compact"/>
                    <w:jc w:val="left"/>
                    <w:jc w:val="center"/>
                  </w:pPr>
                  <w:r>
                    <w:t xml:space="preserve">npp_gpp_t0 (-)</w:t>
                  </w:r>
                </w:p>
              </w:tc>
            </w:tr>
            <w:tr>
              <w:tc>
                <w:tcPr/>
                <w:p>
                  <w:pPr>
                    <w:pStyle w:val="Compact"/>
                    <w:jc w:val="right"/>
                    <w:jc w:val="center"/>
                  </w:pPr>
                  <w:r>
                    <w:t xml:space="preserve">16</w:t>
                  </w:r>
                </w:p>
              </w:tc>
              <w:tc>
                <w:tcPr/>
                <w:p>
                  <w:pPr>
                    <w:pStyle w:val="Compact"/>
                    <w:jc w:val="left"/>
                    <w:jc w:val="center"/>
                  </w:pPr>
                  <w:r>
                    <w:t xml:space="preserve">aef_A54 (-)</w:t>
                  </w:r>
                </w:p>
              </w:tc>
              <w:tc>
                <w:tcPr/>
                <w:p>
                  <w:pPr>
                    <w:pStyle w:val="Compact"/>
                    <w:jc w:val="left"/>
                    <w:jc w:val="center"/>
                  </w:pPr>
                  <w:r>
                    <w:t xml:space="preserve">ihme_wastingprevalence (+*)</w:t>
                  </w:r>
                </w:p>
              </w:tc>
              <w:tc>
                <w:tcPr/>
                <w:p>
                  <w:pPr>
                    <w:pStyle w:val="Compact"/>
                    <w:jc w:val="left"/>
                    <w:jc w:val="center"/>
                  </w:pPr>
                  <w:r>
                    <w:t xml:space="preserve">dhs_w_bmi_low (+*)</w:t>
                  </w:r>
                </w:p>
              </w:tc>
              <w:tc>
                <w:tcPr/>
                <w:p>
                  <w:pPr>
                    <w:pStyle w:val="Compact"/>
                    <w:jc w:val="left"/>
                    <w:jc w:val="center"/>
                  </w:pPr>
                  <w:r>
                    <w:t xml:space="preserve">glw_sheep_km2 (+)</w:t>
                  </w:r>
                </w:p>
              </w:tc>
              <w:tc>
                <w:tcPr/>
                <w:p>
                  <w:pPr>
                    <w:pStyle w:val="Compact"/>
                    <w:jc w:val="left"/>
                    <w:jc w:val="center"/>
                  </w:pPr>
                  <w:r>
                    <w:t xml:space="preserve">elevation (-*)</w:t>
                  </w:r>
                </w:p>
              </w:tc>
              <w:tc>
                <w:tcPr/>
                <w:p>
                  <w:pPr>
                    <w:pStyle w:val="Compact"/>
                    <w:jc w:val="left"/>
                    <w:jc w:val="center"/>
                  </w:pPr>
                  <w:r>
                    <w:t xml:space="preserve">fprice_staple_rel (-*)</w:t>
                  </w:r>
                </w:p>
              </w:tc>
            </w:tr>
            <w:tr>
              <w:tc>
                <w:tcPr/>
                <w:p>
                  <w:pPr>
                    <w:pStyle w:val="Compact"/>
                    <w:jc w:val="right"/>
                    <w:jc w:val="center"/>
                  </w:pPr>
                  <w:r>
                    <w:t xml:space="preserve">17</w:t>
                  </w:r>
                </w:p>
              </w:tc>
              <w:tc>
                <w:tcPr/>
                <w:p>
                  <w:pPr>
                    <w:pStyle w:val="Compact"/>
                    <w:jc w:val="left"/>
                    <w:jc w:val="center"/>
                  </w:pPr>
                  <w:r>
                    <w:t xml:space="preserve">glw_tlu_per_capita (+*)</w:t>
                  </w:r>
                </w:p>
              </w:tc>
              <w:tc>
                <w:tcPr/>
                <w:p>
                  <w:pPr>
                    <w:pStyle w:val="Compact"/>
                    <w:jc w:val="left"/>
                    <w:jc w:val="center"/>
                  </w:pPr>
                  <w:r>
                    <w:t xml:space="preserve">dhs_hh_horses_any (+*)</w:t>
                  </w:r>
                </w:p>
              </w:tc>
              <w:tc>
                <w:tcPr/>
                <w:p>
                  <w:pPr>
                    <w:pStyle w:val="Compact"/>
                    <w:jc w:val="left"/>
                    <w:jc w:val="center"/>
                  </w:pPr>
                  <w:r>
                    <w:t xml:space="preserve">dhs_AN_NUTS_W_THN (+*)</w:t>
                  </w:r>
                </w:p>
              </w:tc>
              <w:tc>
                <w:tcPr/>
                <w:p>
                  <w:pPr>
                    <w:pStyle w:val="Compact"/>
                    <w:jc w:val="left"/>
                    <w:jc w:val="center"/>
                  </w:pPr>
                  <w:r>
                    <w:t xml:space="preserve">map_blooddisorders201201globalsicklehaemoglobinhbsallelefrequency (+*)</w:t>
                  </w:r>
                </w:p>
              </w:tc>
              <w:tc>
                <w:tcPr/>
                <w:p>
                  <w:pPr>
                    <w:pStyle w:val="Compact"/>
                    <w:jc w:val="left"/>
                    <w:jc w:val="center"/>
                  </w:pPr>
                  <w:r>
                    <w:t xml:space="preserve">wdist_any_km_mean (-)</w:t>
                  </w:r>
                </w:p>
              </w:tc>
              <w:tc>
                <w:tcPr/>
                <w:p>
                  <w:pPr>
                    <w:pStyle w:val="Compact"/>
                    <w:jc w:val="left"/>
                    <w:jc w:val="center"/>
                  </w:pPr>
                  <w:r>
                    <w:t xml:space="preserve">ihme_ebfprevalence (+)</w:t>
                  </w:r>
                </w:p>
              </w:tc>
            </w:tr>
            <w:tr>
              <w:tc>
                <w:tcPr/>
                <w:p>
                  <w:pPr>
                    <w:pStyle w:val="Compact"/>
                    <w:jc w:val="right"/>
                    <w:jc w:val="center"/>
                  </w:pPr>
                  <w:r>
                    <w:t xml:space="preserve">18</w:t>
                  </w:r>
                </w:p>
              </w:tc>
              <w:tc>
                <w:tcPr/>
                <w:p>
                  <w:pPr>
                    <w:pStyle w:val="Compact"/>
                    <w:jc w:val="left"/>
                    <w:jc w:val="center"/>
                  </w:pPr>
                  <w:r>
                    <w:t xml:space="preserve">lcover_crops_frac_t0 (+)</w:t>
                  </w:r>
                </w:p>
              </w:tc>
              <w:tc>
                <w:tcPr/>
                <w:p>
                  <w:pPr>
                    <w:pStyle w:val="Compact"/>
                    <w:jc w:val="left"/>
                    <w:jc w:val="center"/>
                  </w:pPr>
                  <w:r>
                    <w:t xml:space="preserve">dhs_c_fg_legumes (+*)</w:t>
                  </w:r>
                </w:p>
              </w:tc>
              <w:tc>
                <w:tcPr/>
                <w:p>
                  <w:pPr>
                    <w:pStyle w:val="Compact"/>
                    <w:jc w:val="left"/>
                    <w:jc w:val="center"/>
                  </w:pPr>
                  <w:r>
                    <w:t xml:space="preserve">map_sy_pf_parasite_rate (-*)</w:t>
                  </w:r>
                </w:p>
              </w:tc>
              <w:tc>
                <w:tcPr/>
                <w:p>
                  <w:pPr>
                    <w:pStyle w:val="Compact"/>
                    <w:jc w:val="left"/>
                    <w:jc w:val="center"/>
                  </w:pPr>
                  <w:r>
                    <w:t xml:space="preserve">map_sy_pf_mortality_rate (-)</w:t>
                  </w:r>
                </w:p>
              </w:tc>
              <w:tc>
                <w:tcPr/>
                <w:p>
                  <w:pPr>
                    <w:pStyle w:val="Compact"/>
                    <w:jc w:val="left"/>
                    <w:jc w:val="center"/>
                  </w:pPr>
                  <w:r>
                    <w:t xml:space="preserve">soil_sulfur_stdev_20_50 (-)</w:t>
                  </w:r>
                </w:p>
              </w:tc>
              <w:tc>
                <w:tcPr/>
                <w:p>
                  <w:pPr>
                    <w:pStyle w:val="Compact"/>
                    <w:jc w:val="left"/>
                    <w:jc w:val="center"/>
                  </w:pPr>
                  <w:r>
                    <w:t xml:space="preserve">ihme_wastingprevalence (+*)</w:t>
                  </w:r>
                </w:p>
              </w:tc>
            </w:tr>
            <w:tr>
              <w:tc>
                <w:tcPr/>
                <w:p>
                  <w:pPr>
                    <w:pStyle w:val="Compact"/>
                    <w:jc w:val="right"/>
                    <w:jc w:val="center"/>
                  </w:pPr>
                  <w:r>
                    <w:t xml:space="preserve">19</w:t>
                  </w:r>
                </w:p>
              </w:tc>
              <w:tc>
                <w:tcPr/>
                <w:p>
                  <w:pPr>
                    <w:pStyle w:val="Compact"/>
                    <w:jc w:val="left"/>
                    <w:jc w:val="center"/>
                  </w:pPr>
                  <w:r>
                    <w:t xml:space="preserve">dhs_c_fg_dairy (-*)</w:t>
                  </w:r>
                </w:p>
              </w:tc>
              <w:tc>
                <w:tcPr/>
                <w:p>
                  <w:pPr>
                    <w:pStyle w:val="Compact"/>
                    <w:jc w:val="left"/>
                    <w:jc w:val="center"/>
                  </w:pPr>
                  <w:r>
                    <w:t xml:space="preserve">dhs_c_underweight (+)</w:t>
                  </w:r>
                </w:p>
              </w:tc>
              <w:tc>
                <w:tcPr/>
                <w:p>
                  <w:pPr>
                    <w:pStyle w:val="Compact"/>
                    <w:jc w:val="left"/>
                    <w:jc w:val="center"/>
                  </w:pPr>
                  <w:r>
                    <w:t xml:space="preserve">dhs_hh_cows_any (+)</w:t>
                  </w:r>
                </w:p>
              </w:tc>
              <w:tc>
                <w:tcPr/>
                <w:p>
                  <w:pPr>
                    <w:pStyle w:val="Compact"/>
                    <w:jc w:val="left"/>
                    <w:jc w:val="center"/>
                  </w:pPr>
                  <w:r>
                    <w:t xml:space="preserve">dhs_hh_improved_water (+*)</w:t>
                  </w:r>
                </w:p>
              </w:tc>
              <w:tc>
                <w:tcPr/>
                <w:p>
                  <w:pPr>
                    <w:pStyle w:val="Compact"/>
                    <w:jc w:val="left"/>
                    <w:jc w:val="center"/>
                  </w:pPr>
                  <w:r>
                    <w:t xml:space="preserve">soilgrids_silt (+)</w:t>
                  </w:r>
                </w:p>
              </w:tc>
              <w:tc>
                <w:tcPr/>
                <w:p>
                  <w:pPr>
                    <w:pStyle w:val="Compact"/>
                    <w:jc w:val="left"/>
                    <w:jc w:val="center"/>
                  </w:pPr>
                  <w:r>
                    <w:t xml:space="preserve">glw_cattle_km2 (+)</w:t>
                  </w:r>
                </w:p>
              </w:tc>
            </w:tr>
            <w:tr>
              <w:tc>
                <w:tcPr/>
                <w:p>
                  <w:pPr>
                    <w:pStyle w:val="Compact"/>
                    <w:jc w:val="right"/>
                    <w:jc w:val="center"/>
                  </w:pPr>
                  <w:r>
                    <w:t xml:space="preserve">20</w:t>
                  </w:r>
                </w:p>
              </w:tc>
              <w:tc>
                <w:tcPr/>
                <w:p>
                  <w:pPr>
                    <w:pStyle w:val="Compact"/>
                    <w:jc w:val="left"/>
                    <w:jc w:val="center"/>
                  </w:pPr>
                  <w:r>
                    <w:t xml:space="preserve">dhs_w_bmi_overweight (-)</w:t>
                  </w:r>
                </w:p>
              </w:tc>
              <w:tc>
                <w:tcPr/>
                <w:p>
                  <w:pPr>
                    <w:pStyle w:val="Compact"/>
                    <w:jc w:val="left"/>
                    <w:jc w:val="center"/>
                  </w:pPr>
                  <w:r>
                    <w:t xml:space="preserve">dhs_w_barrier_distance (+)</w:t>
                  </w:r>
                </w:p>
              </w:tc>
              <w:tc>
                <w:tcPr/>
                <w:p>
                  <w:pPr>
                    <w:pStyle w:val="Compact"/>
                    <w:jc w:val="left"/>
                    <w:jc w:val="center"/>
                  </w:pPr>
                  <w:r>
                    <w:t xml:space="preserve">spam_share_roots (-)</w:t>
                  </w:r>
                </w:p>
              </w:tc>
              <w:tc>
                <w:tcPr/>
                <w:p>
                  <w:pPr>
                    <w:pStyle w:val="Compact"/>
                    <w:jc w:val="left"/>
                    <w:jc w:val="center"/>
                  </w:pPr>
                  <w:r>
                    <w:t xml:space="preserve">dhs_w_unmet_fp (+*)</w:t>
                  </w:r>
                </w:p>
              </w:tc>
              <w:tc>
                <w:tcPr/>
                <w:p>
                  <w:pPr>
                    <w:pStyle w:val="Compact"/>
                    <w:jc w:val="left"/>
                    <w:jc w:val="center"/>
                  </w:pPr>
                  <w:r>
                    <w:t xml:space="preserve">ihme_mildanemia (+)</w:t>
                  </w:r>
                </w:p>
              </w:tc>
              <w:tc>
                <w:tcPr/>
                <w:p>
                  <w:pPr>
                    <w:pStyle w:val="Compact"/>
                    <w:jc w:val="left"/>
                    <w:jc w:val="center"/>
                  </w:pPr>
                  <w:r>
                    <w:t xml:space="preserve">wdist_coast_km_min (+)</w:t>
                  </w:r>
                </w:p>
              </w:tc>
            </w:tr>
          </w:tbl>
          <w:bookmarkEnd w:id="71"/>
          <w:p/>
        </w:tc>
      </w:tr>
    </w:tbl>
    <w:bookmarkEnd w:id="72"/>
    <w:bookmarkStart w:id="107" w:name="references"/>
    <w:p>
      <w:pPr>
        <w:pStyle w:val="Heading1"/>
      </w:pPr>
      <w:r>
        <w:t xml:space="preserve">References</w:t>
      </w:r>
    </w:p>
    <w:bookmarkStart w:id="106" w:name="refs"/>
    <w:bookmarkStart w:id="74"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3">
        <w:r>
          <w:rPr>
            <w:rStyle w:val="Hyperlink"/>
          </w:rPr>
          <w:t xml:space="preserve">https://doi.org/10.1007/BF00116466</w:t>
        </w:r>
      </w:hyperlink>
      <w:r>
        <w:t xml:space="preserve">.</w:t>
      </w:r>
    </w:p>
    <w:bookmarkEnd w:id="74"/>
    <w:bookmarkStart w:id="76" w:name="ref-dawes1979"/>
    <w:p>
      <w:pPr>
        <w:pStyle w:val="Bibliography"/>
      </w:pPr>
      <w:r>
        <w:t xml:space="preserve">Dawes, Robyn M. 1979.</w:t>
      </w:r>
      <w:r>
        <w:t xml:space="preserve"> </w:t>
      </w:r>
      <w:r>
        <w:t xml:space="preserve">“The Robust Beauty of Improper Linear Models in Decision Making.”</w:t>
      </w:r>
      <w:r>
        <w:t xml:space="preserve"> </w:t>
      </w:r>
      <w:r>
        <w:rPr>
          <w:i/>
          <w:iCs/>
        </w:rPr>
        <w:t xml:space="preserve">American Psychologist</w:t>
      </w:r>
      <w:r>
        <w:t xml:space="preserve"> </w:t>
      </w:r>
      <w:r>
        <w:t xml:space="preserve">34 (7): 571–82.</w:t>
      </w:r>
      <w:r>
        <w:t xml:space="preserve"> </w:t>
      </w:r>
      <w:hyperlink r:id="rId75">
        <w:r>
          <w:rPr>
            <w:rStyle w:val="Hyperlink"/>
          </w:rPr>
          <w:t xml:space="preserve">https://doi.org/10.1037/0003-066X.34.7.571</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3">
        <w:r>
          <w:rPr>
            <w:rStyle w:val="Hyperlink"/>
          </w:rPr>
          <w:t xml:space="preserve">https://doi.org/10.1038/s41591-020-0807-6</w:t>
        </w:r>
      </w:hyperlink>
      <w:r>
        <w:t xml:space="preserve">.</w:t>
      </w:r>
    </w:p>
    <w:bookmarkEnd w:id="84"/>
    <w:bookmarkStart w:id="86"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5">
        <w:r>
          <w:rPr>
            <w:rStyle w:val="Hyperlink"/>
          </w:rPr>
          <w:t xml:space="preserve">https://doi.org/10.1214/15-AOAS872</w:t>
        </w:r>
      </w:hyperlink>
      <w:r>
        <w:t xml:space="preserve">.</w:t>
      </w:r>
    </w:p>
    <w:bookmarkEnd w:id="86"/>
    <w:bookmarkStart w:id="88"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7">
        <w:r>
          <w:rPr>
            <w:rStyle w:val="Hyperlink"/>
          </w:rPr>
          <w:t xml:space="preserve">https://doi.org/10.3945/ajcn.116.142273</w:t>
        </w:r>
      </w:hyperlink>
      <w:r>
        <w:t xml:space="preserve">.</w:t>
      </w:r>
    </w:p>
    <w:bookmarkEnd w:id="88"/>
    <w:bookmarkStart w:id="90"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9">
        <w:r>
          <w:rPr>
            <w:rStyle w:val="Hyperlink"/>
          </w:rPr>
          <w:t xml:space="preserve">https://doi.org/10.1145/1102351.1102430</w:t>
        </w:r>
      </w:hyperlink>
      <w:r>
        <w:t xml:space="preserve">.</w:t>
      </w:r>
    </w:p>
    <w:bookmarkEnd w:id="90"/>
    <w:bookmarkStart w:id="92"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1">
        <w:r>
          <w:rPr>
            <w:rStyle w:val="Hyperlink"/>
          </w:rPr>
          <w:t xml:space="preserve">https://doi.org/10.1038/nature25760</w:t>
        </w:r>
      </w:hyperlink>
      <w:r>
        <w:t xml:space="preserve">.</w:t>
      </w:r>
    </w:p>
    <w:bookmarkEnd w:id="92"/>
    <w:bookmarkStart w:id="94"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3">
        <w:r>
          <w:rPr>
            <w:rStyle w:val="Hyperlink"/>
          </w:rPr>
          <w:t xml:space="preserve">https://doi.org/10.1177/0962280216660421</w:t>
        </w:r>
      </w:hyperlink>
      <w:r>
        <w:t xml:space="preserve">.</w:t>
      </w:r>
    </w:p>
    <w:bookmarkEnd w:id="94"/>
    <w:bookmarkStart w:id="9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5">
        <w:r>
          <w:rPr>
            <w:rStyle w:val="Hyperlink"/>
          </w:rPr>
          <w:t xml:space="preserve">https://doi.org/10.1016/S2214-109X(22)00367-9</w:t>
        </w:r>
      </w:hyperlink>
      <w:r>
        <w:t xml:space="preserve">.</w:t>
      </w:r>
    </w:p>
    <w:bookmarkEnd w:id="96"/>
    <w:bookmarkStart w:id="9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7">
        <w:r>
          <w:rPr>
            <w:rStyle w:val="Hyperlink"/>
          </w:rPr>
          <w:t xml:space="preserve">https://doi.org/10.3945/an.115.010215</w:t>
        </w:r>
      </w:hyperlink>
      <w:r>
        <w:t xml:space="preserve">.</w:t>
      </w:r>
    </w:p>
    <w:bookmarkEnd w:id="98"/>
    <w:bookmarkStart w:id="10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9">
        <w:r>
          <w:rPr>
            <w:rStyle w:val="Hyperlink"/>
          </w:rPr>
          <w:t xml:space="preserve">https://doi.org/10.1111/insr.12400</w:t>
        </w:r>
      </w:hyperlink>
      <w:r>
        <w:t xml:space="preserve">.</w:t>
      </w:r>
    </w:p>
    <w:bookmarkEnd w:id="100"/>
    <w:bookmarkStart w:id="10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1"/>
    <w:bookmarkStart w:id="103" w:name="ref-who2020anaemia"/>
    <w:p>
      <w:pPr>
        <w:pStyle w:val="Bibliography"/>
      </w:pPr>
      <w:r>
        <w:t xml:space="preserve">———. 2021.</w:t>
      </w:r>
      <w:r>
        <w:t xml:space="preserve"> </w:t>
      </w:r>
      <w:r>
        <w:t xml:space="preserve">“WHO Global Anaemia Estimates, 2021 Edition.”</w:t>
      </w:r>
      <w:r>
        <w:t xml:space="preserve"> </w:t>
      </w:r>
      <w:hyperlink r:id="rId102">
        <w:r>
          <w:rPr>
            <w:rStyle w:val="Hyperlink"/>
          </w:rPr>
          <w:t xml:space="preserve">https://www.who.int/data/gho/data/themes/topics/anaemia_in_women_and_children</w:t>
        </w:r>
      </w:hyperlink>
      <w:r>
        <w:t xml:space="preserve">.</w:t>
      </w:r>
    </w:p>
    <w:bookmarkEnd w:id="103"/>
    <w:bookmarkStart w:id="105" w:name="ref-who_vmnis"/>
    <w:p>
      <w:pPr>
        <w:pStyle w:val="Bibliography"/>
      </w:pPr>
      <w:r>
        <w:t xml:space="preserve">———. 2023.</w:t>
      </w:r>
      <w:r>
        <w:t xml:space="preserve"> </w:t>
      </w:r>
      <w:r>
        <w:t xml:space="preserve">“Vitamin and Mineral Nutrition Information System (VMNIS).”</w:t>
      </w:r>
      <w:r>
        <w:t xml:space="preserve"> </w:t>
      </w:r>
      <w:hyperlink r:id="rId104">
        <w:r>
          <w:rPr>
            <w:rStyle w:val="Hyperlink"/>
          </w:rPr>
          <w:t xml:space="preserve">https://www.who.int/teams/nutrition-and-food-safety/databases/vitamin-and-mineral-nutrition-information-system</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2026-09-11T19:03:09Z</dcterms:created>
  <dcterms:modified xsi:type="dcterms:W3CDTF">2026-09-11T19:03:09Z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0.40 against 0.31 on the biomarker concentration, 0.29 against 0.22 on prevalence) but a covariate-free spatial smoother scores 0.39 where the full covariate model scores 0.40. Rankings transport to a country never used in training: mean Spearman 0.26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22%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2026-09-11</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